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1596" w:leftChars="760" w:firstLine="643" w:firstLineChars="200"/>
        <w:jc w:val="left"/>
        <w:rPr>
          <w:rFonts w:hint="eastAsia" w:ascii="宋体" w:eastAsia="宋体"/>
          <w:b/>
          <w:color w:val="000000" w:themeColor="text1"/>
          <w:spacing w:val="20"/>
          <w:sz w:val="32"/>
          <w:szCs w:val="32"/>
          <w:lang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南通大学食堂大豆油</w:t>
      </w:r>
      <w:r>
        <w:rPr>
          <w:rFonts w:hint="eastAsia" w:ascii="宋体" w:hAnsi="宋体"/>
          <w:b/>
          <w:color w:val="000000"/>
          <w:sz w:val="32"/>
          <w:szCs w:val="32"/>
          <w:lang w:eastAsia="zh-CN"/>
        </w:rPr>
        <w:t>采购</w:t>
      </w:r>
    </w:p>
    <w:p>
      <w:pPr>
        <w:spacing w:line="360" w:lineRule="auto"/>
        <w:ind w:firstLine="2249" w:firstLineChars="7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lang w:val="en-US" w:eastAsia="zh-CN"/>
          <w14:textFill>
            <w14:solidFill>
              <w14:schemeClr w14:val="tx1"/>
            </w14:solidFill>
          </w14:textFill>
        </w:rPr>
        <w:t>2</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lang w:val="en-US" w:eastAsia="zh-CN"/>
          <w14:textFill>
            <w14:solidFill>
              <w14:schemeClr w14:val="tx1"/>
            </w14:solidFill>
          </w14:textFill>
        </w:rPr>
        <w:t>095</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lang w:val="en-US" w:eastAsia="zh-CN"/>
          <w14:textFill>
            <w14:solidFill>
              <w14:schemeClr w14:val="tx1"/>
            </w14:solidFill>
          </w14:textFill>
        </w:rPr>
        <w:t>2</w:t>
      </w:r>
      <w:r>
        <w:rPr>
          <w:rFonts w:hint="eastAsia" w:eastAsia="宋体"/>
          <w:b/>
          <w:color w:val="000000" w:themeColor="text1"/>
          <w:sz w:val="32"/>
          <w:szCs w:val="32"/>
          <w14:textFill>
            <w14:solidFill>
              <w14:schemeClr w14:val="tx1"/>
            </w14:solidFill>
          </w14:textFill>
        </w:rPr>
        <w:t>年</w:t>
      </w:r>
      <w:r>
        <w:rPr>
          <w:rFonts w:hint="eastAsia" w:eastAsia="宋体"/>
          <w:b/>
          <w:color w:val="000000" w:themeColor="text1"/>
          <w:sz w:val="32"/>
          <w:szCs w:val="32"/>
          <w:lang w:val="en-US" w:eastAsia="zh-CN"/>
          <w14:textFill>
            <w14:solidFill>
              <w14:schemeClr w14:val="tx1"/>
            </w14:solidFill>
          </w14:textFill>
        </w:rPr>
        <w:t>8</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312"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312"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南通大学食堂大豆油</w:t>
      </w:r>
      <w:r>
        <w:rPr>
          <w:rFonts w:hint="eastAsia" w:ascii="宋体" w:hAnsi="宋体"/>
          <w:color w:val="000000"/>
          <w:sz w:val="24"/>
        </w:rPr>
        <w:t>及相关服务，现就相关事宜公告如下：</w:t>
      </w:r>
    </w:p>
    <w:p>
      <w:pPr>
        <w:widowControl/>
        <w:spacing w:line="440" w:lineRule="exact"/>
        <w:ind w:firstLine="482" w:firstLineChars="200"/>
        <w:rPr>
          <w:rFonts w:ascii="宋体" w:hAnsi="宋体"/>
          <w:b/>
          <w:color w:val="000000"/>
          <w:sz w:val="24"/>
        </w:rPr>
      </w:pPr>
      <w:r>
        <w:rPr>
          <w:rFonts w:hint="eastAsia" w:ascii="宋体" w:hAnsi="宋体"/>
          <w:b/>
          <w:color w:val="000000"/>
          <w:sz w:val="24"/>
        </w:rPr>
        <w:t>一、项目名称：南通大学食堂大豆油采购</w:t>
      </w:r>
    </w:p>
    <w:p>
      <w:pPr>
        <w:widowControl/>
        <w:spacing w:line="440" w:lineRule="exact"/>
        <w:ind w:firstLine="482" w:firstLineChars="200"/>
        <w:rPr>
          <w:rFonts w:hint="eastAsia" w:ascii="宋体" w:hAnsi="宋体"/>
          <w:b/>
          <w:color w:val="000000"/>
          <w:sz w:val="24"/>
          <w:lang w:val="en-US" w:eastAsia="zh-CN"/>
        </w:rPr>
      </w:pPr>
      <w:r>
        <w:rPr>
          <w:rFonts w:hint="eastAsia" w:ascii="宋体" w:hAnsi="宋体"/>
          <w:b/>
          <w:color w:val="000000"/>
          <w:sz w:val="24"/>
        </w:rPr>
        <w:t>二、招标编号：TDHW(GK)202</w:t>
      </w:r>
      <w:r>
        <w:rPr>
          <w:rFonts w:hint="eastAsia" w:ascii="宋体" w:hAnsi="宋体"/>
          <w:b/>
          <w:color w:val="000000"/>
          <w:sz w:val="24"/>
          <w:lang w:val="en-US" w:eastAsia="zh-CN"/>
        </w:rPr>
        <w:t>2</w:t>
      </w:r>
      <w:r>
        <w:rPr>
          <w:rFonts w:hint="eastAsia" w:ascii="宋体" w:hAnsi="宋体"/>
          <w:b/>
          <w:color w:val="000000"/>
          <w:sz w:val="24"/>
        </w:rPr>
        <w:t>-</w:t>
      </w:r>
      <w:r>
        <w:rPr>
          <w:rFonts w:hint="eastAsia" w:ascii="宋体" w:hAnsi="宋体"/>
          <w:b/>
          <w:color w:val="000000"/>
          <w:sz w:val="24"/>
          <w:lang w:val="en-US" w:eastAsia="zh-CN"/>
        </w:rPr>
        <w:t>095</w:t>
      </w:r>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三、货物品名、数量及技术规格：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b/>
          <w:color w:val="000000"/>
          <w:sz w:val="24"/>
        </w:rPr>
      </w:pPr>
      <w:r>
        <w:rPr>
          <w:rFonts w:hint="eastAsia" w:ascii="宋体" w:hAnsi="宋体"/>
          <w:b/>
          <w:color w:val="000000"/>
          <w:sz w:val="24"/>
        </w:rPr>
        <w:t>四、项目预算：</w:t>
      </w:r>
      <w:r>
        <w:rPr>
          <w:rFonts w:hint="eastAsia" w:ascii="宋体" w:hAnsi="宋体"/>
          <w:b/>
          <w:color w:val="000000"/>
          <w:sz w:val="24"/>
          <w:lang w:val="en-US" w:eastAsia="zh-CN"/>
        </w:rPr>
        <w:t>12</w:t>
      </w:r>
      <w:bookmarkStart w:id="32" w:name="_GoBack"/>
      <w:bookmarkEnd w:id="32"/>
      <w:r>
        <w:rPr>
          <w:rFonts w:hint="eastAsia" w:ascii="宋体" w:hAnsi="宋体"/>
          <w:b/>
          <w:color w:val="000000"/>
          <w:sz w:val="24"/>
          <w:lang w:val="en-US" w:eastAsia="zh-CN"/>
        </w:rPr>
        <w:t>0</w:t>
      </w:r>
      <w:r>
        <w:rPr>
          <w:rFonts w:hint="eastAsia" w:ascii="宋体" w:hAnsi="宋体"/>
          <w:b/>
          <w:color w:val="000000"/>
          <w:sz w:val="24"/>
        </w:rPr>
        <w:t>万元。</w:t>
      </w:r>
    </w:p>
    <w:p>
      <w:pPr>
        <w:widowControl/>
        <w:spacing w:line="440" w:lineRule="exact"/>
        <w:ind w:firstLine="480" w:firstLineChars="200"/>
        <w:rPr>
          <w:rFonts w:ascii="宋体" w:hAnsi="宋体"/>
          <w:color w:val="000000"/>
          <w:sz w:val="24"/>
        </w:rPr>
      </w:pPr>
      <w:r>
        <w:rPr>
          <w:rFonts w:hint="eastAsia" w:ascii="宋体" w:hAnsi="宋体"/>
          <w:color w:val="000000"/>
          <w:sz w:val="24"/>
        </w:rPr>
        <w:t>大豆油（供应啬园校区、启秀校区、钟秀校区、启东校区），供应商</w:t>
      </w:r>
      <w:r>
        <w:rPr>
          <w:rFonts w:hint="eastAsia" w:ascii="宋体" w:hAnsi="宋体"/>
          <w:color w:val="000000"/>
          <w:sz w:val="24"/>
          <w:lang w:val="en-US" w:eastAsia="zh-CN"/>
        </w:rPr>
        <w:t>1</w:t>
      </w:r>
      <w:r>
        <w:rPr>
          <w:rFonts w:hint="eastAsia" w:ascii="宋体" w:hAnsi="宋体"/>
          <w:color w:val="000000"/>
          <w:sz w:val="24"/>
        </w:rPr>
        <w:t xml:space="preserve">家； </w:t>
      </w:r>
    </w:p>
    <w:p>
      <w:pPr>
        <w:widowControl/>
        <w:spacing w:line="440" w:lineRule="exact"/>
        <w:ind w:firstLine="482" w:firstLineChars="200"/>
        <w:rPr>
          <w:rFonts w:ascii="宋体" w:hAnsi="宋体"/>
          <w:b/>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jc w:val="left"/>
        <w:rPr>
          <w:rFonts w:ascii="宋体" w:hAnsi="宋体"/>
          <w:color w:val="000000"/>
          <w:sz w:val="24"/>
        </w:rPr>
      </w:pPr>
      <w:r>
        <w:rPr>
          <w:rFonts w:hint="eastAsia" w:ascii="宋体" w:hAnsi="宋体"/>
          <w:color w:val="000000"/>
          <w:sz w:val="24"/>
        </w:rPr>
        <w:t>1、</w:t>
      </w:r>
      <w:r>
        <w:rPr>
          <w:rFonts w:hint="eastAsia"/>
          <w:sz w:val="24"/>
        </w:rPr>
        <w:t>中国境内合法注册的企业</w:t>
      </w:r>
      <w:r>
        <w:rPr>
          <w:rFonts w:hint="eastAsia" w:ascii="宋体" w:hAnsi="宋体"/>
          <w:color w:val="000000"/>
          <w:sz w:val="24"/>
        </w:rPr>
        <w:t>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w:t>
      </w:r>
      <w:r>
        <w:rPr>
          <w:rFonts w:hint="eastAsia" w:ascii="宋体" w:hAnsi="宋体"/>
          <w:color w:val="000000"/>
          <w:sz w:val="24"/>
          <w:lang w:val="en-US" w:eastAsia="zh-CN"/>
        </w:rPr>
        <w:t>2</w:t>
      </w:r>
      <w:r>
        <w:rPr>
          <w:rFonts w:hint="eastAsia" w:ascii="宋体" w:hAnsi="宋体"/>
          <w:color w:val="000000"/>
          <w:sz w:val="24"/>
        </w:rPr>
        <w:t>年</w:t>
      </w:r>
      <w:r>
        <w:rPr>
          <w:rFonts w:hint="eastAsia" w:ascii="宋体" w:hAnsi="宋体"/>
          <w:color w:val="000000"/>
          <w:sz w:val="24"/>
          <w:lang w:val="en-US" w:eastAsia="zh-CN"/>
        </w:rPr>
        <w:t>9</w:t>
      </w:r>
      <w:r>
        <w:rPr>
          <w:rFonts w:hint="eastAsia" w:ascii="宋体" w:hAnsi="宋体"/>
          <w:color w:val="000000"/>
          <w:sz w:val="24"/>
        </w:rPr>
        <w:t>月</w:t>
      </w:r>
      <w:r>
        <w:rPr>
          <w:rFonts w:hint="eastAsia" w:ascii="宋体" w:hAnsi="宋体"/>
          <w:color w:val="000000"/>
          <w:sz w:val="24"/>
          <w:lang w:val="en-US" w:eastAsia="zh-CN"/>
        </w:rPr>
        <w:t>2</w:t>
      </w:r>
      <w:r>
        <w:rPr>
          <w:rFonts w:hint="eastAsia" w:ascii="宋体" w:hAnsi="宋体"/>
          <w:color w:val="000000"/>
          <w:sz w:val="24"/>
        </w:rPr>
        <w:t>日</w:t>
      </w:r>
      <w:r>
        <w:rPr>
          <w:rFonts w:hint="eastAsia" w:ascii="宋体" w:hAnsi="宋体"/>
          <w:color w:val="000000"/>
          <w:sz w:val="24"/>
          <w:lang w:val="en-US" w:eastAsia="zh-CN"/>
        </w:rPr>
        <w:t>14</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w:t>
      </w:r>
      <w:r>
        <w:rPr>
          <w:rFonts w:hint="eastAsia" w:ascii="宋体" w:hAnsi="宋体"/>
          <w:color w:val="000000"/>
          <w:sz w:val="24"/>
          <w:lang w:val="en-US" w:eastAsia="zh-CN"/>
        </w:rPr>
        <w:t>2</w:t>
      </w:r>
      <w:r>
        <w:rPr>
          <w:rFonts w:hint="eastAsia" w:ascii="宋体" w:hAnsi="宋体"/>
          <w:color w:val="000000"/>
          <w:sz w:val="24"/>
        </w:rPr>
        <w:t>年</w:t>
      </w:r>
      <w:r>
        <w:rPr>
          <w:rFonts w:hint="eastAsia" w:ascii="宋体" w:hAnsi="宋体"/>
          <w:color w:val="000000"/>
          <w:sz w:val="24"/>
          <w:lang w:val="en-US" w:eastAsia="zh-CN"/>
        </w:rPr>
        <w:t>9</w:t>
      </w:r>
      <w:r>
        <w:rPr>
          <w:rFonts w:hint="eastAsia" w:ascii="宋体" w:hAnsi="宋体"/>
          <w:color w:val="000000"/>
          <w:sz w:val="24"/>
        </w:rPr>
        <w:t>月</w:t>
      </w:r>
      <w:r>
        <w:rPr>
          <w:rFonts w:hint="eastAsia" w:ascii="宋体" w:hAnsi="宋体"/>
          <w:color w:val="000000"/>
          <w:sz w:val="24"/>
          <w:lang w:val="en-US" w:eastAsia="zh-CN"/>
        </w:rPr>
        <w:t>2</w:t>
      </w:r>
      <w:r>
        <w:rPr>
          <w:rFonts w:hint="eastAsia" w:ascii="宋体" w:hAnsi="宋体"/>
          <w:color w:val="000000"/>
          <w:sz w:val="24"/>
        </w:rPr>
        <w:t>日</w:t>
      </w:r>
      <w:r>
        <w:rPr>
          <w:rFonts w:hint="eastAsia" w:ascii="宋体" w:hAnsi="宋体"/>
          <w:color w:val="000000"/>
          <w:sz w:val="24"/>
          <w:lang w:val="en-US" w:eastAsia="zh-CN"/>
        </w:rPr>
        <w:t>14</w:t>
      </w:r>
      <w:r>
        <w:rPr>
          <w:rFonts w:hint="eastAsia" w:ascii="宋体" w:hAnsi="宋体"/>
          <w:color w:val="000000"/>
          <w:sz w:val="24"/>
        </w:rPr>
        <w:t>时</w:t>
      </w:r>
      <w:r>
        <w:rPr>
          <w:rFonts w:hint="eastAsia" w:ascii="宋体" w:hAnsi="宋体"/>
          <w:color w:val="000000"/>
          <w:sz w:val="24"/>
          <w:lang w:val="en-US" w:eastAsia="zh-CN"/>
        </w:rPr>
        <w:t>3</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w:t>
      </w:r>
      <w:r>
        <w:rPr>
          <w:rFonts w:hint="eastAsia" w:ascii="宋体" w:hAnsi="宋体"/>
          <w:color w:val="000000"/>
          <w:sz w:val="24"/>
          <w:lang w:val="en-US" w:eastAsia="zh-CN"/>
        </w:rPr>
        <w:t>2</w:t>
      </w:r>
      <w:r>
        <w:rPr>
          <w:rFonts w:ascii="宋体" w:hAnsi="宋体"/>
          <w:color w:val="000000"/>
          <w:sz w:val="24"/>
        </w:rPr>
        <w:t>720</w:t>
      </w:r>
    </w:p>
    <w:p>
      <w:pPr>
        <w:widowControl/>
        <w:spacing w:line="440" w:lineRule="exact"/>
        <w:ind w:firstLine="482" w:firstLineChars="200"/>
        <w:rPr>
          <w:rFonts w:ascii="宋体" w:hAnsi="宋体"/>
          <w:color w:val="000000"/>
          <w:sz w:val="24"/>
        </w:rPr>
      </w:pPr>
      <w:r>
        <w:rPr>
          <w:rFonts w:hint="eastAsia" w:ascii="宋体" w:hAnsi="宋体"/>
          <w:b/>
          <w:color w:val="000000"/>
          <w:sz w:val="24"/>
        </w:rPr>
        <w:t>十</w:t>
      </w:r>
      <w:r>
        <w:rPr>
          <w:rFonts w:hint="eastAsia" w:ascii="宋体" w:hAnsi="宋体"/>
          <w:b/>
          <w:color w:val="000000"/>
          <w:sz w:val="24"/>
          <w:lang w:eastAsia="zh-CN"/>
        </w:rPr>
        <w:t>一</w:t>
      </w:r>
      <w:r>
        <w:rPr>
          <w:rFonts w:hint="eastAsia" w:ascii="宋体" w:hAnsi="宋体"/>
          <w:b/>
          <w:color w:val="000000"/>
          <w:sz w:val="24"/>
        </w:rPr>
        <w:t>、开评标地点：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w:t>
      </w:r>
      <w:r>
        <w:rPr>
          <w:rFonts w:hint="eastAsia" w:ascii="宋体" w:hAnsi="宋体"/>
          <w:b/>
          <w:color w:val="000000"/>
          <w:sz w:val="24"/>
          <w:lang w:eastAsia="zh-CN"/>
        </w:rPr>
        <w:t>二</w:t>
      </w:r>
      <w:r>
        <w:rPr>
          <w:rFonts w:hint="eastAsia" w:ascii="宋体" w:hAnsi="宋体"/>
          <w:b/>
          <w:color w:val="000000"/>
          <w:sz w:val="24"/>
        </w:rPr>
        <w:t>、与本次谈判有关的事宜请按下列通讯方式联系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0513-85012342、13615235665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ind w:firstLine="496" w:firstLineChars="200"/>
        <w:rPr>
          <w:rFonts w:ascii="宋体" w:hAnsi="宋体"/>
          <w:color w:val="000000"/>
          <w:sz w:val="24"/>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bookmarkStart w:id="1" w:name="_Toc73516680"/>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color w:val="000000" w:themeColor="text1"/>
          <w14:textFill>
            <w14:solidFill>
              <w14:schemeClr w14:val="tx1"/>
            </w14:solidFill>
          </w14:textFill>
        </w:rPr>
      </w:pPr>
      <w:r>
        <w:rPr>
          <w:rFonts w:hint="eastAsia"/>
          <w:b/>
          <w:bCs/>
          <w:color w:val="000000" w:themeColor="text1"/>
          <w:sz w:val="44"/>
          <w:szCs w:val="44"/>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left="480"/>
        <w:rPr>
          <w:color w:val="000000" w:themeColor="text1"/>
          <w:sz w:val="24"/>
          <w14:textFill>
            <w14:solidFill>
              <w14:schemeClr w14:val="tx1"/>
            </w14:solidFill>
          </w14:textFill>
        </w:rPr>
      </w:pPr>
      <w:r>
        <w:rPr>
          <w:rFonts w:hint="eastAsia"/>
          <w:sz w:val="24"/>
        </w:rPr>
        <w:t>（1）</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（3）评分项中未涉及投标人认为需要提交的其他材料。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440" w:lineRule="exact"/>
        <w:ind w:left="480"/>
        <w:rPr>
          <w:rFonts w:ascii="宋体" w:hAnsi="宋体"/>
          <w:color w:val="000000"/>
          <w:sz w:val="24"/>
        </w:rPr>
      </w:pPr>
      <w:r>
        <w:rPr>
          <w:rFonts w:hint="eastAsia" w:ascii="宋体" w:hAnsi="宋体"/>
          <w:color w:val="000000"/>
          <w:sz w:val="24"/>
        </w:rPr>
        <w:t>（1）营业执照复印件（复印件加盖单位公章）</w:t>
      </w:r>
    </w:p>
    <w:p>
      <w:pPr>
        <w:spacing w:line="440" w:lineRule="exact"/>
        <w:ind w:left="480"/>
        <w:rPr>
          <w:rFonts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hint="eastAsia" w:ascii="宋体" w:hAnsi="宋体"/>
          <w:color w:val="000000"/>
          <w:sz w:val="24"/>
          <w:lang w:eastAsia="zh-CN"/>
        </w:rPr>
        <w:t>《</w:t>
      </w:r>
      <w:r>
        <w:rPr>
          <w:rFonts w:hint="eastAsia" w:ascii="宋体" w:hAnsi="宋体"/>
          <w:sz w:val="24"/>
        </w:rPr>
        <w:t>食品经营许可证</w:t>
      </w:r>
      <w:r>
        <w:rPr>
          <w:rFonts w:hint="eastAsia" w:ascii="宋体" w:hAnsi="宋体"/>
          <w:sz w:val="24"/>
          <w:lang w:eastAsia="zh-CN"/>
        </w:rPr>
        <w:t>》</w:t>
      </w:r>
      <w:r>
        <w:rPr>
          <w:rFonts w:hint="eastAsia" w:ascii="宋体" w:hAnsi="宋体"/>
          <w:sz w:val="24"/>
        </w:rPr>
        <w:t>、生产企业还需提供</w:t>
      </w:r>
      <w:r>
        <w:rPr>
          <w:rFonts w:hint="eastAsia" w:ascii="宋体" w:hAnsi="宋体"/>
          <w:sz w:val="24"/>
          <w:lang w:eastAsia="zh-CN"/>
        </w:rPr>
        <w:t>《</w:t>
      </w:r>
      <w:r>
        <w:rPr>
          <w:rFonts w:hint="eastAsia" w:ascii="宋体" w:hAnsi="宋体"/>
          <w:sz w:val="24"/>
        </w:rPr>
        <w:t>食品生产许可证</w:t>
      </w:r>
      <w:r>
        <w:rPr>
          <w:rFonts w:hint="eastAsia" w:ascii="宋体" w:hAnsi="宋体"/>
          <w:sz w:val="24"/>
          <w:lang w:eastAsia="zh-CN"/>
        </w:rPr>
        <w:t>》</w:t>
      </w:r>
      <w:r>
        <w:rPr>
          <w:rFonts w:hint="eastAsia" w:ascii="宋体" w:hAnsi="宋体"/>
          <w:sz w:val="24"/>
        </w:rPr>
        <w:t>复印件（</w:t>
      </w:r>
      <w:r>
        <w:rPr>
          <w:rFonts w:hint="eastAsia" w:ascii="宋体" w:hAnsi="宋体"/>
          <w:color w:val="000000"/>
          <w:sz w:val="24"/>
        </w:rPr>
        <w:t>复印件加盖单位公章）</w:t>
      </w:r>
    </w:p>
    <w:p>
      <w:pPr>
        <w:spacing w:line="440" w:lineRule="exact"/>
        <w:ind w:left="480"/>
        <w:rPr>
          <w:rFonts w:ascii="宋体" w:hAnsi="宋体"/>
          <w:color w:val="000000"/>
          <w:sz w:val="24"/>
        </w:rPr>
      </w:pPr>
      <w:r>
        <w:rPr>
          <w:rFonts w:hint="eastAsia" w:ascii="宋体" w:hAnsi="宋体"/>
          <w:color w:val="000000"/>
          <w:sz w:val="24"/>
        </w:rPr>
        <w:t>（3）银行开户许可证或基本存款账户信息复印件（复印件加盖单位公章）</w:t>
      </w:r>
    </w:p>
    <w:p>
      <w:pPr>
        <w:spacing w:line="440" w:lineRule="exact"/>
        <w:ind w:left="480"/>
        <w:rPr>
          <w:rFonts w:ascii="宋体" w:hAnsi="宋体"/>
          <w:color w:val="000000"/>
          <w:sz w:val="24"/>
        </w:rPr>
      </w:pPr>
      <w:r>
        <w:rPr>
          <w:rFonts w:hint="eastAsia" w:ascii="宋体" w:hAnsi="宋体"/>
          <w:color w:val="000000"/>
          <w:sz w:val="24"/>
        </w:rPr>
        <w:t>（4）产品检测报告（复印件加盖单位公章）</w:t>
      </w:r>
    </w:p>
    <w:p>
      <w:pPr>
        <w:spacing w:line="440" w:lineRule="exact"/>
        <w:ind w:firstLine="480" w:firstLineChars="200"/>
        <w:rPr>
          <w:rFonts w:ascii="宋体" w:hAnsi="宋体"/>
          <w:sz w:val="24"/>
        </w:rPr>
      </w:pPr>
      <w:r>
        <w:rPr>
          <w:rFonts w:hint="eastAsia" w:ascii="宋体" w:hAnsi="宋体"/>
          <w:sz w:val="24"/>
        </w:rPr>
        <w:t>（5）法定代表人资格证明（格式见附件3）</w:t>
      </w:r>
    </w:p>
    <w:p>
      <w:pPr>
        <w:spacing w:line="440" w:lineRule="exact"/>
        <w:ind w:firstLine="480" w:firstLineChars="200"/>
        <w:rPr>
          <w:rFonts w:ascii="宋体" w:hAnsi="宋体"/>
          <w:sz w:val="24"/>
        </w:rPr>
      </w:pPr>
      <w:r>
        <w:rPr>
          <w:rFonts w:hint="eastAsia" w:ascii="宋体" w:hAnsi="宋体"/>
          <w:sz w:val="24"/>
        </w:rPr>
        <w:t>（6）法定代表人授权书（格式见附件4）</w:t>
      </w:r>
    </w:p>
    <w:p>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eastAsia="宋体" w:cs="宋体"/>
          <w:color w:val="000000" w:themeColor="text1"/>
          <w:sz w:val="24"/>
          <w14:textFill>
            <w14:solidFill>
              <w14:schemeClr w14:val="tx1"/>
            </w14:solidFill>
          </w14:textFill>
        </w:rPr>
        <w:t>被授权代表2021年7月以来任意一个月在所在投标单位依法缴纳社会保障金的相关证明材料（税务、银行或社会保险基金管理部门出具）</w:t>
      </w:r>
    </w:p>
    <w:p>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14:textFill>
            <w14:solidFill>
              <w14:schemeClr w14:val="tx1"/>
            </w14:solidFill>
          </w14:textFill>
        </w:rPr>
        <w:t>）投标人2021年7月以来任意一个月依法缴纳税收的相关证明材料</w:t>
      </w:r>
    </w:p>
    <w:p>
      <w:pPr>
        <w:spacing w:line="44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9</w:t>
      </w:r>
      <w:r>
        <w:rPr>
          <w:rFonts w:hint="eastAsia" w:ascii="宋体" w:hAnsi="宋体" w:eastAsia="宋体" w:cs="宋体"/>
          <w:color w:val="000000" w:themeColor="text1"/>
          <w:sz w:val="24"/>
          <w14:textFill>
            <w14:solidFill>
              <w14:schemeClr w14:val="tx1"/>
            </w14:solidFill>
          </w14:textFill>
        </w:rPr>
        <w:t>）无重大违法记录声明（见附件5）</w:t>
      </w:r>
    </w:p>
    <w:p>
      <w:pPr>
        <w:spacing w:line="44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10</w:t>
      </w:r>
      <w:r>
        <w:rPr>
          <w:rFonts w:hint="eastAsia" w:ascii="宋体" w:hAnsi="宋体" w:eastAsia="宋体" w:cs="宋体"/>
          <w:color w:val="000000" w:themeColor="text1"/>
          <w:sz w:val="24"/>
          <w14:textFill>
            <w14:solidFill>
              <w14:schemeClr w14:val="tx1"/>
            </w14:solidFill>
          </w14:textFill>
        </w:rPr>
        <w:t>）诚信承诺书（见附件6）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bookmarkStart w:id="5" w:name="OLE_LINK49"/>
      <w:bookmarkStart w:id="6" w:name="OLE_LINK50"/>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6"/>
      <w:bookmarkStart w:id="8"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pPr>
        <w:pStyle w:val="4"/>
        <w:rPr>
          <w:color w:val="000000" w:themeColor="text1"/>
          <w14:textFill>
            <w14:solidFill>
              <w14:schemeClr w14:val="tx1"/>
            </w14:solidFill>
          </w14:textFill>
        </w:rPr>
      </w:pPr>
      <w:bookmarkStart w:id="10" w:name="_Toc73516685"/>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left="479" w:leftChars="228"/>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评标，即在投标文件满足招标文件全部实质性要求，且按照评审因素的量化指标评审得分最高的投标人为排名第一的中标候选人。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widowControl/>
        <w:ind w:firstLine="482" w:firstLineChars="200"/>
        <w:jc w:val="left"/>
        <w:rPr>
          <w:rFonts w:hint="eastAsia" w:ascii="宋体" w:hAns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65"/>
        <w:gridCol w:w="1470"/>
        <w:gridCol w:w="7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3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40分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firstLine="420" w:firstLineChars="200"/>
              <w:jc w:val="left"/>
              <w:rPr>
                <w:rFonts w:asciiTheme="minorEastAsia" w:hAnsiTheme="minorEastAsia" w:eastAsiaTheme="minorEastAsia" w:cstheme="minorEastAsia"/>
                <w:color w:val="000000" w:themeColor="text1"/>
                <w:spacing w:val="-6"/>
                <w:szCs w:val="21"/>
                <w14:textFill>
                  <w14:solidFill>
                    <w14:schemeClr w14:val="tx1"/>
                  </w14:solidFill>
                </w14:textFill>
              </w:rPr>
            </w:pPr>
            <w:r>
              <w:rPr>
                <w:rFonts w:hint="eastAsia" w:ascii="宋体" w:hAnsi="宋体" w:cs="宋体"/>
                <w:szCs w:val="21"/>
              </w:rPr>
              <w:t>满足招标文件要求且投标价格最低的投标报价为评标基准价，其价格分为满分，其他投标人的价格分按下列公式计算：投标报价得分＝（评标基准价/投标报价）×40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00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76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asciiTheme="minorEastAsia" w:hAnsiTheme="minorEastAsia" w:eastAsiaTheme="minorEastAsia" w:cstheme="minorEastAsia"/>
                <w:color w:val="000000" w:themeColor="text1"/>
                <w:kern w:val="0"/>
                <w:szCs w:val="21"/>
                <w14:textFill>
                  <w14:solidFill>
                    <w14:schemeClr w14:val="tx1"/>
                  </w14:solidFill>
                </w14:textFill>
              </w:rPr>
              <w:t>6</w:t>
            </w:r>
            <w:r>
              <w:rPr>
                <w:rFonts w:hint="eastAsia" w:asciiTheme="minorEastAsia" w:hAnsiTheme="minorEastAsia" w:eastAsiaTheme="minorEastAsia" w:cstheme="minorEastAsia"/>
                <w:color w:val="000000" w:themeColor="text1"/>
                <w:kern w:val="0"/>
                <w:szCs w:val="21"/>
                <w14:textFill>
                  <w14:solidFill>
                    <w14:schemeClr w14:val="tx1"/>
                  </w14:solidFill>
                </w14:textFill>
              </w:rPr>
              <w:t>0分</w:t>
            </w: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企业实力</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ascii="宋体" w:hAnsi="宋体" w:eastAsia="宋体" w:cs="宋体"/>
                <w:b w:val="0"/>
                <w:bCs w:val="0"/>
                <w:color w:val="FF0000"/>
                <w:kern w:val="0"/>
                <w:sz w:val="21"/>
                <w:szCs w:val="21"/>
                <w:lang w:val="en-US" w:eastAsia="zh-CN"/>
              </w:rPr>
            </w:pPr>
            <w:r>
              <w:rPr>
                <w:rFonts w:hint="eastAsia" w:cs="宋体" w:asciiTheme="minorEastAsia" w:hAnsiTheme="minorEastAsia" w:eastAsiaTheme="minorEastAsia"/>
                <w:lang w:val="zh-TW" w:bidi="zh-TW"/>
              </w:rPr>
              <w:t>投标人提供有效期内的</w:t>
            </w:r>
            <w:r>
              <w:rPr>
                <w:rFonts w:hint="eastAsia" w:cs="宋体" w:asciiTheme="minorEastAsia" w:hAnsiTheme="minorEastAsia" w:eastAsiaTheme="minorEastAsia"/>
                <w:lang w:bidi="en-US"/>
              </w:rPr>
              <w:t>IS09001</w:t>
            </w:r>
            <w:r>
              <w:rPr>
                <w:rFonts w:hint="eastAsia" w:cs="宋体" w:asciiTheme="minorEastAsia" w:hAnsiTheme="minorEastAsia" w:eastAsiaTheme="minorEastAsia"/>
                <w:lang w:val="zh-TW" w:eastAsia="zh-TW" w:bidi="zh-TW"/>
              </w:rPr>
              <w:t>质量管理体系认证证书</w:t>
            </w:r>
            <w:r>
              <w:rPr>
                <w:rFonts w:hint="eastAsia" w:cs="宋体" w:asciiTheme="minorEastAsia" w:hAnsiTheme="minorEastAsia" w:eastAsiaTheme="minorEastAsia"/>
                <w:lang w:val="zh-TW" w:bidi="zh-TW"/>
              </w:rPr>
              <w:t>，</w:t>
            </w:r>
            <w:r>
              <w:rPr>
                <w:rFonts w:hint="eastAsia" w:ascii="宋体" w:hAnsi="宋体" w:cs="宋体"/>
                <w:bCs/>
                <w:color w:val="000000"/>
                <w:kern w:val="0"/>
                <w:szCs w:val="21"/>
              </w:rPr>
              <w:t>ISO22000</w:t>
            </w:r>
            <w:r>
              <w:rPr>
                <w:rFonts w:hint="eastAsia" w:ascii="宋体" w:hAnsi="宋体" w:cs="宋体"/>
                <w:bCs/>
                <w:color w:val="000000"/>
                <w:kern w:val="0"/>
                <w:szCs w:val="21"/>
                <w:lang w:eastAsia="zh-CN"/>
              </w:rPr>
              <w:t>食品安全管理体系认证证书，</w:t>
            </w:r>
            <w:r>
              <w:rPr>
                <w:rFonts w:hint="eastAsia" w:cs="宋体" w:asciiTheme="minorEastAsia" w:hAnsiTheme="minorEastAsia" w:eastAsiaTheme="minorEastAsia"/>
                <w:lang w:bidi="en-US"/>
              </w:rPr>
              <w:t>IS014001</w:t>
            </w:r>
            <w:r>
              <w:rPr>
                <w:rFonts w:hint="eastAsia" w:cs="宋体" w:asciiTheme="minorEastAsia" w:hAnsiTheme="minorEastAsia" w:eastAsiaTheme="minorEastAsia"/>
                <w:lang w:val="zh-TW" w:eastAsia="zh-TW" w:bidi="zh-TW"/>
              </w:rPr>
              <w:t>环境管理体系认证证书</w:t>
            </w:r>
            <w:r>
              <w:rPr>
                <w:rFonts w:hint="eastAsia" w:cs="宋体" w:asciiTheme="minorEastAsia" w:hAnsiTheme="minorEastAsia" w:eastAsiaTheme="minorEastAsia"/>
                <w:lang w:bidi="zh-TW"/>
              </w:rPr>
              <w:t>，</w:t>
            </w:r>
            <w:r>
              <w:rPr>
                <w:rFonts w:hint="eastAsia" w:cs="宋体" w:asciiTheme="minorEastAsia" w:hAnsiTheme="minorEastAsia" w:eastAsiaTheme="minorEastAsia"/>
                <w:lang w:bidi="en-US"/>
              </w:rPr>
              <w:t>ISO45001</w:t>
            </w:r>
            <w:r>
              <w:rPr>
                <w:rFonts w:hint="eastAsia" w:cs="宋体" w:asciiTheme="minorEastAsia" w:hAnsiTheme="minorEastAsia" w:eastAsiaTheme="minorEastAsia"/>
                <w:lang w:val="zh-TW" w:eastAsia="zh-TW" w:bidi="zh-TW"/>
              </w:rPr>
              <w:t>职业健康安全管理体系认证证书</w:t>
            </w:r>
            <w:r>
              <w:rPr>
                <w:rFonts w:hint="eastAsia" w:cs="宋体" w:asciiTheme="minorEastAsia" w:hAnsiTheme="minorEastAsia" w:eastAsiaTheme="minorEastAsia"/>
                <w:lang w:val="zh-TW" w:eastAsia="zh-CN" w:bidi="zh-TW"/>
              </w:rPr>
              <w:t>，</w:t>
            </w:r>
            <w:r>
              <w:rPr>
                <w:rFonts w:hint="eastAsia" w:ascii="宋体" w:hAnsi="宋体" w:cs="宋体"/>
                <w:bCs/>
                <w:color w:val="000000"/>
                <w:kern w:val="0"/>
                <w:szCs w:val="21"/>
              </w:rPr>
              <w:t>每项认证证书得</w:t>
            </w:r>
            <w:r>
              <w:rPr>
                <w:rFonts w:hint="eastAsia" w:ascii="宋体" w:hAnsi="宋体" w:cs="宋体"/>
                <w:bCs/>
                <w:color w:val="000000"/>
                <w:kern w:val="0"/>
                <w:szCs w:val="21"/>
                <w:lang w:val="en-US" w:eastAsia="zh-CN"/>
              </w:rPr>
              <w:t>1.5</w:t>
            </w:r>
            <w:r>
              <w:rPr>
                <w:rFonts w:hint="eastAsia" w:ascii="宋体" w:hAnsi="宋体" w:cs="宋体"/>
                <w:bCs/>
                <w:color w:val="000000"/>
                <w:kern w:val="0"/>
                <w:szCs w:val="21"/>
              </w:rPr>
              <w:t>分。</w:t>
            </w:r>
            <w:r>
              <w:rPr>
                <w:rFonts w:hint="eastAsia" w:ascii="宋体" w:hAnsi="宋体" w:cs="宋体"/>
                <w:bCs/>
                <w:color w:val="000000"/>
                <w:kern w:val="0"/>
                <w:szCs w:val="21"/>
                <w:lang w:eastAsia="zh-CN"/>
              </w:rPr>
              <w:t>（</w:t>
            </w:r>
            <w:r>
              <w:rPr>
                <w:rFonts w:hint="eastAsia" w:ascii="宋体" w:hAnsi="宋体" w:cs="宋体"/>
                <w:bCs/>
                <w:color w:val="000000"/>
                <w:kern w:val="0"/>
                <w:szCs w:val="21"/>
                <w:lang w:val="en-US" w:eastAsia="zh-CN"/>
              </w:rPr>
              <w:t>6分）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企业荣誉</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rPr>
                <w:rFonts w:ascii="宋体" w:hAnsi="宋体" w:cs="宋体"/>
                <w:bCs/>
                <w:szCs w:val="21"/>
              </w:rPr>
            </w:pPr>
            <w:r>
              <w:rPr>
                <w:rFonts w:hint="eastAsia" w:ascii="宋体" w:hAnsi="宋体" w:cs="宋体"/>
                <w:kern w:val="0"/>
                <w:szCs w:val="21"/>
              </w:rPr>
              <w:t>1.</w:t>
            </w:r>
            <w:r>
              <w:rPr>
                <w:rFonts w:hint="eastAsia" w:ascii="宋体" w:hAnsi="宋体" w:cs="宋体"/>
                <w:bCs/>
                <w:szCs w:val="21"/>
              </w:rPr>
              <w:t>企业诚信管理体系认证证书</w:t>
            </w:r>
            <w:r>
              <w:rPr>
                <w:rFonts w:hint="eastAsia" w:ascii="宋体" w:hAnsi="宋体" w:cs="宋体"/>
                <w:bCs/>
                <w:szCs w:val="21"/>
                <w:lang w:eastAsia="zh-CN"/>
              </w:rPr>
              <w:t>。</w:t>
            </w:r>
            <w:r>
              <w:rPr>
                <w:rFonts w:hint="eastAsia" w:ascii="宋体" w:hAnsi="宋体" w:cs="宋体"/>
                <w:color w:val="000000" w:themeColor="text1"/>
                <w:kern w:val="0"/>
                <w:szCs w:val="21"/>
                <w14:textFill>
                  <w14:solidFill>
                    <w14:schemeClr w14:val="tx1"/>
                  </w14:solidFill>
                </w14:textFill>
              </w:rPr>
              <w:t>（证书不在有效期内不得分）</w:t>
            </w:r>
            <w:r>
              <w:rPr>
                <w:rFonts w:hint="eastAsia" w:ascii="宋体" w:hAnsi="宋体" w:cs="宋体"/>
                <w:bCs/>
                <w:szCs w:val="21"/>
              </w:rPr>
              <w:t>（3分）。</w:t>
            </w:r>
          </w:p>
          <w:p>
            <w:pPr>
              <w:ind w:left="-50" w:right="-51"/>
              <w:rPr>
                <w:rFonts w:hint="eastAsia" w:ascii="宋体" w:hAnsi="宋体" w:cs="宋体"/>
                <w:bCs/>
                <w:szCs w:val="21"/>
                <w:lang w:eastAsia="zh-CN"/>
              </w:rPr>
            </w:pPr>
            <w:r>
              <w:rPr>
                <w:rFonts w:hint="eastAsia" w:ascii="宋体" w:hAnsi="宋体" w:cs="宋体"/>
                <w:bCs/>
                <w:szCs w:val="21"/>
              </w:rPr>
              <w:t>2.企业</w:t>
            </w:r>
            <w:r>
              <w:rPr>
                <w:rFonts w:hint="eastAsia" w:ascii="宋体" w:hAnsi="宋体" w:cs="宋体"/>
                <w:bCs/>
                <w:szCs w:val="21"/>
                <w:lang w:eastAsia="zh-CN"/>
              </w:rPr>
              <w:t>获得</w:t>
            </w:r>
            <w:r>
              <w:rPr>
                <w:rFonts w:hint="eastAsia" w:ascii="宋体" w:hAnsi="宋体" w:cs="宋体"/>
                <w:bCs/>
                <w:szCs w:val="21"/>
              </w:rPr>
              <w:t>政府部门</w:t>
            </w:r>
            <w:r>
              <w:rPr>
                <w:rFonts w:hint="eastAsia" w:ascii="宋体" w:hAnsi="宋体" w:cs="宋体"/>
                <w:bCs/>
                <w:szCs w:val="21"/>
                <w:lang w:eastAsia="zh-CN"/>
              </w:rPr>
              <w:t>或行业协会</w:t>
            </w:r>
            <w:r>
              <w:rPr>
                <w:rFonts w:hint="eastAsia" w:ascii="宋体" w:hAnsi="宋体" w:cs="宋体"/>
                <w:bCs/>
                <w:szCs w:val="21"/>
              </w:rPr>
              <w:t>颁发</w:t>
            </w:r>
            <w:r>
              <w:rPr>
                <w:rFonts w:hint="eastAsia" w:ascii="宋体" w:hAnsi="宋体" w:cs="宋体"/>
                <w:bCs/>
                <w:szCs w:val="21"/>
                <w:lang w:eastAsia="zh-CN"/>
              </w:rPr>
              <w:t>的奖项</w:t>
            </w:r>
            <w:r>
              <w:rPr>
                <w:rFonts w:hint="eastAsia" w:ascii="宋体" w:hAnsi="宋体" w:cs="宋体"/>
                <w:bCs/>
                <w:szCs w:val="21"/>
              </w:rPr>
              <w:t>：</w:t>
            </w:r>
            <w:r>
              <w:rPr>
                <w:rFonts w:hint="eastAsia" w:ascii="宋体" w:hAnsi="宋体" w:cs="宋体"/>
                <w:bCs/>
                <w:szCs w:val="21"/>
                <w:lang w:eastAsia="zh-CN"/>
              </w:rPr>
              <w:t>有一项得</w:t>
            </w:r>
            <w:r>
              <w:rPr>
                <w:rFonts w:hint="eastAsia" w:ascii="宋体" w:hAnsi="宋体" w:cs="宋体"/>
                <w:bCs/>
                <w:szCs w:val="21"/>
                <w:lang w:val="en-US" w:eastAsia="zh-CN"/>
              </w:rPr>
              <w:t>1分，最多得2分。</w:t>
            </w:r>
            <w:r>
              <w:rPr>
                <w:rFonts w:hint="eastAsia" w:ascii="宋体" w:hAnsi="宋体" w:cs="宋体"/>
                <w:bCs/>
                <w:szCs w:val="21"/>
                <w:lang w:eastAsia="zh-CN"/>
              </w:rPr>
              <w:t>（</w:t>
            </w:r>
            <w:r>
              <w:rPr>
                <w:rFonts w:hint="eastAsia" w:ascii="宋体" w:hAnsi="宋体" w:cs="宋体"/>
                <w:bCs/>
                <w:szCs w:val="21"/>
                <w:lang w:val="en-US" w:eastAsia="zh-CN"/>
              </w:rPr>
              <w:t>2</w:t>
            </w:r>
            <w:r>
              <w:rPr>
                <w:rFonts w:hint="eastAsia" w:ascii="宋体" w:hAnsi="宋体" w:cs="宋体"/>
                <w:bCs/>
                <w:szCs w:val="21"/>
              </w:rPr>
              <w:t>分</w:t>
            </w:r>
            <w:r>
              <w:rPr>
                <w:rFonts w:hint="eastAsia" w:ascii="宋体" w:hAnsi="宋体" w:cs="宋体"/>
                <w:bCs/>
                <w:szCs w:val="21"/>
                <w:lang w:eastAsia="zh-CN"/>
              </w:rPr>
              <w:t>）</w:t>
            </w:r>
          </w:p>
          <w:p>
            <w:pPr>
              <w:ind w:left="-50" w:right="-51"/>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kern w:val="0"/>
                <w:szCs w:val="21"/>
                <w:lang w:eastAsia="zh-CN"/>
              </w:rPr>
              <w:t>社会公益</w:t>
            </w:r>
            <w:r>
              <w:rPr>
                <w:rFonts w:hint="eastAsia" w:asciiTheme="minorEastAsia" w:hAnsiTheme="minorEastAsia" w:eastAsiaTheme="minorEastAsia" w:cstheme="minorEastAsia"/>
                <w:kern w:val="0"/>
                <w:szCs w:val="21"/>
              </w:rPr>
              <w:t xml:space="preserve">    </w:t>
            </w:r>
            <w:r>
              <w:rPr>
                <w:rFonts w:hint="eastAsia" w:asciiTheme="minorEastAsia" w:hAnsiTheme="minorEastAsia" w:eastAsiaTheme="minorEastAsia" w:cstheme="minorEastAsia"/>
                <w:color w:val="auto"/>
                <w:kern w:val="0"/>
                <w:szCs w:val="21"/>
              </w:rPr>
              <w:t>（</w:t>
            </w:r>
            <w:r>
              <w:rPr>
                <w:rFonts w:hint="eastAsia" w:asciiTheme="minorEastAsia" w:hAnsiTheme="minorEastAsia" w:eastAsiaTheme="minorEastAsia" w:cstheme="minorEastAsia"/>
                <w:color w:val="auto"/>
                <w:kern w:val="0"/>
                <w:szCs w:val="21"/>
                <w:lang w:val="en-US" w:eastAsia="zh-CN"/>
              </w:rPr>
              <w:t>4</w:t>
            </w:r>
            <w:r>
              <w:rPr>
                <w:rFonts w:hint="eastAsia" w:asciiTheme="minorEastAsia" w:hAnsiTheme="minorEastAsia" w:eastAsiaTheme="minorEastAsia" w:cstheme="minorEastAsia"/>
                <w:color w:val="auto"/>
                <w:kern w:val="0"/>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eastAsia" w:eastAsia="宋体" w:asciiTheme="minorEastAsia" w:hAnsiTheme="minorEastAsia" w:cstheme="minorEastAsia"/>
                <w:color w:val="FF0000"/>
                <w:kern w:val="0"/>
                <w:szCs w:val="21"/>
                <w:lang w:eastAsia="zh-CN"/>
              </w:rPr>
            </w:pPr>
            <w:r>
              <w:rPr>
                <w:rFonts w:hint="eastAsia" w:asciiTheme="minorEastAsia" w:hAnsiTheme="minorEastAsia" w:eastAsiaTheme="minorEastAsia" w:cstheme="minorEastAsia"/>
                <w:kern w:val="0"/>
                <w:szCs w:val="21"/>
                <w:lang w:val="en-US" w:eastAsia="zh-CN"/>
              </w:rPr>
              <w:t>2019年以来，</w:t>
            </w:r>
            <w:r>
              <w:rPr>
                <w:rFonts w:hint="eastAsia" w:asciiTheme="minorEastAsia" w:hAnsiTheme="minorEastAsia" w:eastAsiaTheme="minorEastAsia" w:cstheme="minorEastAsia"/>
                <w:kern w:val="0"/>
                <w:szCs w:val="21"/>
              </w:rPr>
              <w:t>投</w:t>
            </w:r>
            <w:r>
              <w:rPr>
                <w:rFonts w:hint="eastAsia" w:ascii="宋体" w:hAnsi="宋体" w:cs="宋体"/>
                <w:bCs/>
                <w:szCs w:val="21"/>
              </w:rPr>
              <w:t>标人</w:t>
            </w:r>
            <w:r>
              <w:rPr>
                <w:rFonts w:hint="eastAsia" w:ascii="宋体" w:hAnsi="宋体" w:cs="宋体"/>
                <w:bCs/>
                <w:szCs w:val="21"/>
                <w:lang w:eastAsia="zh-CN"/>
              </w:rPr>
              <w:t>积极参与社会捐赠、救助等社会公益活动的</w:t>
            </w:r>
            <w:r>
              <w:rPr>
                <w:rFonts w:hint="eastAsia" w:ascii="宋体" w:hAnsi="宋体" w:cs="宋体"/>
                <w:bCs/>
                <w:szCs w:val="21"/>
                <w:lang w:val="en-US" w:eastAsia="zh-CN"/>
              </w:rPr>
              <w:t>，</w:t>
            </w:r>
            <w:r>
              <w:rPr>
                <w:rFonts w:hint="eastAsia" w:ascii="宋体" w:hAnsi="宋体" w:cs="宋体"/>
                <w:szCs w:val="21"/>
              </w:rPr>
              <w:t>根据投标人提供的材料横向对比</w:t>
            </w:r>
            <w:r>
              <w:rPr>
                <w:rFonts w:hint="eastAsia" w:ascii="宋体" w:hAnsi="宋体" w:cs="宋体"/>
                <w:szCs w:val="21"/>
                <w:lang w:eastAsia="zh-CN"/>
              </w:rPr>
              <w:t>，</w:t>
            </w:r>
            <w:r>
              <w:rPr>
                <w:rFonts w:hint="eastAsia" w:ascii="宋体" w:hAnsi="宋体" w:cs="宋体"/>
                <w:szCs w:val="21"/>
              </w:rPr>
              <w:t>优秀</w:t>
            </w:r>
            <w:r>
              <w:rPr>
                <w:rFonts w:hint="eastAsia" w:ascii="宋体" w:hAnsi="宋体" w:cs="宋体"/>
                <w:szCs w:val="21"/>
                <w:lang w:val="en-US" w:eastAsia="zh-CN"/>
              </w:rPr>
              <w:t>4</w:t>
            </w:r>
            <w:r>
              <w:rPr>
                <w:rFonts w:hint="eastAsia" w:ascii="宋体" w:hAnsi="宋体" w:cs="宋体"/>
                <w:szCs w:val="21"/>
              </w:rPr>
              <w:t>分，良好</w:t>
            </w:r>
            <w:r>
              <w:rPr>
                <w:rFonts w:hint="eastAsia" w:ascii="宋体" w:hAnsi="宋体" w:cs="宋体"/>
                <w:szCs w:val="21"/>
                <w:lang w:val="en-US" w:eastAsia="zh-CN"/>
              </w:rPr>
              <w:t>2</w:t>
            </w:r>
            <w:r>
              <w:rPr>
                <w:rFonts w:ascii="宋体" w:hAnsi="宋体" w:cs="宋体"/>
                <w:szCs w:val="21"/>
              </w:rPr>
              <w:t>-</w:t>
            </w:r>
            <w:r>
              <w:rPr>
                <w:rFonts w:hint="eastAsia" w:ascii="宋体" w:hAnsi="宋体" w:cs="宋体"/>
                <w:szCs w:val="21"/>
                <w:lang w:val="en-US" w:eastAsia="zh-CN"/>
              </w:rPr>
              <w:t>3</w:t>
            </w:r>
            <w:r>
              <w:rPr>
                <w:rFonts w:hint="eastAsia" w:ascii="宋体" w:hAnsi="宋体" w:cs="宋体"/>
                <w:szCs w:val="21"/>
              </w:rPr>
              <w:t>分，一般1分，没有得0分</w:t>
            </w:r>
            <w:r>
              <w:rPr>
                <w:rFonts w:hint="eastAsia" w:ascii="宋体" w:hAnsi="宋体" w:cs="宋体"/>
                <w:bCs/>
                <w:szCs w:val="21"/>
              </w:rPr>
              <w:t>。</w:t>
            </w:r>
            <w:r>
              <w:rPr>
                <w:rFonts w:hint="eastAsia" w:ascii="宋体" w:hAnsi="宋体" w:cs="宋体"/>
                <w:bCs/>
                <w:szCs w:val="21"/>
                <w:lang w:eastAsia="zh-CN"/>
              </w:rPr>
              <w:t>注：</w:t>
            </w:r>
            <w:r>
              <w:rPr>
                <w:rFonts w:hint="eastAsia" w:ascii="宋体" w:hAnsi="宋体" w:cs="宋体"/>
                <w:bCs/>
                <w:szCs w:val="21"/>
              </w:rPr>
              <w:t>提供</w:t>
            </w:r>
            <w:r>
              <w:rPr>
                <w:rFonts w:hint="eastAsia" w:ascii="宋体" w:hAnsi="宋体" w:cs="宋体"/>
                <w:bCs/>
                <w:szCs w:val="21"/>
                <w:lang w:eastAsia="zh-CN"/>
              </w:rPr>
              <w:t>政府、机关事业单位</w:t>
            </w:r>
            <w:r>
              <w:rPr>
                <w:rFonts w:hint="eastAsia" w:ascii="宋体" w:hAnsi="宋体" w:cs="宋体"/>
                <w:bCs/>
                <w:szCs w:val="21"/>
              </w:rPr>
              <w:t>相关</w:t>
            </w:r>
            <w:r>
              <w:rPr>
                <w:rFonts w:hint="eastAsia" w:ascii="宋体" w:hAnsi="宋体" w:cs="宋体"/>
                <w:bCs/>
                <w:szCs w:val="21"/>
                <w:lang w:eastAsia="zh-CN"/>
              </w:rPr>
              <w:t>证明</w:t>
            </w:r>
            <w:r>
              <w:rPr>
                <w:rFonts w:hint="eastAsia" w:ascii="宋体" w:hAnsi="宋体" w:cs="宋体"/>
                <w:bCs/>
                <w:szCs w:val="21"/>
              </w:rPr>
              <w:t>材料复印件，否则不得分</w:t>
            </w:r>
            <w:r>
              <w:rPr>
                <w:rFonts w:hint="eastAsia" w:ascii="宋体" w:hAnsi="宋体" w:cs="宋体"/>
                <w:bCs/>
                <w:szCs w:val="21"/>
                <w:lang w:eastAsia="zh-CN"/>
              </w:rPr>
              <w:t>，</w:t>
            </w:r>
            <w:r>
              <w:rPr>
                <w:rFonts w:hint="eastAsia" w:ascii="宋体" w:hAnsi="宋体" w:cs="宋体"/>
                <w:color w:val="000000"/>
                <w:kern w:val="0"/>
                <w:szCs w:val="21"/>
                <w:lang w:eastAsia="zh-CN"/>
              </w:rPr>
              <w:t>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auto"/>
                <w:kern w:val="0"/>
                <w:szCs w:val="21"/>
                <w:lang w:val="en-US" w:eastAsia="zh-CN"/>
              </w:rPr>
              <w:t>（10</w:t>
            </w:r>
            <w:r>
              <w:rPr>
                <w:rFonts w:hint="eastAsia" w:asciiTheme="minorEastAsia" w:hAnsiTheme="minorEastAsia" w:eastAsiaTheme="minorEastAsia" w:cstheme="minorEastAsia"/>
                <w:color w:val="auto"/>
                <w:kern w:val="0"/>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hint="default" w:ascii="宋体" w:hAnsi="宋体" w:eastAsia="宋体" w:cs="宋体"/>
                <w:szCs w:val="21"/>
                <w:lang w:val="en-US" w:eastAsia="zh-CN"/>
              </w:rPr>
            </w:pPr>
            <w:r>
              <w:rPr>
                <w:rFonts w:hint="eastAsia" w:ascii="宋体" w:hAnsi="宋体" w:cs="宋体"/>
                <w:szCs w:val="21"/>
              </w:rPr>
              <w:t>自201</w:t>
            </w:r>
            <w:r>
              <w:rPr>
                <w:rFonts w:hint="eastAsia" w:ascii="宋体" w:hAnsi="宋体" w:cs="宋体"/>
                <w:szCs w:val="21"/>
                <w:lang w:val="en-US" w:eastAsia="zh-CN"/>
              </w:rPr>
              <w:t>9</w:t>
            </w:r>
            <w:r>
              <w:rPr>
                <w:rFonts w:hint="eastAsia" w:ascii="宋体" w:hAnsi="宋体" w:cs="宋体"/>
                <w:szCs w:val="21"/>
              </w:rPr>
              <w:t>年1月1日</w:t>
            </w:r>
            <w:r>
              <w:rPr>
                <w:rFonts w:hint="eastAsia" w:ascii="宋体" w:hAnsi="宋体" w:cs="宋体"/>
                <w:szCs w:val="21"/>
                <w:lang w:eastAsia="zh-CN"/>
              </w:rPr>
              <w:t>以来</w:t>
            </w:r>
            <w:r>
              <w:rPr>
                <w:rFonts w:hint="eastAsia" w:ascii="宋体" w:hAnsi="宋体" w:cs="宋体"/>
                <w:szCs w:val="21"/>
              </w:rPr>
              <w:t>（以合同签订时间为准），完成类似服务项目业绩，</w:t>
            </w:r>
            <w:r>
              <w:rPr>
                <w:rFonts w:hint="eastAsia" w:ascii="宋体" w:hAnsi="宋体" w:cs="宋体"/>
                <w:szCs w:val="21"/>
                <w:lang w:val="en-US" w:eastAsia="zh-CN"/>
              </w:rPr>
              <w:t>同一单位一年供货量在5000升以下的得1分、5000升（含）以上的得2分；同一单位不同年度不重复计分。</w:t>
            </w:r>
            <w:r>
              <w:rPr>
                <w:rFonts w:hint="eastAsia" w:asciiTheme="majorEastAsia" w:hAnsiTheme="majorEastAsia" w:eastAsiaTheme="majorEastAsia"/>
              </w:rPr>
              <w:t>提供合同复印件、</w:t>
            </w:r>
            <w:r>
              <w:rPr>
                <w:rFonts w:hint="eastAsia" w:asciiTheme="majorEastAsia" w:hAnsiTheme="majorEastAsia" w:eastAsiaTheme="majorEastAsia"/>
                <w:lang w:eastAsia="zh-CN"/>
              </w:rPr>
              <w:t>服务</w:t>
            </w:r>
            <w:r>
              <w:rPr>
                <w:rFonts w:hint="eastAsia" w:asciiTheme="majorEastAsia" w:hAnsiTheme="majorEastAsia" w:eastAsiaTheme="majorEastAsia"/>
              </w:rPr>
              <w:t>单位盖章的</w:t>
            </w:r>
            <w:r>
              <w:rPr>
                <w:rFonts w:hint="eastAsia" w:asciiTheme="majorEastAsia" w:hAnsiTheme="majorEastAsia" w:eastAsiaTheme="majorEastAsia"/>
                <w:lang w:eastAsia="zh-CN"/>
              </w:rPr>
              <w:t>意见反馈</w:t>
            </w:r>
            <w:r>
              <w:rPr>
                <w:rFonts w:hint="eastAsia" w:asciiTheme="majorEastAsia" w:hAnsiTheme="majorEastAsia" w:eastAsiaTheme="majorEastAsia"/>
              </w:rPr>
              <w:t>证明及合同对应</w:t>
            </w:r>
            <w:r>
              <w:rPr>
                <w:rFonts w:hint="eastAsia" w:asciiTheme="majorEastAsia" w:hAnsiTheme="majorEastAsia" w:eastAsiaTheme="majorEastAsia"/>
                <w:lang w:eastAsia="zh-CN"/>
              </w:rPr>
              <w:t>销售额</w:t>
            </w:r>
            <w:r>
              <w:rPr>
                <w:rFonts w:hint="eastAsia" w:asciiTheme="majorEastAsia" w:hAnsiTheme="majorEastAsia" w:eastAsiaTheme="majorEastAsia"/>
                <w:lang w:val="en-US" w:eastAsia="zh-CN"/>
              </w:rPr>
              <w:t>90%的</w:t>
            </w:r>
            <w:r>
              <w:rPr>
                <w:rFonts w:hint="eastAsia" w:asciiTheme="majorEastAsia" w:hAnsiTheme="majorEastAsia" w:eastAsiaTheme="majorEastAsia"/>
              </w:rPr>
              <w:t>发票复印件，缺一项不得分</w:t>
            </w:r>
            <w:r>
              <w:rPr>
                <w:rFonts w:hint="eastAsia" w:asciiTheme="majorEastAsia" w:hAnsiTheme="majorEastAsia" w:eastAsiaTheme="majorEastAsia"/>
                <w:lang w:eastAsia="zh-CN"/>
              </w:rPr>
              <w:t>。</w:t>
            </w:r>
            <w:r>
              <w:rPr>
                <w:rFonts w:hint="eastAsia" w:ascii="宋体" w:hAnsi="宋体" w:cs="宋体"/>
                <w:szCs w:val="21"/>
                <w:lang w:eastAsia="zh-CN"/>
              </w:rPr>
              <w:t>（</w:t>
            </w:r>
            <w:r>
              <w:rPr>
                <w:rFonts w:hint="eastAsia" w:ascii="宋体" w:hAnsi="宋体" w:cs="宋体"/>
                <w:szCs w:val="21"/>
                <w:lang w:val="en-US" w:eastAsia="zh-CN"/>
              </w:rPr>
              <w:t>10分）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hint="default" w:asciiTheme="minorEastAsia" w:hAnsiTheme="minorEastAsia" w:eastAsiaTheme="minorEastAsia" w:cstheme="minorEastAsia"/>
                <w:color w:val="000000" w:themeColor="text1"/>
                <w:kern w:val="0"/>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方案</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hint="default" w:ascii="宋体" w:hAnsi="宋体" w:eastAsia="宋体" w:cs="宋体"/>
                <w:szCs w:val="21"/>
                <w:lang w:val="en-US" w:eastAsia="zh-CN"/>
              </w:rPr>
            </w:pPr>
            <w:r>
              <w:rPr>
                <w:rFonts w:hint="eastAsia" w:ascii="宋体" w:hAnsi="宋体" w:cs="宋体"/>
                <w:szCs w:val="21"/>
              </w:rPr>
              <w:t>1.管理方案和举措（含食材卫生安全保障机制、质量保障机制、配送业务操作流程等）根据投标人提供的材料横向对比，优秀</w:t>
            </w:r>
            <w:r>
              <w:rPr>
                <w:rFonts w:hint="eastAsia" w:ascii="宋体" w:hAnsi="宋体" w:cs="宋体"/>
                <w:szCs w:val="21"/>
                <w:lang w:val="en-US" w:eastAsia="zh-CN"/>
              </w:rPr>
              <w:t>6</w:t>
            </w:r>
            <w:r>
              <w:rPr>
                <w:rFonts w:hint="eastAsia" w:ascii="宋体" w:hAnsi="宋体" w:cs="宋体"/>
                <w:szCs w:val="21"/>
              </w:rPr>
              <w:t>-</w:t>
            </w:r>
            <w:r>
              <w:rPr>
                <w:rFonts w:hint="eastAsia" w:ascii="宋体" w:hAnsi="宋体" w:cs="宋体"/>
                <w:szCs w:val="21"/>
                <w:lang w:val="en-US" w:eastAsia="zh-CN"/>
              </w:rPr>
              <w:t>8</w:t>
            </w:r>
            <w:r>
              <w:rPr>
                <w:rFonts w:hint="eastAsia" w:ascii="宋体" w:hAnsi="宋体" w:cs="宋体"/>
                <w:szCs w:val="21"/>
              </w:rPr>
              <w:t>分，良好</w:t>
            </w:r>
            <w:r>
              <w:rPr>
                <w:rFonts w:hint="eastAsia" w:ascii="宋体" w:hAnsi="宋体" w:cs="宋体"/>
                <w:szCs w:val="21"/>
                <w:lang w:val="en-US" w:eastAsia="zh-CN"/>
              </w:rPr>
              <w:t>3</w:t>
            </w:r>
            <w:r>
              <w:rPr>
                <w:rFonts w:hint="eastAsia" w:ascii="宋体" w:hAnsi="宋体" w:cs="宋体"/>
                <w:szCs w:val="21"/>
              </w:rPr>
              <w:t>-</w:t>
            </w:r>
            <w:r>
              <w:rPr>
                <w:rFonts w:hint="eastAsia" w:ascii="宋体" w:hAnsi="宋体" w:cs="宋体"/>
                <w:szCs w:val="21"/>
                <w:lang w:val="en-US" w:eastAsia="zh-CN"/>
              </w:rPr>
              <w:t>5</w:t>
            </w:r>
            <w:r>
              <w:rPr>
                <w:rFonts w:hint="eastAsia" w:ascii="宋体" w:hAnsi="宋体" w:cs="宋体"/>
                <w:szCs w:val="21"/>
              </w:rPr>
              <w:t>分，一般1-</w:t>
            </w:r>
            <w:r>
              <w:rPr>
                <w:rFonts w:hint="eastAsia" w:ascii="宋体" w:hAnsi="宋体" w:cs="宋体"/>
                <w:szCs w:val="21"/>
                <w:lang w:val="en-US" w:eastAsia="zh-CN"/>
              </w:rPr>
              <w:t>2</w:t>
            </w:r>
            <w:r>
              <w:rPr>
                <w:rFonts w:hint="eastAsia" w:ascii="宋体" w:hAnsi="宋体" w:cs="宋体"/>
                <w:szCs w:val="21"/>
              </w:rPr>
              <w:t>分；</w:t>
            </w:r>
            <w:r>
              <w:rPr>
                <w:rFonts w:hint="eastAsia" w:ascii="宋体" w:hAnsi="宋体" w:cs="宋体"/>
                <w:szCs w:val="21"/>
                <w:lang w:eastAsia="zh-CN"/>
              </w:rPr>
              <w:t>（</w:t>
            </w:r>
            <w:r>
              <w:rPr>
                <w:rFonts w:hint="eastAsia" w:ascii="宋体" w:hAnsi="宋体" w:cs="宋体"/>
                <w:szCs w:val="21"/>
                <w:lang w:val="en-US" w:eastAsia="zh-CN"/>
              </w:rPr>
              <w:t>8分）</w:t>
            </w:r>
          </w:p>
          <w:p>
            <w:pPr>
              <w:tabs>
                <w:tab w:val="left" w:pos="464"/>
              </w:tabs>
              <w:rPr>
                <w:rFonts w:hint="default" w:ascii="宋体" w:hAnsi="宋体" w:eastAsia="宋体" w:cs="宋体"/>
                <w:szCs w:val="21"/>
                <w:lang w:val="en-US" w:eastAsia="zh-CN"/>
              </w:rPr>
            </w:pPr>
            <w:r>
              <w:rPr>
                <w:rFonts w:hint="eastAsia" w:ascii="宋体" w:hAnsi="宋体" w:cs="宋体"/>
                <w:szCs w:val="21"/>
              </w:rPr>
              <w:t>2.提供应急处</w:t>
            </w:r>
            <w:r>
              <w:rPr>
                <w:rFonts w:hint="eastAsia" w:ascii="宋体" w:hAnsi="宋体" w:cs="宋体"/>
                <w:szCs w:val="21"/>
                <w:lang w:val="en-US" w:eastAsia="zh-CN"/>
              </w:rPr>
              <w:t>置</w:t>
            </w:r>
            <w:r>
              <w:rPr>
                <w:rFonts w:hint="eastAsia" w:ascii="宋体" w:hAnsi="宋体" w:cs="宋体"/>
                <w:szCs w:val="21"/>
              </w:rPr>
              <w:t>的实施方案</w:t>
            </w:r>
            <w:r>
              <w:rPr>
                <w:rFonts w:hint="eastAsia" w:ascii="宋体" w:hAnsi="宋体" w:cs="宋体"/>
                <w:szCs w:val="21"/>
                <w:lang w:eastAsia="zh-CN"/>
              </w:rPr>
              <w:t>，</w:t>
            </w:r>
            <w:r>
              <w:rPr>
                <w:rFonts w:hint="eastAsia" w:ascii="宋体" w:hAnsi="宋体" w:cs="宋体"/>
                <w:szCs w:val="21"/>
              </w:rPr>
              <w:t>根据投标人提供的材料横向对比，优秀</w:t>
            </w:r>
            <w:r>
              <w:rPr>
                <w:rFonts w:ascii="宋体" w:hAnsi="宋体" w:cs="宋体"/>
                <w:szCs w:val="21"/>
              </w:rPr>
              <w:t>4</w:t>
            </w:r>
            <w:r>
              <w:rPr>
                <w:rFonts w:hint="eastAsia" w:ascii="宋体" w:hAnsi="宋体" w:cs="宋体"/>
                <w:szCs w:val="21"/>
              </w:rPr>
              <w:t>分，良好</w:t>
            </w:r>
            <w:r>
              <w:rPr>
                <w:rFonts w:ascii="宋体" w:hAnsi="宋体" w:cs="宋体"/>
                <w:szCs w:val="21"/>
              </w:rPr>
              <w:t>2-3</w:t>
            </w:r>
            <w:r>
              <w:rPr>
                <w:rFonts w:hint="eastAsia" w:ascii="宋体" w:hAnsi="宋体" w:cs="宋体"/>
                <w:szCs w:val="21"/>
              </w:rPr>
              <w:t>分，一般1分，没有得0分；</w:t>
            </w:r>
            <w:r>
              <w:rPr>
                <w:rFonts w:hint="eastAsia" w:ascii="宋体" w:hAnsi="宋体" w:cs="宋体"/>
                <w:szCs w:val="21"/>
                <w:lang w:eastAsia="zh-CN"/>
              </w:rPr>
              <w:t>（</w:t>
            </w:r>
            <w:r>
              <w:rPr>
                <w:rFonts w:hint="eastAsia" w:ascii="宋体" w:hAnsi="宋体" w:cs="宋体"/>
                <w:szCs w:val="21"/>
                <w:lang w:val="en-US" w:eastAsia="zh-CN"/>
              </w:rPr>
              <w:t>4分）</w:t>
            </w:r>
          </w:p>
          <w:p>
            <w:pPr>
              <w:widowControl/>
              <w:spacing w:line="340" w:lineRule="exact"/>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3.本地化服务方案，</w:t>
            </w:r>
            <w:r>
              <w:rPr>
                <w:rFonts w:hint="eastAsia" w:ascii="宋体" w:hAnsi="宋体" w:cs="宋体"/>
                <w:szCs w:val="21"/>
              </w:rPr>
              <w:t>根据投标人提供的材料横向对比</w:t>
            </w:r>
            <w:r>
              <w:rPr>
                <w:rFonts w:hint="eastAsia" w:ascii="宋体" w:hAnsi="宋体" w:cs="宋体"/>
                <w:szCs w:val="21"/>
                <w:lang w:eastAsia="zh-CN"/>
              </w:rPr>
              <w:t>，</w:t>
            </w:r>
            <w:r>
              <w:rPr>
                <w:rFonts w:hint="eastAsia" w:ascii="宋体" w:hAnsi="宋体" w:cs="宋体"/>
                <w:szCs w:val="21"/>
              </w:rPr>
              <w:t>优秀</w:t>
            </w:r>
            <w:r>
              <w:rPr>
                <w:rFonts w:hint="eastAsia" w:ascii="宋体" w:hAnsi="宋体" w:cs="宋体"/>
                <w:szCs w:val="21"/>
                <w:lang w:val="en-US" w:eastAsia="zh-CN"/>
              </w:rPr>
              <w:t>2</w:t>
            </w:r>
            <w:r>
              <w:rPr>
                <w:rFonts w:hint="eastAsia" w:ascii="宋体" w:hAnsi="宋体" w:cs="宋体"/>
                <w:szCs w:val="21"/>
              </w:rPr>
              <w:t>分，良好</w:t>
            </w:r>
            <w:r>
              <w:rPr>
                <w:rFonts w:hint="eastAsia" w:ascii="宋体" w:hAnsi="宋体" w:cs="宋体"/>
                <w:szCs w:val="21"/>
                <w:lang w:val="en-US" w:eastAsia="zh-CN"/>
              </w:rPr>
              <w:t>1</w:t>
            </w:r>
            <w:r>
              <w:rPr>
                <w:rFonts w:hint="eastAsia" w:ascii="宋体" w:hAnsi="宋体" w:cs="宋体"/>
                <w:szCs w:val="21"/>
              </w:rPr>
              <w:t>分，一般</w:t>
            </w:r>
            <w:r>
              <w:rPr>
                <w:rFonts w:hint="eastAsia" w:ascii="宋体" w:hAnsi="宋体" w:cs="宋体"/>
                <w:szCs w:val="21"/>
                <w:lang w:val="en-US" w:eastAsia="zh-CN"/>
              </w:rPr>
              <w:t>0.5</w:t>
            </w:r>
            <w:r>
              <w:rPr>
                <w:rFonts w:hint="eastAsia" w:ascii="宋体" w:hAnsi="宋体" w:cs="宋体"/>
                <w:szCs w:val="21"/>
              </w:rPr>
              <w:t>分，没有</w:t>
            </w:r>
            <w:r>
              <w:rPr>
                <w:rFonts w:hint="eastAsia" w:ascii="宋体" w:hAnsi="宋体" w:cs="宋体"/>
                <w:szCs w:val="21"/>
                <w:lang w:val="en-US" w:eastAsia="zh-CN"/>
              </w:rPr>
              <w:t>不</w:t>
            </w:r>
            <w:r>
              <w:rPr>
                <w:rFonts w:hint="eastAsia" w:ascii="宋体" w:hAnsi="宋体" w:cs="宋体"/>
                <w:szCs w:val="21"/>
              </w:rPr>
              <w:t>得分</w:t>
            </w:r>
            <w:r>
              <w:rPr>
                <w:rFonts w:hint="eastAsia" w:ascii="宋体" w:hAnsi="宋体" w:cs="宋体"/>
                <w:color w:val="000000" w:themeColor="text1"/>
                <w:kern w:val="0"/>
                <w:szCs w:val="21"/>
                <w:lang w:val="en-US" w:eastAsia="zh-CN"/>
                <w14:textFill>
                  <w14:solidFill>
                    <w14:schemeClr w14:val="tx1"/>
                  </w14:solidFill>
                </w14:textFill>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（8分）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color w:val="auto"/>
                <w:kern w:val="0"/>
                <w:szCs w:val="21"/>
              </w:rPr>
            </w:pPr>
            <w:r>
              <w:rPr>
                <w:rFonts w:hint="eastAsia" w:ascii="宋体" w:hAnsi="宋体" w:cs="宋体"/>
                <w:color w:val="auto"/>
                <w:szCs w:val="21"/>
              </w:rPr>
              <w:t>仓储仓库</w:t>
            </w:r>
            <w:r>
              <w:rPr>
                <w:rFonts w:hint="eastAsia" w:ascii="宋体" w:hAnsi="宋体" w:cs="宋体"/>
                <w:color w:val="auto"/>
                <w:kern w:val="0"/>
                <w:szCs w:val="21"/>
              </w:rPr>
              <w:t>800平方米（含）</w:t>
            </w:r>
            <w:r>
              <w:rPr>
                <w:rFonts w:hint="eastAsia" w:ascii="宋体" w:hAnsi="宋体" w:cs="宋体"/>
                <w:color w:val="auto"/>
                <w:szCs w:val="21"/>
              </w:rPr>
              <w:t>以上</w:t>
            </w:r>
            <w:r>
              <w:rPr>
                <w:rFonts w:hint="eastAsia" w:ascii="宋体" w:hAnsi="宋体" w:cs="宋体"/>
                <w:bCs/>
                <w:color w:val="auto"/>
                <w:szCs w:val="21"/>
              </w:rPr>
              <w:t>得</w:t>
            </w:r>
            <w:r>
              <w:rPr>
                <w:rFonts w:hint="eastAsia" w:ascii="宋体" w:hAnsi="宋体" w:cs="宋体"/>
                <w:color w:val="auto"/>
                <w:kern w:val="0"/>
                <w:szCs w:val="21"/>
              </w:rPr>
              <w:t>8分， 600平方米（含）至800平方米</w:t>
            </w:r>
            <w:r>
              <w:rPr>
                <w:rFonts w:hint="eastAsia" w:ascii="宋体" w:hAnsi="宋体" w:cs="宋体"/>
                <w:bCs/>
                <w:color w:val="auto"/>
                <w:szCs w:val="21"/>
              </w:rPr>
              <w:t>得6</w:t>
            </w:r>
            <w:r>
              <w:rPr>
                <w:rFonts w:hint="eastAsia" w:ascii="宋体" w:hAnsi="宋体" w:cs="宋体"/>
                <w:color w:val="auto"/>
                <w:kern w:val="0"/>
                <w:szCs w:val="21"/>
              </w:rPr>
              <w:t>分，400平方米</w:t>
            </w:r>
            <w:r>
              <w:rPr>
                <w:rFonts w:ascii="宋体" w:hAnsi="宋体" w:cs="宋体"/>
                <w:color w:val="auto"/>
                <w:kern w:val="0"/>
                <w:szCs w:val="21"/>
              </w:rPr>
              <w:t>（</w:t>
            </w:r>
            <w:r>
              <w:rPr>
                <w:rFonts w:hint="eastAsia" w:ascii="宋体" w:hAnsi="宋体" w:cs="宋体"/>
                <w:color w:val="auto"/>
                <w:kern w:val="0"/>
                <w:szCs w:val="21"/>
              </w:rPr>
              <w:t>含</w:t>
            </w:r>
            <w:r>
              <w:rPr>
                <w:rFonts w:ascii="宋体" w:hAnsi="宋体" w:cs="宋体"/>
                <w:color w:val="auto"/>
                <w:kern w:val="0"/>
                <w:szCs w:val="21"/>
              </w:rPr>
              <w:t>）</w:t>
            </w:r>
            <w:r>
              <w:rPr>
                <w:rFonts w:hint="eastAsia" w:ascii="宋体" w:hAnsi="宋体" w:cs="宋体"/>
                <w:color w:val="auto"/>
                <w:kern w:val="0"/>
                <w:szCs w:val="21"/>
              </w:rPr>
              <w:t>至600平方米</w:t>
            </w:r>
            <w:r>
              <w:rPr>
                <w:rFonts w:hint="eastAsia" w:ascii="宋体" w:hAnsi="宋体" w:cs="宋体"/>
                <w:bCs/>
                <w:color w:val="auto"/>
                <w:szCs w:val="21"/>
              </w:rPr>
              <w:t>得4</w:t>
            </w:r>
            <w:r>
              <w:rPr>
                <w:rFonts w:hint="eastAsia" w:ascii="宋体" w:hAnsi="宋体" w:cs="宋体"/>
                <w:color w:val="auto"/>
                <w:kern w:val="0"/>
                <w:szCs w:val="21"/>
              </w:rPr>
              <w:t>分，200平方米（含）至400平方米</w:t>
            </w:r>
            <w:r>
              <w:rPr>
                <w:rFonts w:hint="eastAsia" w:ascii="宋体" w:hAnsi="宋体" w:cs="宋体"/>
                <w:bCs/>
                <w:color w:val="auto"/>
                <w:szCs w:val="21"/>
              </w:rPr>
              <w:t>得2</w:t>
            </w:r>
            <w:r>
              <w:rPr>
                <w:rFonts w:hint="eastAsia" w:ascii="宋体" w:hAnsi="宋体" w:cs="宋体"/>
                <w:color w:val="auto"/>
                <w:kern w:val="0"/>
                <w:szCs w:val="21"/>
              </w:rPr>
              <w:t>分，200平方米</w:t>
            </w:r>
            <w:r>
              <w:rPr>
                <w:rFonts w:ascii="宋体" w:hAnsi="宋体" w:cs="宋体"/>
                <w:color w:val="auto"/>
                <w:kern w:val="0"/>
                <w:szCs w:val="21"/>
              </w:rPr>
              <w:t>以下</w:t>
            </w:r>
            <w:r>
              <w:rPr>
                <w:rFonts w:hint="eastAsia" w:ascii="宋体" w:hAnsi="宋体" w:cs="宋体"/>
                <w:color w:val="auto"/>
                <w:kern w:val="0"/>
                <w:szCs w:val="21"/>
              </w:rPr>
              <w:t>不得分。（8分）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color w:val="000000"/>
                <w:kern w:val="0"/>
                <w:szCs w:val="21"/>
              </w:rPr>
              <w:t>注：</w:t>
            </w:r>
            <w:r>
              <w:rPr>
                <w:rFonts w:hint="eastAsia" w:ascii="宋体" w:hAnsi="宋体" w:cs="宋体"/>
                <w:color w:val="000000"/>
                <w:kern w:val="0"/>
                <w:szCs w:val="21"/>
                <w:lang w:eastAsia="zh-CN"/>
              </w:rPr>
              <w:t>投标人</w:t>
            </w:r>
            <w:r>
              <w:rPr>
                <w:rFonts w:hint="eastAsia" w:ascii="宋体" w:hAnsi="宋体" w:cs="宋体"/>
                <w:color w:val="000000"/>
                <w:kern w:val="0"/>
                <w:szCs w:val="21"/>
              </w:rPr>
              <w:t>提供仓库的相关图片。自有仓库的须提供相关产权证明复印件；租赁仓库的须提供租赁协议及出租方相关产权证明复印件。上述资料不提供或提供不全的不得分</w:t>
            </w:r>
            <w:r>
              <w:rPr>
                <w:rFonts w:hint="eastAsia" w:ascii="宋体" w:hAnsi="宋体" w:cs="宋体"/>
                <w:color w:val="000000"/>
                <w:kern w:val="0"/>
                <w:szCs w:val="21"/>
                <w:lang w:eastAsia="zh-CN"/>
              </w:rPr>
              <w:t>，原件备查。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（5分）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ascii="宋体" w:hAnsi="宋体" w:cs="宋体"/>
                <w:szCs w:val="21"/>
                <w:lang w:val="en-US" w:eastAsia="zh-CN"/>
              </w:rPr>
            </w:pPr>
            <w:r>
              <w:rPr>
                <w:rFonts w:hint="eastAsia" w:ascii="宋体" w:hAnsi="宋体" w:cs="宋体"/>
                <w:szCs w:val="21"/>
                <w:lang w:eastAsia="zh-CN"/>
              </w:rPr>
              <w:t>投标人每提供一辆自有运输车得</w:t>
            </w:r>
            <w:r>
              <w:rPr>
                <w:rFonts w:hint="eastAsia" w:ascii="宋体" w:hAnsi="宋体" w:cs="宋体"/>
                <w:szCs w:val="21"/>
                <w:lang w:val="en-US" w:eastAsia="zh-CN"/>
              </w:rPr>
              <w:t>3分，提供一辆租</w:t>
            </w:r>
            <w:r>
              <w:rPr>
                <w:rFonts w:hint="eastAsia" w:ascii="宋体" w:hAnsi="宋体" w:cs="宋体"/>
                <w:szCs w:val="21"/>
              </w:rPr>
              <w:t>赁</w:t>
            </w:r>
            <w:r>
              <w:rPr>
                <w:rFonts w:hint="eastAsia" w:ascii="宋体" w:hAnsi="宋体" w:cs="宋体"/>
                <w:szCs w:val="21"/>
                <w:lang w:eastAsia="zh-CN"/>
              </w:rPr>
              <w:t>运输车得</w:t>
            </w:r>
            <w:r>
              <w:rPr>
                <w:rFonts w:hint="eastAsia" w:ascii="宋体" w:hAnsi="宋体" w:cs="宋体"/>
                <w:szCs w:val="21"/>
                <w:lang w:val="en-US" w:eastAsia="zh-CN"/>
              </w:rPr>
              <w:t>1分</w:t>
            </w:r>
            <w:r>
              <w:rPr>
                <w:rFonts w:hint="eastAsia" w:ascii="宋体" w:hAnsi="宋体" w:cs="宋体"/>
                <w:szCs w:val="21"/>
              </w:rPr>
              <w:t>，</w:t>
            </w:r>
            <w:r>
              <w:rPr>
                <w:rFonts w:hint="eastAsia" w:ascii="宋体" w:hAnsi="宋体" w:cs="宋体"/>
                <w:szCs w:val="21"/>
                <w:lang w:eastAsia="zh-CN"/>
              </w:rPr>
              <w:t>租赁车辆最多得</w:t>
            </w:r>
            <w:r>
              <w:rPr>
                <w:rFonts w:hint="eastAsia" w:ascii="宋体" w:hAnsi="宋体" w:cs="宋体"/>
                <w:szCs w:val="21"/>
                <w:lang w:val="en-US" w:eastAsia="zh-CN"/>
              </w:rPr>
              <w:t>2分。（5分）</w:t>
            </w:r>
          </w:p>
          <w:p>
            <w:pPr>
              <w:widowControl/>
              <w:spacing w:line="340" w:lineRule="exact"/>
              <w:jc w:val="left"/>
              <w:rPr>
                <w:color w:val="000000" w:themeColor="text1"/>
                <w:szCs w:val="21"/>
                <w14:textFill>
                  <w14:solidFill>
                    <w14:schemeClr w14:val="tx1"/>
                  </w14:solidFill>
                </w14:textFill>
              </w:rPr>
            </w:pPr>
            <w:r>
              <w:rPr>
                <w:rFonts w:hint="eastAsia" w:ascii="宋体" w:hAnsi="宋体" w:cs="宋体"/>
                <w:szCs w:val="21"/>
                <w:lang w:val="en-US" w:eastAsia="zh-CN"/>
              </w:rPr>
              <w:t>注：</w:t>
            </w:r>
            <w:r>
              <w:rPr>
                <w:rFonts w:hint="eastAsia" w:ascii="宋体" w:hAnsi="宋体" w:cs="宋体"/>
                <w:szCs w:val="21"/>
              </w:rPr>
              <w:t>须提供相关证明材料（自有车辆所有人为投标单位</w:t>
            </w:r>
            <w:r>
              <w:rPr>
                <w:rFonts w:hint="eastAsia" w:ascii="宋体" w:hAnsi="宋体" w:cs="宋体"/>
                <w:szCs w:val="21"/>
                <w:lang w:eastAsia="zh-CN"/>
              </w:rPr>
              <w:t>，提供运输车辆</w:t>
            </w:r>
            <w:r>
              <w:rPr>
                <w:rFonts w:hint="eastAsia" w:ascii="宋体" w:hAnsi="宋体" w:cs="宋体"/>
                <w:szCs w:val="21"/>
                <w:lang w:val="en-US" w:eastAsia="zh-CN"/>
              </w:rPr>
              <w:t>行驶证</w:t>
            </w:r>
            <w:r>
              <w:rPr>
                <w:rFonts w:hint="eastAsia" w:ascii="宋体" w:hAnsi="宋体" w:cs="宋体"/>
                <w:szCs w:val="21"/>
                <w:lang w:eastAsia="zh-CN"/>
              </w:rPr>
              <w:t>复印件及车辆外观彩色照片。</w:t>
            </w:r>
            <w:r>
              <w:rPr>
                <w:rFonts w:hint="eastAsia" w:ascii="宋体" w:hAnsi="宋体" w:cs="宋体"/>
                <w:szCs w:val="21"/>
              </w:rPr>
              <w:t>租赁</w:t>
            </w:r>
            <w:r>
              <w:rPr>
                <w:rFonts w:hint="eastAsia" w:ascii="宋体" w:hAnsi="宋体" w:cs="宋体"/>
                <w:szCs w:val="21"/>
                <w:lang w:eastAsia="zh-CN"/>
              </w:rPr>
              <w:t>车辆须提供租赁企业道路经营许可证复印件、租赁车辆</w:t>
            </w:r>
            <w:r>
              <w:rPr>
                <w:rFonts w:hint="eastAsia" w:ascii="宋体" w:hAnsi="宋体" w:cs="宋体"/>
                <w:szCs w:val="21"/>
              </w:rPr>
              <w:t>合同复印件</w:t>
            </w:r>
            <w:r>
              <w:rPr>
                <w:rFonts w:hint="eastAsia" w:ascii="宋体" w:hAnsi="宋体" w:cs="宋体"/>
                <w:szCs w:val="21"/>
                <w:lang w:eastAsia="zh-CN"/>
              </w:rPr>
              <w:t>、</w:t>
            </w:r>
            <w:r>
              <w:rPr>
                <w:rFonts w:hint="eastAsia" w:ascii="宋体" w:hAnsi="宋体" w:cs="宋体"/>
                <w:szCs w:val="21"/>
              </w:rPr>
              <w:t>运输车辆的机动车行驶证复印件</w:t>
            </w:r>
            <w:r>
              <w:rPr>
                <w:rFonts w:hint="eastAsia" w:ascii="宋体" w:hAnsi="宋体" w:cs="宋体"/>
                <w:szCs w:val="21"/>
                <w:lang w:eastAsia="zh-CN"/>
              </w:rPr>
              <w:t>、车辆外观彩色照片</w:t>
            </w:r>
            <w:r>
              <w:rPr>
                <w:rFonts w:hint="eastAsia" w:ascii="宋体" w:hAnsi="宋体" w:cs="宋体"/>
                <w:szCs w:val="21"/>
              </w:rPr>
              <w:t>，</w:t>
            </w:r>
            <w:r>
              <w:rPr>
                <w:rFonts w:hint="eastAsia" w:ascii="宋体" w:hAnsi="宋体" w:cs="宋体"/>
                <w:szCs w:val="21"/>
                <w:lang w:eastAsia="zh-CN"/>
              </w:rPr>
              <w:t>所有复印件模糊不清的</w:t>
            </w:r>
            <w:r>
              <w:rPr>
                <w:rFonts w:hint="eastAsia" w:ascii="宋体" w:hAnsi="宋体" w:cs="宋体"/>
                <w:szCs w:val="21"/>
              </w:rPr>
              <w:t>不得分</w:t>
            </w:r>
            <w:r>
              <w:rPr>
                <w:rFonts w:hint="eastAsia" w:ascii="宋体" w:hAnsi="宋体" w:cs="宋体"/>
                <w:szCs w:val="21"/>
                <w:lang w:eastAsia="zh-CN"/>
              </w:rPr>
              <w:t>，</w:t>
            </w:r>
            <w:r>
              <w:rPr>
                <w:rFonts w:hint="eastAsia" w:ascii="宋体" w:hAnsi="宋体" w:cs="宋体"/>
                <w:color w:val="000000"/>
                <w:kern w:val="0"/>
                <w:szCs w:val="21"/>
                <w:lang w:eastAsia="zh-CN"/>
              </w:rPr>
              <w:t>原件备查</w:t>
            </w:r>
            <w:r>
              <w:rPr>
                <w:rFonts w:hint="eastAsia" w:ascii="宋体" w:hAnsi="宋体" w:cs="宋体"/>
                <w:szCs w:val="21"/>
                <w:lang w:eastAsia="zh-CN"/>
              </w:rPr>
              <w:t>）</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hint="eastAsia" w:ascii="宋体" w:hAnsi="宋体" w:cs="宋体"/>
                <w:szCs w:val="21"/>
                <w:lang w:eastAsia="zh-CN"/>
              </w:rPr>
            </w:pPr>
            <w:r>
              <w:rPr>
                <w:rFonts w:hint="eastAsia" w:ascii="宋体" w:hAnsi="宋体" w:cs="宋体"/>
                <w:szCs w:val="21"/>
                <w:lang w:eastAsia="zh-CN"/>
              </w:rPr>
              <w:t>疫情防控</w:t>
            </w:r>
          </w:p>
          <w:p>
            <w:pPr>
              <w:widowControl/>
              <w:spacing w:line="340" w:lineRule="exact"/>
              <w:jc w:val="center"/>
              <w:rPr>
                <w:rFonts w:hint="default" w:ascii="宋体" w:hAnsi="宋体" w:cs="宋体"/>
                <w:szCs w:val="21"/>
                <w:lang w:val="en-US" w:eastAsia="zh-CN"/>
              </w:rPr>
            </w:pPr>
            <w:r>
              <w:rPr>
                <w:rFonts w:hint="eastAsia" w:ascii="宋体" w:hAnsi="宋体" w:cs="宋体"/>
                <w:szCs w:val="21"/>
                <w:lang w:val="en-US" w:eastAsia="zh-CN"/>
              </w:rPr>
              <w:t>(2分）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eastAsia" w:ascii="宋体" w:hAnsi="宋体" w:eastAsia="宋体" w:cs="宋体"/>
                <w:bCs/>
                <w:szCs w:val="21"/>
                <w:lang w:val="en-US" w:eastAsia="zh-CN"/>
              </w:rPr>
            </w:pPr>
            <w:r>
              <w:rPr>
                <w:rFonts w:hint="eastAsia" w:ascii="宋体" w:hAnsi="宋体" w:cs="宋体"/>
                <w:bCs/>
                <w:szCs w:val="21"/>
                <w:lang w:eastAsia="zh-CN"/>
              </w:rPr>
              <w:t>投标人提供切合实际、行之有效的疫情防控应急配送方案。</w:t>
            </w:r>
            <w:r>
              <w:rPr>
                <w:rFonts w:hint="eastAsia" w:ascii="宋体" w:hAnsi="宋体" w:cs="宋体"/>
                <w:szCs w:val="21"/>
              </w:rPr>
              <w:t>优秀</w:t>
            </w:r>
            <w:r>
              <w:rPr>
                <w:rFonts w:hint="eastAsia" w:ascii="宋体" w:hAnsi="宋体" w:cs="宋体"/>
                <w:szCs w:val="21"/>
                <w:lang w:val="en-US" w:eastAsia="zh-CN"/>
              </w:rPr>
              <w:t>2</w:t>
            </w:r>
            <w:r>
              <w:rPr>
                <w:rFonts w:hint="eastAsia" w:ascii="宋体" w:hAnsi="宋体" w:cs="宋体"/>
                <w:szCs w:val="21"/>
              </w:rPr>
              <w:t>分，良好</w:t>
            </w:r>
            <w:r>
              <w:rPr>
                <w:rFonts w:hint="eastAsia" w:ascii="宋体" w:hAnsi="宋体" w:cs="宋体"/>
                <w:szCs w:val="21"/>
                <w:lang w:val="en-US" w:eastAsia="zh-CN"/>
              </w:rPr>
              <w:t>1</w:t>
            </w:r>
            <w:r>
              <w:rPr>
                <w:rFonts w:hint="eastAsia" w:ascii="宋体" w:hAnsi="宋体" w:cs="宋体"/>
                <w:szCs w:val="21"/>
              </w:rPr>
              <w:t>分，一般得</w:t>
            </w:r>
            <w:r>
              <w:rPr>
                <w:rFonts w:hint="eastAsia" w:ascii="宋体" w:hAnsi="宋体" w:cs="宋体"/>
                <w:szCs w:val="21"/>
                <w:lang w:val="en-US" w:eastAsia="zh-CN"/>
              </w:rPr>
              <w:t>0.5</w:t>
            </w:r>
            <w:r>
              <w:rPr>
                <w:rFonts w:hint="eastAsia" w:ascii="宋体" w:hAnsi="宋体" w:cs="宋体"/>
                <w:szCs w:val="21"/>
              </w:rPr>
              <w:t>分</w:t>
            </w:r>
            <w:r>
              <w:rPr>
                <w:rFonts w:hint="eastAsia" w:ascii="宋体" w:hAnsi="宋体" w:cs="宋体"/>
                <w:szCs w:val="21"/>
                <w:lang w:eastAsia="zh-CN"/>
              </w:rPr>
              <w:t>。（</w:t>
            </w:r>
            <w:r>
              <w:rPr>
                <w:rFonts w:hint="eastAsia" w:ascii="宋体" w:hAnsi="宋体" w:cs="宋体"/>
                <w:szCs w:val="21"/>
                <w:lang w:val="en-US" w:eastAsia="zh-CN"/>
              </w:rPr>
              <w:t>2分</w:t>
            </w:r>
            <w:r>
              <w:rPr>
                <w:rFonts w:hint="eastAsia" w:ascii="宋体" w:hAnsi="宋体" w:cs="宋体"/>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样品      （</w:t>
            </w:r>
            <w:r>
              <w:rPr>
                <w:rFonts w:hint="eastAsia" w:ascii="宋体" w:hAnsi="宋体" w:cs="宋体"/>
                <w:szCs w:val="21"/>
                <w:lang w:val="en-US" w:eastAsia="zh-CN"/>
              </w:rPr>
              <w:t>5</w:t>
            </w:r>
            <w:r>
              <w:rPr>
                <w:rFonts w:hint="eastAsia" w:ascii="宋体" w:hAnsi="宋体" w:cs="宋体"/>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ascii="宋体" w:hAnsi="宋体" w:eastAsia="宋体" w:cs="宋体"/>
                <w:szCs w:val="21"/>
                <w:lang w:val="en-US" w:eastAsia="zh-CN"/>
              </w:rPr>
            </w:pPr>
            <w:r>
              <w:rPr>
                <w:rFonts w:hint="eastAsia" w:ascii="宋体" w:hAnsi="宋体" w:cs="宋体"/>
                <w:b/>
                <w:bCs w:val="0"/>
                <w:szCs w:val="21"/>
                <w:lang w:val="en-US" w:eastAsia="zh-CN"/>
              </w:rPr>
              <w:t>提供原包装</w:t>
            </w:r>
            <w:r>
              <w:rPr>
                <w:rFonts w:hint="eastAsia" w:ascii="宋体" w:hAnsi="宋体" w:cs="宋体"/>
                <w:b/>
                <w:bCs w:val="0"/>
                <w:szCs w:val="21"/>
              </w:rPr>
              <w:t>样品</w:t>
            </w:r>
            <w:r>
              <w:rPr>
                <w:rFonts w:hint="eastAsia" w:ascii="宋体" w:hAnsi="宋体" w:cs="宋体"/>
                <w:b/>
                <w:bCs w:val="0"/>
                <w:szCs w:val="21"/>
                <w:lang w:val="en-US" w:eastAsia="zh-CN"/>
              </w:rPr>
              <w:t>1件（20升/桶或箱）</w:t>
            </w:r>
            <w:r>
              <w:rPr>
                <w:rFonts w:hint="eastAsia" w:ascii="宋体" w:hAnsi="宋体" w:cs="宋体"/>
                <w:bCs/>
                <w:szCs w:val="21"/>
                <w:lang w:eastAsia="zh-CN"/>
              </w:rPr>
              <w:t>，</w:t>
            </w:r>
            <w:r>
              <w:rPr>
                <w:rFonts w:hint="eastAsia" w:ascii="宋体" w:hAnsi="宋体" w:cs="宋体"/>
                <w:bCs/>
                <w:szCs w:val="21"/>
                <w:lang w:val="en-US" w:eastAsia="zh-CN"/>
              </w:rPr>
              <w:t>横向</w:t>
            </w:r>
            <w:r>
              <w:rPr>
                <w:rFonts w:hint="eastAsia" w:ascii="宋体" w:hAnsi="宋体" w:cs="宋体"/>
                <w:szCs w:val="21"/>
              </w:rPr>
              <w:t>对比优秀得</w:t>
            </w:r>
            <w:r>
              <w:rPr>
                <w:rFonts w:hint="eastAsia" w:ascii="宋体" w:hAnsi="宋体" w:cs="宋体"/>
                <w:szCs w:val="21"/>
                <w:lang w:val="en-US" w:eastAsia="zh-CN"/>
              </w:rPr>
              <w:t>4-5</w:t>
            </w:r>
            <w:r>
              <w:rPr>
                <w:rFonts w:hint="eastAsia" w:ascii="宋体" w:hAnsi="宋体" w:cs="宋体"/>
                <w:szCs w:val="21"/>
              </w:rPr>
              <w:t>分，良好得2</w:t>
            </w:r>
            <w:r>
              <w:rPr>
                <w:rFonts w:hint="eastAsia" w:ascii="宋体" w:hAnsi="宋体" w:cs="宋体"/>
                <w:szCs w:val="21"/>
                <w:lang w:val="en-US" w:eastAsia="zh-CN"/>
              </w:rPr>
              <w:t>-3</w:t>
            </w:r>
            <w:r>
              <w:rPr>
                <w:rFonts w:hint="eastAsia" w:ascii="宋体" w:hAnsi="宋体" w:cs="宋体"/>
                <w:szCs w:val="21"/>
              </w:rPr>
              <w:t>分，一般得1分，没有不得分</w:t>
            </w:r>
            <w:r>
              <w:rPr>
                <w:rFonts w:hint="eastAsia" w:ascii="宋体" w:hAnsi="宋体" w:cs="宋体"/>
                <w:szCs w:val="21"/>
                <w:lang w:eastAsia="zh-CN"/>
              </w:rPr>
              <w:t>。（</w:t>
            </w:r>
            <w:r>
              <w:rPr>
                <w:rFonts w:hint="eastAsia" w:ascii="宋体" w:hAnsi="宋体" w:cs="宋体"/>
                <w:szCs w:val="21"/>
                <w:lang w:val="en-US" w:eastAsia="zh-CN"/>
              </w:rPr>
              <w:t>5分</w:t>
            </w:r>
            <w:r>
              <w:rPr>
                <w:rFonts w:hint="eastAsia" w:ascii="宋体" w:hAnsi="宋体" w:cs="宋体"/>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rFonts w:hint="eastAsia"/>
          <w:b/>
          <w:color w:val="000000" w:themeColor="text1"/>
          <w:sz w:val="24"/>
          <w14:textFill>
            <w14:solidFill>
              <w14:schemeClr w14:val="tx1"/>
            </w14:solidFill>
          </w14:textFill>
        </w:rPr>
      </w:pPr>
    </w:p>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b/>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color w:val="auto"/>
          <w:sz w:val="24"/>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w:t>
      </w:r>
      <w:r>
        <w:rPr>
          <w:rFonts w:hint="eastAsia"/>
          <w:color w:val="000000" w:themeColor="text1"/>
          <w:sz w:val="24"/>
          <w14:textFill>
            <w14:solidFill>
              <w14:schemeClr w14:val="tx1"/>
            </w14:solidFill>
          </w14:textFill>
        </w:rPr>
        <w:t>得分最高且排名第一的投标人将被推荐为中标候选人或者直接被确定为中标人</w:t>
      </w: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得分相同的，按投标报价由低到高顺序排列</w:t>
      </w:r>
      <w:r>
        <w:rPr>
          <w:rFonts w:hint="eastAsia"/>
          <w:color w:val="000000" w:themeColor="text1"/>
          <w:sz w:val="24"/>
          <w:lang w:eastAsia="zh-CN"/>
          <w14:textFill>
            <w14:solidFill>
              <w14:schemeClr w14:val="tx1"/>
            </w14:solidFill>
          </w14:textFill>
        </w:rPr>
        <w:t>，</w:t>
      </w:r>
      <w:r>
        <w:rPr>
          <w:color w:val="auto"/>
          <w:sz w:val="24"/>
        </w:rPr>
        <w:t>如报价相同</w:t>
      </w:r>
      <w:r>
        <w:rPr>
          <w:rFonts w:hint="eastAsia"/>
          <w:color w:val="auto"/>
          <w:sz w:val="24"/>
        </w:rPr>
        <w:t>按服务方案得分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jc w:val="center"/>
        <w:rPr>
          <w:color w:val="000000" w:themeColor="text1"/>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r>
        <w:rPr>
          <w:rFonts w:ascii="宋体"/>
          <w:color w:val="000000" w:themeColor="text1"/>
          <w:spacing w:val="4"/>
          <w14:textFill>
            <w14:solidFill>
              <w14:schemeClr w14:val="tx1"/>
            </w14:solidFill>
          </w14:textFill>
        </w:rPr>
        <w:br w:type="page"/>
      </w:r>
      <w:bookmarkStart w:id="14" w:name="_Toc73516690"/>
      <w:r>
        <w:rPr>
          <w:rFonts w:hint="eastAsia"/>
          <w:color w:val="000000" w:themeColor="text1"/>
          <w:sz w:val="44"/>
          <w:szCs w:val="44"/>
          <w14:textFill>
            <w14:solidFill>
              <w14:schemeClr w14:val="tx1"/>
            </w14:solidFill>
          </w14:textFill>
        </w:rPr>
        <w:t>第三部分招标货物要求及相关说明</w:t>
      </w:r>
      <w:bookmarkEnd w:id="14"/>
    </w:p>
    <w:p>
      <w:pPr>
        <w:rPr>
          <w:color w:val="000000" w:themeColor="text1"/>
          <w14:textFill>
            <w14:solidFill>
              <w14:schemeClr w14:val="tx1"/>
            </w14:solidFill>
          </w14:textFill>
        </w:rPr>
      </w:pP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1.大豆油符合国标GB/T 1535-2017，一级大豆油；</w:t>
      </w:r>
    </w:p>
    <w:p>
      <w:pPr>
        <w:spacing w:line="440" w:lineRule="exact"/>
        <w:ind w:firstLine="480" w:firstLineChars="200"/>
        <w:rPr>
          <w:rFonts w:ascii="宋体" w:hAnsi="宋体" w:cs="宋体"/>
          <w:kern w:val="0"/>
          <w:sz w:val="24"/>
        </w:rPr>
      </w:pPr>
      <w:r>
        <w:rPr>
          <w:rFonts w:hint="eastAsia" w:ascii="宋体" w:hAnsi="宋体" w:cs="宋体"/>
          <w:kern w:val="0"/>
          <w:sz w:val="24"/>
        </w:rPr>
        <w:t>2.要求定量</w:t>
      </w:r>
      <w:r>
        <w:rPr>
          <w:rFonts w:hint="eastAsia" w:ascii="宋体" w:hAnsi="宋体" w:cs="宋体"/>
          <w:kern w:val="0"/>
          <w:sz w:val="24"/>
          <w:lang w:eastAsia="zh-CN"/>
        </w:rPr>
        <w:t>（</w:t>
      </w:r>
      <w:r>
        <w:rPr>
          <w:rFonts w:hint="eastAsia" w:ascii="宋体" w:hAnsi="宋体" w:cs="宋体"/>
          <w:kern w:val="0"/>
          <w:sz w:val="24"/>
          <w:lang w:val="en-US" w:eastAsia="zh-CN"/>
        </w:rPr>
        <w:t>20L/桶或20L/箱</w:t>
      </w:r>
      <w:r>
        <w:rPr>
          <w:rFonts w:hint="eastAsia" w:ascii="宋体" w:hAnsi="宋体" w:cs="宋体"/>
          <w:kern w:val="0"/>
          <w:sz w:val="24"/>
          <w:lang w:eastAsia="zh-CN"/>
        </w:rPr>
        <w:t>），</w:t>
      </w:r>
      <w:r>
        <w:rPr>
          <w:rFonts w:hint="eastAsia" w:ascii="宋体" w:hAnsi="宋体" w:cs="宋体"/>
          <w:kern w:val="0"/>
          <w:sz w:val="24"/>
        </w:rPr>
        <w:t>包装上标明品名、厂名、重量、生产日期、保质期或保存期、“SC”食品生产许可证编号等执行标准</w:t>
      </w:r>
      <w:r>
        <w:rPr>
          <w:rFonts w:hint="eastAsia" w:ascii="宋体" w:hAnsi="宋体" w:cs="宋体"/>
          <w:kern w:val="0"/>
          <w:sz w:val="24"/>
          <w:lang w:eastAsia="zh-CN"/>
        </w:rPr>
        <w:t>，</w:t>
      </w:r>
      <w:r>
        <w:rPr>
          <w:rFonts w:asciiTheme="minorEastAsia" w:hAnsiTheme="minorEastAsia" w:eastAsiaTheme="minorEastAsia"/>
          <w:sz w:val="24"/>
          <w:szCs w:val="24"/>
        </w:rPr>
        <w:t>供货时的剩余保质期不少于三分之二</w:t>
      </w:r>
      <w:r>
        <w:rPr>
          <w:rFonts w:hint="eastAsia" w:ascii="宋体" w:hAnsi="宋体" w:cs="宋体"/>
          <w:kern w:val="0"/>
          <w:sz w:val="24"/>
        </w:rPr>
        <w:t>；</w:t>
      </w:r>
    </w:p>
    <w:p>
      <w:pPr>
        <w:spacing w:line="440" w:lineRule="exact"/>
        <w:ind w:firstLine="480" w:firstLineChars="200"/>
        <w:rPr>
          <w:rFonts w:ascii="宋体" w:hAnsi="宋体" w:cs="宋体"/>
          <w:kern w:val="0"/>
          <w:sz w:val="24"/>
        </w:rPr>
      </w:pPr>
      <w:r>
        <w:rPr>
          <w:rFonts w:hint="eastAsia" w:ascii="宋体" w:hAnsi="宋体" w:cs="宋体"/>
          <w:kern w:val="0"/>
          <w:sz w:val="24"/>
        </w:rPr>
        <w:t>3.具有正常植物油的色泽、透明度、气味和滋味，无焦臭、酸败及其他异味；</w:t>
      </w:r>
    </w:p>
    <w:p>
      <w:pPr>
        <w:spacing w:line="440" w:lineRule="exact"/>
        <w:ind w:firstLine="480" w:firstLineChars="200"/>
        <w:rPr>
          <w:rFonts w:ascii="宋体" w:hAnsi="宋体" w:cs="宋体"/>
          <w:kern w:val="0"/>
          <w:sz w:val="24"/>
        </w:rPr>
      </w:pPr>
      <w:r>
        <w:rPr>
          <w:rFonts w:hint="eastAsia" w:ascii="宋体" w:hAnsi="宋体" w:cs="宋体"/>
          <w:kern w:val="0"/>
          <w:sz w:val="24"/>
        </w:rPr>
        <w:t>4.所供每批次产品必须出具产品合格证；</w:t>
      </w: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二、有关说明</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1.投标人在递交投标书的同时，须提供</w:t>
      </w:r>
      <w:r>
        <w:rPr>
          <w:rFonts w:hint="eastAsia" w:ascii="宋体" w:hAnsi="宋体" w:cs="宋体"/>
          <w:kern w:val="0"/>
          <w:sz w:val="24"/>
          <w:lang w:eastAsia="zh-CN"/>
        </w:rPr>
        <w:t>原包装</w:t>
      </w:r>
      <w:r>
        <w:rPr>
          <w:rFonts w:hint="eastAsia" w:ascii="宋体" w:hAnsi="宋体" w:cs="宋体"/>
          <w:kern w:val="0"/>
          <w:sz w:val="24"/>
        </w:rPr>
        <w:t>样品，大豆油</w:t>
      </w:r>
      <w:r>
        <w:rPr>
          <w:rFonts w:hint="eastAsia" w:ascii="宋体" w:hAnsi="宋体" w:cs="宋体"/>
          <w:kern w:val="0"/>
          <w:sz w:val="24"/>
          <w:lang w:val="en-US" w:eastAsia="zh-CN"/>
        </w:rPr>
        <w:t>1箱或桶（20L）</w:t>
      </w:r>
      <w:r>
        <w:rPr>
          <w:rFonts w:hint="eastAsia" w:ascii="宋体" w:hAnsi="宋体" w:cs="宋体"/>
          <w:kern w:val="0"/>
          <w:sz w:val="24"/>
        </w:rPr>
        <w:t>。中标</w:t>
      </w:r>
      <w:r>
        <w:rPr>
          <w:rFonts w:hint="eastAsia" w:ascii="宋体" w:hAnsi="宋体" w:cs="宋体"/>
          <w:kern w:val="0"/>
          <w:sz w:val="24"/>
          <w:lang w:eastAsia="zh-CN"/>
        </w:rPr>
        <w:t>单位样品</w:t>
      </w:r>
      <w:r>
        <w:rPr>
          <w:rFonts w:hint="eastAsia" w:ascii="宋体" w:hAnsi="宋体" w:cs="宋体"/>
          <w:kern w:val="0"/>
          <w:sz w:val="24"/>
        </w:rPr>
        <w:t>由采购人封存，作为采购货物验收的标准</w:t>
      </w:r>
      <w:r>
        <w:rPr>
          <w:rFonts w:hint="eastAsia" w:ascii="宋体" w:hAnsi="宋体" w:cs="宋体"/>
          <w:kern w:val="0"/>
          <w:sz w:val="24"/>
          <w:lang w:eastAsia="zh-CN"/>
        </w:rPr>
        <w:t>，</w:t>
      </w:r>
      <w:r>
        <w:rPr>
          <w:rFonts w:hint="eastAsia"/>
          <w:sz w:val="24"/>
          <w:lang w:eastAsia="zh-CN"/>
        </w:rPr>
        <w:t>未中标单位样品当场退回</w:t>
      </w:r>
      <w:r>
        <w:rPr>
          <w:rFonts w:hint="eastAsia"/>
          <w:sz w:val="24"/>
        </w:rPr>
        <w:t>。</w:t>
      </w:r>
    </w:p>
    <w:p>
      <w:pPr>
        <w:spacing w:line="480" w:lineRule="exact"/>
        <w:ind w:firstLine="482" w:firstLineChars="200"/>
        <w:rPr>
          <w:rFonts w:ascii="宋体" w:hAnsi="宋体" w:cs="宋体"/>
          <w:kern w:val="0"/>
          <w:sz w:val="24"/>
          <w:szCs w:val="24"/>
        </w:rPr>
      </w:pPr>
      <w:r>
        <w:rPr>
          <w:rFonts w:hint="eastAsia" w:ascii="宋体" w:hAnsi="宋体" w:cs="宋体"/>
          <w:b/>
          <w:bCs/>
          <w:kern w:val="0"/>
          <w:sz w:val="24"/>
        </w:rPr>
        <w:t>2.</w:t>
      </w:r>
      <w:r>
        <w:rPr>
          <w:rFonts w:hint="eastAsia" w:ascii="宋体" w:hAnsi="宋体" w:cs="宋体"/>
          <w:b/>
          <w:bCs/>
          <w:kern w:val="0"/>
          <w:sz w:val="24"/>
          <w:lang w:eastAsia="zh-CN"/>
        </w:rPr>
        <w:t>本次</w:t>
      </w:r>
      <w:r>
        <w:rPr>
          <w:rFonts w:hint="eastAsia" w:ascii="宋体" w:hAnsi="宋体" w:cs="宋体"/>
          <w:b/>
          <w:bCs/>
          <w:kern w:val="0"/>
          <w:sz w:val="24"/>
        </w:rPr>
        <w:t>投标报价</w:t>
      </w:r>
      <w:r>
        <w:rPr>
          <w:rFonts w:hint="eastAsia" w:ascii="宋体" w:hAnsi="宋体" w:cs="宋体"/>
          <w:b/>
          <w:bCs/>
          <w:kern w:val="0"/>
          <w:sz w:val="24"/>
          <w:lang w:eastAsia="zh-CN"/>
        </w:rPr>
        <w:t>为一次性报价</w:t>
      </w:r>
      <w:r>
        <w:rPr>
          <w:rFonts w:hint="eastAsia" w:ascii="宋体" w:hAnsi="宋体" w:cs="宋体"/>
          <w:kern w:val="0"/>
          <w:sz w:val="24"/>
          <w:lang w:eastAsia="zh-CN"/>
        </w:rPr>
        <w:t>，</w:t>
      </w:r>
      <w:r>
        <w:rPr>
          <w:rFonts w:hint="eastAsia" w:ascii="宋体" w:hAnsi="宋体" w:eastAsia="宋体" w:cs="宋体"/>
          <w:b/>
          <w:bCs/>
          <w:color w:val="auto"/>
          <w:sz w:val="24"/>
          <w:szCs w:val="24"/>
          <w:highlight w:val="none"/>
          <w:lang w:eastAsia="zh-CN"/>
        </w:rPr>
        <w:t>各投标人应充分考虑市场行情，原材料价格波动，谨慎报价。</w:t>
      </w:r>
      <w:r>
        <w:rPr>
          <w:rFonts w:hint="eastAsia" w:ascii="宋体" w:hAnsi="宋体" w:eastAsia="宋体" w:cs="宋体"/>
          <w:b w:val="0"/>
          <w:bCs w:val="0"/>
          <w:color w:val="auto"/>
          <w:sz w:val="24"/>
          <w:szCs w:val="24"/>
          <w:highlight w:val="none"/>
          <w:lang w:eastAsia="zh-CN"/>
        </w:rPr>
        <w:t>价格</w:t>
      </w:r>
      <w:r>
        <w:rPr>
          <w:rFonts w:hint="eastAsia" w:ascii="宋体" w:hAnsi="宋体" w:cs="宋体"/>
          <w:kern w:val="0"/>
          <w:sz w:val="24"/>
        </w:rPr>
        <w:t>包括成本、包装、运输、上下力、保险、利润、税金、政策性规费以及所有风险</w:t>
      </w:r>
      <w:r>
        <w:rPr>
          <w:rFonts w:hint="eastAsia" w:ascii="宋体" w:hAnsi="宋体" w:cs="宋体"/>
          <w:kern w:val="0"/>
          <w:sz w:val="24"/>
          <w:lang w:eastAsia="zh-CN"/>
        </w:rPr>
        <w:t>。</w:t>
      </w:r>
      <w:r>
        <w:rPr>
          <w:rFonts w:hint="eastAsia" w:ascii="宋体" w:hAnsi="宋体" w:cs="宋体"/>
          <w:sz w:val="24"/>
          <w:szCs w:val="24"/>
        </w:rPr>
        <w:t>在供货期限内，当招标单品种价格市场平均价与该单品种统一结算单价相比下浮5%及以上，即刻启动同步价格下浮调整机制。</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3</w:t>
      </w:r>
      <w:r>
        <w:rPr>
          <w:rFonts w:hint="eastAsia" w:ascii="宋体" w:hAnsi="宋体" w:cs="宋体"/>
          <w:kern w:val="0"/>
          <w:sz w:val="24"/>
        </w:rPr>
        <w:t>.采购量</w:t>
      </w:r>
      <w:r>
        <w:rPr>
          <w:rFonts w:hint="eastAsia" w:ascii="宋体" w:hAnsi="宋体" w:cs="宋体"/>
          <w:kern w:val="0"/>
          <w:sz w:val="24"/>
          <w:lang w:eastAsia="zh-CN"/>
        </w:rPr>
        <w:t>：</w:t>
      </w:r>
      <w:r>
        <w:rPr>
          <w:rFonts w:hint="eastAsia" w:ascii="宋体" w:hAnsi="宋体" w:cs="宋体"/>
          <w:kern w:val="0"/>
          <w:sz w:val="24"/>
        </w:rPr>
        <w:t>大豆油</w:t>
      </w:r>
      <w:r>
        <w:rPr>
          <w:rFonts w:hint="eastAsia" w:ascii="宋体" w:hAnsi="宋体" w:cs="宋体"/>
          <w:kern w:val="0"/>
          <w:sz w:val="24"/>
          <w:lang w:val="en-US" w:eastAsia="zh-CN"/>
        </w:rPr>
        <w:t>约5000箱或桶</w:t>
      </w:r>
      <w:r>
        <w:rPr>
          <w:rFonts w:hint="eastAsia" w:ascii="宋体" w:hAnsi="宋体" w:cs="宋体"/>
          <w:kern w:val="0"/>
          <w:sz w:val="24"/>
        </w:rPr>
        <w:t>。</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4</w:t>
      </w:r>
      <w:r>
        <w:rPr>
          <w:rFonts w:hint="eastAsia" w:ascii="宋体" w:hAnsi="宋体" w:cs="宋体"/>
          <w:kern w:val="0"/>
          <w:sz w:val="24"/>
        </w:rPr>
        <w:t>.送货时间：</w:t>
      </w:r>
      <w:r>
        <w:rPr>
          <w:rFonts w:hint="eastAsia" w:ascii="宋体" w:hAnsi="宋体" w:cs="宋体"/>
          <w:kern w:val="0"/>
          <w:sz w:val="24"/>
          <w:lang w:eastAsia="zh-CN"/>
        </w:rPr>
        <w:t>根据</w:t>
      </w:r>
      <w:r>
        <w:rPr>
          <w:rFonts w:hint="eastAsia" w:ascii="宋体" w:hAnsi="宋体" w:eastAsia="宋体" w:cs="宋体"/>
          <w:sz w:val="24"/>
          <w:szCs w:val="24"/>
          <w:lang w:eastAsia="zh-CN"/>
        </w:rPr>
        <w:t>南通</w:t>
      </w:r>
      <w:r>
        <w:rPr>
          <w:rFonts w:hint="eastAsia" w:ascii="宋体" w:hAnsi="宋体" w:eastAsia="宋体" w:cs="宋体"/>
          <w:sz w:val="24"/>
          <w:szCs w:val="24"/>
        </w:rPr>
        <w:t>大学</w:t>
      </w:r>
      <w:r>
        <w:rPr>
          <w:rFonts w:hint="eastAsia" w:ascii="宋体" w:hAnsi="宋体" w:eastAsia="宋体" w:cs="宋体"/>
          <w:sz w:val="24"/>
          <w:szCs w:val="24"/>
          <w:lang w:eastAsia="zh-CN"/>
        </w:rPr>
        <w:t>后勤保障部采供</w:t>
      </w:r>
      <w:r>
        <w:rPr>
          <w:rFonts w:hint="eastAsia" w:ascii="宋体" w:hAnsi="宋体" w:eastAsia="宋体" w:cs="宋体"/>
          <w:sz w:val="24"/>
          <w:szCs w:val="24"/>
        </w:rPr>
        <w:t>系统每天下午四点生成第二日的供货订单</w:t>
      </w:r>
      <w:r>
        <w:rPr>
          <w:rFonts w:hint="eastAsia" w:ascii="宋体" w:hAnsi="宋体" w:eastAsia="宋体" w:cs="宋体"/>
          <w:sz w:val="24"/>
          <w:szCs w:val="24"/>
          <w:lang w:eastAsia="zh-CN"/>
        </w:rPr>
        <w:t>，</w:t>
      </w:r>
      <w:r>
        <w:rPr>
          <w:rFonts w:hint="eastAsia" w:ascii="宋体" w:hAnsi="宋体" w:cs="宋体"/>
          <w:kern w:val="0"/>
          <w:sz w:val="24"/>
          <w:lang w:val="en-US" w:eastAsia="zh-CN"/>
        </w:rPr>
        <w:t>24</w:t>
      </w:r>
      <w:r>
        <w:rPr>
          <w:rFonts w:hint="eastAsia" w:ascii="宋体" w:hAnsi="宋体" w:cs="宋体"/>
          <w:kern w:val="0"/>
          <w:sz w:val="24"/>
        </w:rPr>
        <w:t>小时内送至各校区食堂</w:t>
      </w:r>
      <w:r>
        <w:rPr>
          <w:rFonts w:hint="eastAsia" w:ascii="宋体" w:hAnsi="宋体" w:cs="宋体"/>
          <w:kern w:val="0"/>
          <w:sz w:val="24"/>
          <w:lang w:eastAsia="zh-CN"/>
        </w:rPr>
        <w:t>仓库</w:t>
      </w:r>
      <w:r>
        <w:rPr>
          <w:rFonts w:hint="eastAsia" w:ascii="宋体" w:hAnsi="宋体" w:cs="宋体"/>
          <w:kern w:val="0"/>
          <w:sz w:val="24"/>
        </w:rPr>
        <w:t>。</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5</w:t>
      </w:r>
      <w:r>
        <w:rPr>
          <w:rFonts w:hint="eastAsia" w:ascii="宋体" w:hAnsi="宋体" w:cs="宋体"/>
          <w:kern w:val="0"/>
          <w:sz w:val="24"/>
        </w:rPr>
        <w:t>.送货地点：启秀校区食堂（启秀路19号）、钟秀校区食堂（外环东路999号）、啬园校区食堂（啬园路9号）、启东校区食堂（启东高新区南海路1号）。</w:t>
      </w:r>
    </w:p>
    <w:p>
      <w:pPr>
        <w:widowControl/>
        <w:autoSpaceDE w:val="0"/>
        <w:spacing w:line="440" w:lineRule="exact"/>
        <w:ind w:firstLine="480" w:firstLineChars="200"/>
        <w:jc w:val="left"/>
        <w:rPr>
          <w:rFonts w:hint="default" w:ascii="宋体" w:hAnsi="宋体" w:eastAsia="宋体"/>
          <w:kern w:val="0"/>
          <w:sz w:val="24"/>
          <w:lang w:val="en-US" w:eastAsia="zh-CN"/>
        </w:rPr>
      </w:pPr>
      <w:r>
        <w:rPr>
          <w:rFonts w:hint="eastAsia" w:ascii="宋体" w:hAnsi="宋体"/>
          <w:kern w:val="0"/>
          <w:sz w:val="24"/>
          <w:lang w:val="en-US" w:eastAsia="zh-CN"/>
        </w:rPr>
        <w:t>6.</w:t>
      </w:r>
      <w:r>
        <w:rPr>
          <w:rFonts w:hint="eastAsia" w:ascii="宋体" w:hAnsi="宋体"/>
          <w:kern w:val="0"/>
          <w:sz w:val="24"/>
          <w:lang w:eastAsia="zh-CN"/>
        </w:rPr>
        <w:t>货物验收：学校将成立由后勤保障部相关科室、饮服中心、食堂管理人员、餐饮企业负责人等人员组成的验收小组，对每批次货物进行抽检，发现所送货物与样品不一致的立即退回，并且重新组织货源在</w:t>
      </w:r>
      <w:r>
        <w:rPr>
          <w:rFonts w:hint="eastAsia" w:ascii="宋体" w:hAnsi="宋体"/>
          <w:kern w:val="0"/>
          <w:sz w:val="24"/>
          <w:lang w:val="en-US" w:eastAsia="zh-CN"/>
        </w:rPr>
        <w:t>24小时内送到指定食堂，同时学校将按照供货合同收取违约金，对于出现两次（含）以上供货质量与样品不符的取消供货资格，扣除履约保证金，解除合同。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7</w:t>
      </w:r>
      <w:r>
        <w:rPr>
          <w:rFonts w:hint="eastAsia" w:ascii="宋体" w:hAnsi="宋体" w:cs="宋体"/>
          <w:kern w:val="0"/>
          <w:sz w:val="24"/>
        </w:rPr>
        <w:t>.本次中标的商家</w:t>
      </w:r>
      <w:r>
        <w:rPr>
          <w:rFonts w:hint="eastAsia" w:ascii="宋体" w:hAnsi="宋体" w:cs="宋体"/>
          <w:kern w:val="0"/>
          <w:sz w:val="24"/>
          <w:lang w:eastAsia="zh-CN"/>
        </w:rPr>
        <w:t>须缴</w:t>
      </w:r>
      <w:r>
        <w:rPr>
          <w:rFonts w:hint="eastAsia" w:ascii="宋体" w:hAnsi="宋体" w:cs="宋体"/>
          <w:kern w:val="0"/>
          <w:sz w:val="24"/>
        </w:rPr>
        <w:t>纳规定的合同履约保证金5万元，合同期满，无任何违约、纠纷等，则无息退还。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8</w:t>
      </w:r>
      <w:r>
        <w:rPr>
          <w:rFonts w:hint="eastAsia" w:ascii="宋体" w:hAnsi="宋体" w:cs="宋体"/>
          <w:kern w:val="0"/>
          <w:sz w:val="24"/>
        </w:rPr>
        <w:t>.投标品种应与经营范围相符。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9</w:t>
      </w:r>
      <w:r>
        <w:rPr>
          <w:rFonts w:hint="eastAsia" w:ascii="宋体" w:hAnsi="宋体" w:cs="宋体"/>
          <w:kern w:val="0"/>
          <w:sz w:val="24"/>
        </w:rPr>
        <w:t>.投标人必须保证满足“投标主体、合同主体、送货主体与货款结算主体”四个一致的要求，不得违背。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ascii="宋体" w:hAnsi="宋体" w:cs="宋体"/>
          <w:b w:val="0"/>
          <w:bCs w:val="0"/>
          <w:kern w:val="0"/>
          <w:sz w:val="24"/>
        </w:rPr>
        <w:t>1</w:t>
      </w:r>
      <w:r>
        <w:rPr>
          <w:rFonts w:hint="eastAsia" w:ascii="宋体" w:hAnsi="宋体" w:cs="宋体"/>
          <w:b w:val="0"/>
          <w:bCs w:val="0"/>
          <w:kern w:val="0"/>
          <w:sz w:val="24"/>
          <w:lang w:val="en-US" w:eastAsia="zh-CN"/>
        </w:rPr>
        <w:t>0</w:t>
      </w:r>
      <w:r>
        <w:rPr>
          <w:rFonts w:hint="eastAsia" w:ascii="宋体" w:hAnsi="宋体" w:cs="宋体"/>
          <w:b w:val="0"/>
          <w:bCs w:val="0"/>
          <w:kern w:val="0"/>
          <w:sz w:val="24"/>
        </w:rPr>
        <w:t>.</w:t>
      </w:r>
      <w:r>
        <w:rPr>
          <w:rFonts w:hint="eastAsia" w:ascii="宋体" w:hAnsi="宋体" w:cs="宋体"/>
          <w:kern w:val="0"/>
          <w:sz w:val="24"/>
          <w:lang w:eastAsia="zh-CN"/>
        </w:rPr>
        <w:t>结算</w:t>
      </w:r>
      <w:r>
        <w:rPr>
          <w:rFonts w:hint="eastAsia" w:ascii="宋体" w:hAnsi="宋体" w:cs="宋体"/>
          <w:kern w:val="0"/>
          <w:sz w:val="24"/>
        </w:rPr>
        <w:t>周期（每月的26日至次月的25日为一个</w:t>
      </w:r>
      <w:r>
        <w:rPr>
          <w:rFonts w:hint="eastAsia" w:ascii="宋体" w:hAnsi="宋体" w:cs="宋体"/>
          <w:kern w:val="0"/>
          <w:sz w:val="24"/>
          <w:lang w:eastAsia="zh-CN"/>
        </w:rPr>
        <w:t>结算</w:t>
      </w:r>
      <w:r>
        <w:rPr>
          <w:rFonts w:hint="eastAsia" w:ascii="宋体" w:hAnsi="宋体" w:cs="宋体"/>
          <w:kern w:val="0"/>
          <w:sz w:val="24"/>
        </w:rPr>
        <w:t>周期）开具正式发票，经过学校报销手续后，按照合同约定方式结算。</w:t>
      </w:r>
    </w:p>
    <w:p>
      <w:pPr>
        <w:spacing w:line="560" w:lineRule="exact"/>
        <w:ind w:firstLine="482" w:firstLineChars="200"/>
        <w:rPr>
          <w:rFonts w:ascii="黑体" w:hAnsi="黑体" w:eastAsia="黑体"/>
          <w:b/>
          <w:color w:val="000000" w:themeColor="text1"/>
          <w:sz w:val="24"/>
          <w14:textFill>
            <w14:solidFill>
              <w14:schemeClr w14:val="tx1"/>
            </w14:solidFill>
          </w14:textFill>
        </w:rPr>
        <w:sectPr>
          <w:footerReference r:id="rId5" w:type="first"/>
          <w:footerReference r:id="rId4" w:type="default"/>
          <w:pgSz w:w="11906" w:h="16838"/>
          <w:pgMar w:top="1440" w:right="1080" w:bottom="1440" w:left="1080" w:header="851" w:footer="992" w:gutter="0"/>
          <w:pgNumType w:start="1"/>
          <w:cols w:space="425" w:num="1"/>
          <w:docGrid w:type="lines" w:linePitch="312" w:charSpace="0"/>
        </w:sectPr>
      </w:pPr>
      <w:r>
        <w:rPr>
          <w:rFonts w:hint="eastAsia"/>
          <w:b/>
          <w:sz w:val="24"/>
          <w:lang w:val="en-US" w:eastAsia="zh-CN"/>
        </w:rPr>
        <w:t>11.</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pStyle w:val="3"/>
        <w:keepNext/>
        <w:keepLines/>
        <w:pageBreakBefore w:val="0"/>
        <w:widowControl w:val="0"/>
        <w:kinsoku/>
        <w:wordWrap/>
        <w:overflowPunct/>
        <w:topLinePunct w:val="0"/>
        <w:autoSpaceDE/>
        <w:autoSpaceDN/>
        <w:bidi w:val="0"/>
        <w:adjustRightInd/>
        <w:snapToGrid/>
        <w:spacing w:line="600" w:lineRule="exact"/>
        <w:jc w:val="center"/>
        <w:textAlignment w:val="auto"/>
        <w:rPr>
          <w:color w:val="000000" w:themeColor="text1"/>
          <w14:textFill>
            <w14:solidFill>
              <w14:schemeClr w14:val="tx1"/>
            </w14:solidFill>
          </w14:textFill>
        </w:rPr>
      </w:pPr>
      <w:bookmarkStart w:id="15" w:name="_Toc73516692"/>
      <w:r>
        <w:rPr>
          <w:rFonts w:hint="eastAsia"/>
          <w:color w:val="000000" w:themeColor="text1"/>
          <w14:textFill>
            <w14:solidFill>
              <w14:schemeClr w14:val="tx1"/>
            </w14:solidFill>
          </w14:textFill>
        </w:rPr>
        <w:t>第四部分合同主要条款</w:t>
      </w:r>
      <w:bookmarkEnd w:id="15"/>
    </w:p>
    <w:p>
      <w:pPr>
        <w:spacing w:line="420" w:lineRule="exact"/>
        <w:rPr>
          <w:rFonts w:hint="eastAsia" w:ascii="宋体" w:hAnsi="宋体" w:eastAsia="宋体"/>
          <w:b/>
          <w:sz w:val="24"/>
          <w:lang w:eastAsia="zh-CN"/>
        </w:rPr>
      </w:pPr>
      <w:bookmarkStart w:id="16" w:name="_Toc73516693"/>
      <w:r>
        <w:rPr>
          <w:rFonts w:hint="eastAsia" w:ascii="宋体" w:hAnsi="宋体"/>
          <w:b/>
          <w:sz w:val="24"/>
        </w:rPr>
        <w:t>一、供货</w:t>
      </w:r>
      <w:r>
        <w:rPr>
          <w:rFonts w:hint="eastAsia" w:ascii="宋体" w:hAnsi="宋体"/>
          <w:b/>
          <w:sz w:val="24"/>
          <w:lang w:eastAsia="zh-CN"/>
        </w:rPr>
        <w:t>说明</w:t>
      </w:r>
    </w:p>
    <w:p>
      <w:pPr>
        <w:spacing w:line="420" w:lineRule="exact"/>
        <w:ind w:firstLine="720" w:firstLineChars="300"/>
        <w:rPr>
          <w:rFonts w:hint="eastAsia" w:ascii="宋体" w:hAnsi="宋体" w:cs="宋体"/>
          <w:color w:val="FF0000"/>
          <w:sz w:val="24"/>
          <w:szCs w:val="24"/>
        </w:rPr>
      </w:pPr>
      <w:r>
        <w:rPr>
          <w:rFonts w:hint="eastAsia" w:ascii="宋体" w:hAnsi="宋体" w:cs="宋体"/>
          <w:color w:val="auto"/>
          <w:sz w:val="24"/>
          <w:szCs w:val="24"/>
        </w:rPr>
        <w:t xml:space="preserve">自 </w:t>
      </w:r>
      <w:r>
        <w:rPr>
          <w:rFonts w:hint="eastAsia" w:ascii="宋体" w:hAnsi="宋体" w:cs="宋体"/>
          <w:color w:val="auto"/>
          <w:sz w:val="24"/>
          <w:szCs w:val="24"/>
          <w:lang w:val="en-US" w:eastAsia="zh-CN"/>
        </w:rPr>
        <w:t>2022</w:t>
      </w:r>
      <w:r>
        <w:rPr>
          <w:rFonts w:hint="eastAsia" w:ascii="宋体" w:hAnsi="宋体" w:cs="宋体"/>
          <w:color w:val="auto"/>
          <w:sz w:val="24"/>
          <w:szCs w:val="24"/>
        </w:rPr>
        <w:t>年</w:t>
      </w:r>
      <w:r>
        <w:rPr>
          <w:rFonts w:hint="eastAsia" w:ascii="宋体" w:hAnsi="宋体" w:cs="宋体"/>
          <w:color w:val="auto"/>
          <w:sz w:val="24"/>
          <w:szCs w:val="24"/>
          <w:lang w:val="en-US" w:eastAsia="zh-CN"/>
        </w:rPr>
        <w:t>9</w:t>
      </w:r>
      <w:r>
        <w:rPr>
          <w:rFonts w:hint="eastAsia" w:ascii="宋体" w:hAnsi="宋体" w:cs="宋体"/>
          <w:color w:val="auto"/>
          <w:sz w:val="24"/>
          <w:szCs w:val="24"/>
        </w:rPr>
        <w:t xml:space="preserve"> 月 </w:t>
      </w:r>
      <w:r>
        <w:rPr>
          <w:rFonts w:hint="eastAsia" w:ascii="宋体" w:hAnsi="宋体" w:cs="宋体"/>
          <w:color w:val="auto"/>
          <w:sz w:val="24"/>
          <w:szCs w:val="24"/>
          <w:lang w:val="en-US" w:eastAsia="zh-CN"/>
        </w:rPr>
        <w:t>10</w:t>
      </w:r>
      <w:r>
        <w:rPr>
          <w:rFonts w:hint="eastAsia" w:ascii="宋体" w:hAnsi="宋体" w:cs="宋体"/>
          <w:color w:val="auto"/>
          <w:sz w:val="24"/>
          <w:szCs w:val="24"/>
        </w:rPr>
        <w:t xml:space="preserve"> 日起乙方以价格   元 /</w:t>
      </w:r>
      <w:r>
        <w:rPr>
          <w:rFonts w:hint="eastAsia" w:ascii="宋体" w:hAnsi="宋体" w:cs="宋体"/>
          <w:color w:val="auto"/>
          <w:sz w:val="24"/>
          <w:szCs w:val="24"/>
          <w:lang w:eastAsia="zh-CN"/>
        </w:rPr>
        <w:t>单位</w:t>
      </w:r>
      <w:r>
        <w:rPr>
          <w:rFonts w:hint="eastAsia" w:ascii="宋体" w:hAnsi="宋体" w:cs="宋体"/>
          <w:color w:val="auto"/>
          <w:sz w:val="24"/>
          <w:szCs w:val="24"/>
        </w:rPr>
        <w:t>（大写： 每</w:t>
      </w:r>
      <w:r>
        <w:rPr>
          <w:rFonts w:hint="eastAsia" w:ascii="宋体" w:hAnsi="宋体" w:cs="宋体"/>
          <w:color w:val="auto"/>
          <w:sz w:val="24"/>
          <w:szCs w:val="24"/>
          <w:lang w:eastAsia="zh-CN"/>
        </w:rPr>
        <w:t>单位</w:t>
      </w:r>
      <w:r>
        <w:rPr>
          <w:rFonts w:hint="eastAsia" w:ascii="宋体" w:hAnsi="宋体" w:cs="宋体"/>
          <w:color w:val="auto"/>
          <w:sz w:val="24"/>
          <w:szCs w:val="24"/>
        </w:rPr>
        <w:t>）向甲方供应</w:t>
      </w:r>
      <w:r>
        <w:rPr>
          <w:rFonts w:hint="eastAsia" w:ascii="宋体" w:hAnsi="宋体" w:cs="宋体"/>
          <w:color w:val="auto"/>
          <w:kern w:val="0"/>
          <w:sz w:val="24"/>
        </w:rPr>
        <w:t>符合国标GB/T 1535-2017，一级大豆油</w:t>
      </w:r>
      <w:r>
        <w:rPr>
          <w:rFonts w:hint="eastAsia" w:ascii="宋体" w:hAnsi="宋体" w:cs="宋体"/>
          <w:color w:val="auto"/>
          <w:sz w:val="24"/>
          <w:szCs w:val="24"/>
          <w:lang w:val="en-US" w:eastAsia="zh-CN"/>
        </w:rPr>
        <w:t>5000箱或桶</w:t>
      </w:r>
      <w:r>
        <w:rPr>
          <w:rFonts w:hint="eastAsia" w:ascii="宋体" w:hAnsi="宋体" w:cs="宋体"/>
          <w:color w:val="auto"/>
          <w:sz w:val="24"/>
          <w:szCs w:val="24"/>
        </w:rPr>
        <w:t>（大写：</w:t>
      </w:r>
      <w:r>
        <w:rPr>
          <w:rFonts w:hint="eastAsia" w:ascii="宋体" w:hAnsi="宋体" w:cs="宋体"/>
          <w:color w:val="auto"/>
          <w:sz w:val="24"/>
          <w:szCs w:val="24"/>
          <w:lang w:val="en-US" w:eastAsia="zh-CN"/>
        </w:rPr>
        <w:t>伍仟箱或桶</w:t>
      </w:r>
      <w:r>
        <w:rPr>
          <w:rFonts w:hint="eastAsia" w:ascii="宋体" w:hAnsi="宋体" w:cs="宋体"/>
          <w:color w:val="auto"/>
          <w:sz w:val="24"/>
          <w:szCs w:val="24"/>
        </w:rPr>
        <w:t>）。</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w:t>
      </w:r>
      <w:r>
        <w:rPr>
          <w:rFonts w:hint="eastAsia" w:ascii="宋体" w:hAnsi="宋体"/>
          <w:sz w:val="24"/>
          <w:lang w:eastAsia="zh-CN"/>
        </w:rPr>
        <w:t>等级、</w:t>
      </w:r>
      <w:r>
        <w:rPr>
          <w:rFonts w:hint="eastAsia" w:ascii="宋体" w:hAnsi="宋体"/>
          <w:sz w:val="24"/>
        </w:rPr>
        <w:t>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6"/>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7"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：投标函</w:t>
      </w:r>
      <w:bookmarkEnd w:id="17"/>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投标函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我方经仔细阅读研究项目招标文件（项目编号），已完全了解招标文件中的所有条款及要求，决定参加投标，同时做出如下承诺：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、我公司与本招标项目及该项目相关人员之间均不存在可能影响招标公正性的任何利害关系。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、愿按招标文件的要求提供货物和服务，投标货物及服务的投标总价为：</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，（大写）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、我方如中标，将保证遵守招标文件对投标人的所有要求和规定，履行自己在投标文件中承诺的全部责任和义务。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27"/>
        <w:tblW w:w="7054" w:type="dxa"/>
        <w:jc w:val="center"/>
        <w:tblLayout w:type="fixed"/>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投标人（公章）：</w:t>
            </w:r>
          </w:p>
        </w:tc>
        <w:tc>
          <w:tcPr>
            <w:tcW w:w="4678" w:type="dxa"/>
            <w:tcBorders>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手机：</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ascii="Adobe 黑体 Std R" w:hAnsi="Adobe 黑体 Std R" w:eastAsia="Adobe 黑体 Std R"/>
                <w:color w:val="000000" w:themeColor="text1"/>
                <w:sz w:val="24"/>
                <w14:textFill>
                  <w14:solidFill>
                    <w14:schemeClr w14:val="tx1"/>
                  </w14:solidFill>
                </w14:textFill>
              </w:rPr>
              <w:t>E  m  a  i  l</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地址：</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日期：</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bl>
    <w:p>
      <w:pPr>
        <w:spacing w:line="360" w:lineRule="auto"/>
        <w:ind w:firstLine="480" w:firstLineChars="200"/>
        <w:rPr>
          <w:color w:val="000000" w:themeColor="text1"/>
          <w:sz w:val="24"/>
          <w14:textFill>
            <w14:solidFill>
              <w14:schemeClr w14:val="tx1"/>
            </w14:solidFill>
          </w14:textFill>
        </w:rPr>
      </w:pPr>
    </w:p>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pgSz w:w="11906" w:h="16838"/>
          <w:pgMar w:top="1440" w:right="1077" w:bottom="1440" w:left="1077" w:header="851" w:footer="992" w:gutter="0"/>
          <w:cols w:space="425" w:num="1"/>
          <w:titlePg/>
          <w:docGrid w:linePitch="312" w:charSpace="0"/>
        </w:sectPr>
      </w:pPr>
    </w:p>
    <w:p>
      <w:pPr>
        <w:rPr>
          <w:rFonts w:ascii="宋体" w:hAnsi="宋体" w:cs="宋体"/>
          <w:kern w:val="0"/>
          <w:szCs w:val="21"/>
        </w:rPr>
      </w:pPr>
      <w:bookmarkStart w:id="18" w:name="_Toc73516695"/>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bookmarkEnd w:id="18"/>
      <w:bookmarkStart w:id="19" w:name="_Toc73516696"/>
      <w:r>
        <w:rPr>
          <w:rFonts w:hint="eastAsia"/>
          <w:color w:val="000000" w:themeColor="text1"/>
          <w:szCs w:val="21"/>
          <w14:textFill>
            <w14:solidFill>
              <w14:schemeClr w14:val="tx1"/>
            </w14:solidFill>
          </w14:textFill>
        </w:rPr>
        <w:t>：</w:t>
      </w:r>
      <w:r>
        <w:rPr>
          <w:rFonts w:hint="eastAsia" w:ascii="宋体" w:hAnsi="宋体" w:cs="宋体"/>
          <w:kern w:val="0"/>
          <w:szCs w:val="21"/>
        </w:rPr>
        <w:t>大豆油</w:t>
      </w:r>
      <w:r>
        <w:rPr>
          <w:rFonts w:ascii="宋体" w:hAnsi="宋体" w:cs="宋体"/>
          <w:kern w:val="0"/>
          <w:szCs w:val="21"/>
        </w:rPr>
        <w:t>报价单</w:t>
      </w:r>
    </w:p>
    <w:p>
      <w:pPr>
        <w:widowControl/>
        <w:spacing w:line="600" w:lineRule="atLeast"/>
        <w:jc w:val="center"/>
        <w:rPr>
          <w:rFonts w:ascii="宋体" w:hAnsi="宋体" w:cs="宋体"/>
          <w:kern w:val="0"/>
          <w:sz w:val="24"/>
        </w:rPr>
      </w:pPr>
      <w:r>
        <w:rPr>
          <w:rFonts w:hint="eastAsia" w:ascii="宋体" w:hAnsi="宋体" w:cs="宋体"/>
          <w:b/>
          <w:bCs/>
          <w:kern w:val="0"/>
          <w:sz w:val="36"/>
          <w:szCs w:val="36"/>
        </w:rPr>
        <w:t>大豆油</w:t>
      </w:r>
      <w:r>
        <w:rPr>
          <w:rFonts w:ascii="宋体" w:hAnsi="宋体" w:cs="宋体"/>
          <w:b/>
          <w:bCs/>
          <w:kern w:val="0"/>
          <w:sz w:val="36"/>
          <w:szCs w:val="36"/>
        </w:rPr>
        <w:t>报价单</w:t>
      </w:r>
    </w:p>
    <w:tbl>
      <w:tblPr>
        <w:tblStyle w:val="27"/>
        <w:tblW w:w="898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599"/>
        <w:gridCol w:w="1449"/>
        <w:gridCol w:w="915"/>
        <w:gridCol w:w="2254"/>
        <w:gridCol w:w="2766"/>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52" w:hRule="atLeast"/>
          <w:jc w:val="center"/>
        </w:trPr>
        <w:tc>
          <w:tcPr>
            <w:tcW w:w="1599" w:type="dxa"/>
            <w:vAlign w:val="center"/>
          </w:tcPr>
          <w:p>
            <w:pPr>
              <w:widowControl/>
              <w:jc w:val="center"/>
              <w:rPr>
                <w:rFonts w:ascii="宋体" w:hAnsi="宋体" w:cs="宋体"/>
                <w:kern w:val="0"/>
                <w:sz w:val="24"/>
              </w:rPr>
            </w:pPr>
            <w:r>
              <w:rPr>
                <w:rFonts w:ascii="宋体" w:hAnsi="宋体" w:cs="宋体"/>
                <w:b/>
                <w:bCs/>
                <w:kern w:val="0"/>
                <w:sz w:val="24"/>
              </w:rPr>
              <w:t>品名</w:t>
            </w:r>
          </w:p>
        </w:tc>
        <w:tc>
          <w:tcPr>
            <w:tcW w:w="1449" w:type="dxa"/>
            <w:vAlign w:val="center"/>
          </w:tcPr>
          <w:p>
            <w:pPr>
              <w:widowControl/>
              <w:jc w:val="center"/>
              <w:rPr>
                <w:rFonts w:ascii="宋体" w:hAnsi="宋体" w:cs="宋体"/>
                <w:kern w:val="0"/>
                <w:sz w:val="24"/>
              </w:rPr>
            </w:pPr>
            <w:r>
              <w:rPr>
                <w:rFonts w:ascii="宋体" w:hAnsi="宋体" w:cs="宋体"/>
                <w:b/>
                <w:bCs/>
                <w:kern w:val="0"/>
                <w:sz w:val="24"/>
              </w:rPr>
              <w:t>基本要求</w:t>
            </w:r>
          </w:p>
        </w:tc>
        <w:tc>
          <w:tcPr>
            <w:tcW w:w="915" w:type="dxa"/>
            <w:tcBorders>
              <w:right w:val="single" w:color="auto" w:sz="4" w:space="0"/>
            </w:tcBorders>
            <w:vAlign w:val="center"/>
          </w:tcPr>
          <w:p>
            <w:pPr>
              <w:widowControl/>
              <w:jc w:val="center"/>
              <w:rPr>
                <w:rFonts w:ascii="宋体" w:hAnsi="宋体" w:cs="宋体"/>
                <w:b/>
                <w:kern w:val="0"/>
                <w:sz w:val="24"/>
              </w:rPr>
            </w:pPr>
            <w:r>
              <w:rPr>
                <w:rFonts w:hint="eastAsia" w:ascii="宋体" w:hAnsi="宋体" w:cs="宋体"/>
                <w:b/>
                <w:kern w:val="0"/>
                <w:sz w:val="24"/>
              </w:rPr>
              <w:t>单位</w:t>
            </w:r>
          </w:p>
        </w:tc>
        <w:tc>
          <w:tcPr>
            <w:tcW w:w="2254" w:type="dxa"/>
            <w:tcBorders>
              <w:left w:val="single" w:color="auto" w:sz="4" w:space="0"/>
            </w:tcBorders>
            <w:vAlign w:val="center"/>
          </w:tcPr>
          <w:p>
            <w:pPr>
              <w:widowControl/>
              <w:jc w:val="center"/>
              <w:rPr>
                <w:rFonts w:ascii="宋体" w:hAnsi="宋体" w:cs="宋体"/>
                <w:b/>
                <w:kern w:val="0"/>
                <w:sz w:val="24"/>
              </w:rPr>
            </w:pPr>
            <w:r>
              <w:rPr>
                <w:rFonts w:ascii="宋体" w:hAnsi="宋体" w:cs="宋体"/>
                <w:b/>
                <w:bCs/>
                <w:kern w:val="0"/>
                <w:sz w:val="24"/>
              </w:rPr>
              <w:t>生产厂家</w:t>
            </w:r>
          </w:p>
        </w:tc>
        <w:tc>
          <w:tcPr>
            <w:tcW w:w="2766" w:type="dxa"/>
            <w:tcMar>
              <w:top w:w="0" w:type="dxa"/>
              <w:left w:w="108" w:type="dxa"/>
              <w:bottom w:w="0" w:type="dxa"/>
              <w:right w:w="108" w:type="dxa"/>
            </w:tcMar>
            <w:vAlign w:val="center"/>
          </w:tcPr>
          <w:p>
            <w:pPr>
              <w:widowControl/>
              <w:jc w:val="center"/>
              <w:rPr>
                <w:rFonts w:ascii="宋体" w:hAnsi="宋体" w:cs="宋体"/>
                <w:kern w:val="0"/>
                <w:sz w:val="24"/>
              </w:rPr>
            </w:pPr>
            <w:r>
              <w:rPr>
                <w:rFonts w:hint="eastAsia" w:ascii="宋体" w:hAnsi="宋体" w:cs="宋体"/>
                <w:b/>
                <w:bCs/>
                <w:kern w:val="0"/>
                <w:sz w:val="24"/>
              </w:rPr>
              <w:t>报价</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169" w:hRule="atLeast"/>
          <w:jc w:val="center"/>
        </w:trPr>
        <w:tc>
          <w:tcPr>
            <w:tcW w:w="1599" w:type="dxa"/>
            <w:vMerge w:val="restart"/>
            <w:tcMar>
              <w:top w:w="0" w:type="dxa"/>
              <w:left w:w="108" w:type="dxa"/>
              <w:bottom w:w="0" w:type="dxa"/>
              <w:right w:w="108" w:type="dxa"/>
            </w:tcMar>
            <w:vAlign w:val="center"/>
          </w:tcPr>
          <w:p>
            <w:pPr>
              <w:widowControl/>
              <w:jc w:val="center"/>
              <w:rPr>
                <w:rFonts w:ascii="宋体" w:hAnsi="宋体" w:cs="宋体"/>
                <w:kern w:val="0"/>
                <w:sz w:val="24"/>
              </w:rPr>
            </w:pPr>
            <w:r>
              <w:rPr>
                <w:rFonts w:ascii="宋体" w:hAnsi="宋体" w:cs="宋体"/>
                <w:kern w:val="0"/>
                <w:sz w:val="24"/>
              </w:rPr>
              <w:t>大豆油</w:t>
            </w:r>
          </w:p>
        </w:tc>
        <w:tc>
          <w:tcPr>
            <w:tcW w:w="1449" w:type="dxa"/>
            <w:vMerge w:val="restart"/>
            <w:tcMar>
              <w:top w:w="0" w:type="dxa"/>
              <w:left w:w="108" w:type="dxa"/>
              <w:bottom w:w="0" w:type="dxa"/>
              <w:right w:w="108" w:type="dxa"/>
            </w:tcMar>
            <w:vAlign w:val="center"/>
          </w:tcPr>
          <w:p>
            <w:pPr>
              <w:widowControl/>
              <w:jc w:val="center"/>
              <w:rPr>
                <w:rFonts w:ascii="宋体" w:hAnsi="宋体" w:cs="宋体"/>
                <w:kern w:val="0"/>
                <w:sz w:val="18"/>
                <w:szCs w:val="18"/>
              </w:rPr>
            </w:pPr>
            <w:r>
              <w:rPr>
                <w:rFonts w:hint="eastAsia" w:ascii="仿宋_GB2312" w:hAnsi="宋体" w:eastAsia="仿宋_GB2312"/>
                <w:sz w:val="24"/>
              </w:rPr>
              <w:t>符合国标GB/T 1535-2017</w:t>
            </w:r>
          </w:p>
        </w:tc>
        <w:tc>
          <w:tcPr>
            <w:tcW w:w="915" w:type="dxa"/>
            <w:vMerge w:val="restart"/>
            <w:tcMar>
              <w:top w:w="0" w:type="dxa"/>
              <w:left w:w="108" w:type="dxa"/>
              <w:bottom w:w="0" w:type="dxa"/>
              <w:right w:w="108" w:type="dxa"/>
            </w:tcMar>
            <w:vAlign w:val="center"/>
          </w:tcPr>
          <w:p>
            <w:pPr>
              <w:widowControl/>
              <w:jc w:val="center"/>
              <w:rPr>
                <w:rFonts w:ascii="宋体" w:hAnsi="宋体" w:cs="宋体"/>
                <w:kern w:val="0"/>
                <w:sz w:val="24"/>
              </w:rPr>
            </w:pPr>
            <w:r>
              <w:rPr>
                <w:rFonts w:hint="eastAsia" w:ascii="宋体" w:hAnsi="宋体" w:cs="宋体"/>
                <w:kern w:val="0"/>
                <w:sz w:val="24"/>
              </w:rPr>
              <w:t>升</w:t>
            </w:r>
          </w:p>
        </w:tc>
        <w:tc>
          <w:tcPr>
            <w:tcW w:w="2254" w:type="dxa"/>
            <w:vMerge w:val="restart"/>
            <w:tcBorders>
              <w:left w:val="single" w:color="auto" w:sz="4" w:space="0"/>
            </w:tcBorders>
            <w:vAlign w:val="center"/>
          </w:tcPr>
          <w:p>
            <w:pPr>
              <w:widowControl/>
              <w:jc w:val="center"/>
              <w:rPr>
                <w:rFonts w:ascii="宋体" w:hAnsi="宋体" w:cs="宋体"/>
                <w:kern w:val="0"/>
                <w:sz w:val="24"/>
              </w:rPr>
            </w:pPr>
          </w:p>
        </w:tc>
        <w:tc>
          <w:tcPr>
            <w:tcW w:w="2766" w:type="dxa"/>
            <w:tcBorders>
              <w:bottom w:val="single" w:color="auto" w:sz="4" w:space="0"/>
            </w:tcBorders>
            <w:tcMar>
              <w:top w:w="0" w:type="dxa"/>
              <w:left w:w="108" w:type="dxa"/>
              <w:bottom w:w="0" w:type="dxa"/>
              <w:right w:w="108" w:type="dxa"/>
            </w:tcMar>
            <w:vAlign w:val="center"/>
          </w:tcPr>
          <w:p>
            <w:pPr>
              <w:spacing w:line="360" w:lineRule="auto"/>
              <w:jc w:val="center"/>
              <w:rPr>
                <w:rFonts w:ascii="宋体" w:hAnsi="宋体" w:cs="宋体"/>
                <w:kern w:val="0"/>
                <w:sz w:val="24"/>
              </w:rPr>
            </w:pPr>
            <w:r>
              <w:rPr>
                <w:rFonts w:hint="eastAsia" w:ascii="Times New Roman" w:hAnsi="Times New Roman" w:eastAsia="楷体_GB2312"/>
                <w:sz w:val="24"/>
                <w:szCs w:val="24"/>
              </w:rPr>
              <w:t>小写： （元/斤）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74" w:hRule="atLeast"/>
          <w:jc w:val="center"/>
        </w:trPr>
        <w:tc>
          <w:tcPr>
            <w:tcW w:w="1599" w:type="dxa"/>
            <w:vMerge w:val="continue"/>
            <w:tcBorders>
              <w:bottom w:val="single" w:color="auto" w:sz="4" w:space="0"/>
            </w:tcBorders>
            <w:tcMar>
              <w:top w:w="0" w:type="dxa"/>
              <w:left w:w="108" w:type="dxa"/>
              <w:bottom w:w="0" w:type="dxa"/>
              <w:right w:w="108" w:type="dxa"/>
            </w:tcMar>
            <w:vAlign w:val="center"/>
          </w:tcPr>
          <w:p>
            <w:pPr>
              <w:widowControl/>
              <w:jc w:val="center"/>
              <w:rPr>
                <w:rFonts w:ascii="宋体" w:hAnsi="宋体" w:cs="宋体"/>
                <w:kern w:val="0"/>
                <w:sz w:val="24"/>
              </w:rPr>
            </w:pPr>
          </w:p>
        </w:tc>
        <w:tc>
          <w:tcPr>
            <w:tcW w:w="1449" w:type="dxa"/>
            <w:vMerge w:val="continue"/>
            <w:tcBorders>
              <w:bottom w:val="single" w:color="auto" w:sz="4" w:space="0"/>
            </w:tcBorders>
            <w:tcMar>
              <w:top w:w="0" w:type="dxa"/>
              <w:left w:w="108" w:type="dxa"/>
              <w:bottom w:w="0" w:type="dxa"/>
              <w:right w:w="108" w:type="dxa"/>
            </w:tcMar>
            <w:vAlign w:val="center"/>
          </w:tcPr>
          <w:p>
            <w:pPr>
              <w:widowControl/>
              <w:jc w:val="center"/>
              <w:rPr>
                <w:rFonts w:hint="eastAsia" w:ascii="仿宋_GB2312" w:hAnsi="宋体" w:eastAsia="仿宋_GB2312"/>
                <w:sz w:val="24"/>
              </w:rPr>
            </w:pPr>
          </w:p>
        </w:tc>
        <w:tc>
          <w:tcPr>
            <w:tcW w:w="915" w:type="dxa"/>
            <w:vMerge w:val="continue"/>
            <w:tcBorders>
              <w:bottom w:val="single" w:color="auto" w:sz="4" w:space="0"/>
            </w:tcBorders>
            <w:tcMar>
              <w:top w:w="0" w:type="dxa"/>
              <w:left w:w="108" w:type="dxa"/>
              <w:bottom w:w="0" w:type="dxa"/>
              <w:right w:w="108" w:type="dxa"/>
            </w:tcMar>
            <w:vAlign w:val="center"/>
          </w:tcPr>
          <w:p>
            <w:pPr>
              <w:widowControl/>
              <w:jc w:val="center"/>
              <w:rPr>
                <w:rFonts w:hint="eastAsia" w:ascii="宋体" w:hAnsi="宋体" w:cs="宋体"/>
                <w:kern w:val="0"/>
                <w:sz w:val="24"/>
              </w:rPr>
            </w:pPr>
          </w:p>
        </w:tc>
        <w:tc>
          <w:tcPr>
            <w:tcW w:w="2254" w:type="dxa"/>
            <w:vMerge w:val="continue"/>
            <w:tcBorders>
              <w:left w:val="single" w:color="auto" w:sz="4" w:space="0"/>
              <w:bottom w:val="single" w:color="auto" w:sz="4" w:space="0"/>
            </w:tcBorders>
            <w:vAlign w:val="center"/>
          </w:tcPr>
          <w:p>
            <w:pPr>
              <w:widowControl/>
              <w:jc w:val="center"/>
              <w:rPr>
                <w:rFonts w:ascii="宋体" w:hAnsi="宋体" w:cs="宋体"/>
                <w:kern w:val="0"/>
                <w:sz w:val="24"/>
              </w:rPr>
            </w:pPr>
          </w:p>
        </w:tc>
        <w:tc>
          <w:tcPr>
            <w:tcW w:w="2766" w:type="dxa"/>
            <w:tcBorders>
              <w:top w:val="single" w:color="auto" w:sz="4" w:space="0"/>
              <w:bottom w:val="single" w:color="auto" w:sz="4" w:space="0"/>
            </w:tcBorders>
            <w:tcMar>
              <w:top w:w="0" w:type="dxa"/>
              <w:left w:w="108" w:type="dxa"/>
              <w:bottom w:w="0" w:type="dxa"/>
              <w:right w:w="108" w:type="dxa"/>
            </w:tcMar>
            <w:vAlign w:val="center"/>
          </w:tcPr>
          <w:p>
            <w:pPr>
              <w:widowControl/>
              <w:jc w:val="center"/>
              <w:rPr>
                <w:rFonts w:ascii="宋体" w:hAnsi="宋体" w:cs="宋体"/>
                <w:kern w:val="0"/>
                <w:sz w:val="24"/>
              </w:rPr>
            </w:pPr>
            <w:r>
              <w:rPr>
                <w:rFonts w:hint="eastAsia" w:ascii="Times New Roman" w:hAnsi="Times New Roman" w:eastAsia="楷体_GB2312"/>
                <w:sz w:val="24"/>
                <w:szCs w:val="24"/>
              </w:rPr>
              <w:t>大写： （元/斤）</w:t>
            </w:r>
          </w:p>
        </w:tc>
      </w:tr>
    </w:tbl>
    <w:p>
      <w:pPr>
        <w:widowControl/>
        <w:jc w:val="center"/>
        <w:rPr>
          <w:rFonts w:ascii="宋体" w:hAnsi="宋体" w:cs="宋体"/>
          <w:kern w:val="0"/>
          <w:sz w:val="24"/>
        </w:rPr>
      </w:pPr>
      <w:r>
        <w:rPr>
          <w:rFonts w:ascii="宋体" w:hAnsi="宋体" w:cs="宋体"/>
          <w:kern w:val="0"/>
          <w:sz w:val="24"/>
        </w:rPr>
        <w:t xml:space="preserve">                     </w:t>
      </w: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w:t>
      </w:r>
      <w:r>
        <w:rPr>
          <w:rFonts w:hint="eastAsia" w:ascii="宋体" w:hAnsi="宋体" w:cs="宋体"/>
          <w:kern w:val="0"/>
          <w:sz w:val="24"/>
        </w:rPr>
        <w:t>按照所有产品报价的合计计算并</w:t>
      </w:r>
      <w:r>
        <w:rPr>
          <w:rFonts w:ascii="宋体" w:hAnsi="宋体" w:cs="宋体"/>
          <w:kern w:val="0"/>
          <w:sz w:val="24"/>
        </w:rPr>
        <w:t>精确到分（0.01元）</w:t>
      </w:r>
      <w:r>
        <w:rPr>
          <w:rFonts w:hint="eastAsia"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widowControl/>
        <w:spacing w:line="600" w:lineRule="atLeast"/>
        <w:jc w:val="left"/>
        <w:rPr>
          <w:rFonts w:ascii="宋体" w:hAnsi="宋体" w:cs="宋体"/>
          <w:b/>
          <w:bCs/>
          <w:kern w:val="0"/>
          <w:sz w:val="24"/>
        </w:rPr>
      </w:pPr>
    </w:p>
    <w:p>
      <w:pPr>
        <w:widowControl/>
        <w:spacing w:line="600" w:lineRule="atLeast"/>
        <w:jc w:val="left"/>
        <w:rPr>
          <w:rFonts w:ascii="宋体" w:hAnsi="宋体" w:cs="宋体"/>
          <w:b/>
          <w:bCs/>
          <w:kern w:val="0"/>
          <w:sz w:val="24"/>
        </w:rPr>
      </w:pPr>
    </w:p>
    <w:p>
      <w:pPr>
        <w:widowControl/>
        <w:spacing w:line="600" w:lineRule="atLeast"/>
        <w:jc w:val="left"/>
        <w:rPr>
          <w:rFonts w:ascii="宋体" w:hAnsi="宋体" w:cs="宋体"/>
          <w:b/>
          <w:bCs/>
          <w:kern w:val="0"/>
          <w:sz w:val="24"/>
        </w:rPr>
      </w:pPr>
    </w:p>
    <w:p>
      <w:pPr>
        <w:rPr>
          <w:rFonts w:ascii="宋体" w:hAnsi="宋体" w:cs="宋体"/>
          <w:kern w:val="0"/>
          <w:szCs w:val="21"/>
        </w:rPr>
      </w:pPr>
    </w:p>
    <w:p>
      <w:pPr>
        <w:rPr>
          <w:szCs w:val="21"/>
        </w:rPr>
      </w:pPr>
    </w:p>
    <w:p>
      <w:pPr>
        <w:rPr>
          <w:szCs w:val="21"/>
        </w:rPr>
      </w:pPr>
    </w:p>
    <w:p>
      <w:pPr>
        <w:rPr>
          <w:szCs w:val="21"/>
        </w:rPr>
      </w:pPr>
    </w:p>
    <w:p>
      <w:pPr>
        <w:rPr>
          <w:szCs w:val="21"/>
        </w:rPr>
      </w:pPr>
    </w:p>
    <w:bookmarkEnd w:id="19"/>
    <w:p>
      <w:pPr>
        <w:pStyle w:val="4"/>
        <w:rPr>
          <w:rFonts w:hint="eastAsia"/>
          <w:b w:val="0"/>
          <w:color w:val="000000" w:themeColor="text1"/>
          <w:sz w:val="21"/>
          <w:szCs w:val="21"/>
          <w14:textFill>
            <w14:solidFill>
              <w14:schemeClr w14:val="tx1"/>
            </w14:solidFill>
          </w14:textFill>
        </w:rPr>
      </w:pPr>
      <w:bookmarkStart w:id="20" w:name="_Toc73516699"/>
      <w:bookmarkStart w:id="21" w:name="_Toc24632184"/>
    </w:p>
    <w:p>
      <w:pPr>
        <w:pStyle w:val="4"/>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附件3：法定代表人资格证明</w:t>
      </w:r>
      <w:bookmarkEnd w:id="20"/>
      <w:bookmarkEnd w:id="21"/>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w:t>
      </w:r>
      <w:r>
        <w:rPr>
          <w:color w:val="000000" w:themeColor="text1"/>
          <w:sz w:val="28"/>
          <w:szCs w:val="28"/>
          <w14:textFill>
            <w14:solidFill>
              <w14:schemeClr w14:val="tx1"/>
            </w14:solidFill>
          </w14:textFill>
        </w:rPr>
        <w:t>公司的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r>
        <w:rPr>
          <w:rFonts w:hint="eastAsia"/>
          <w:color w:val="000000" w:themeColor="text1"/>
          <w:sz w:val="28"/>
          <w:szCs w:val="28"/>
          <w14:textFill>
            <w14:solidFill>
              <w14:schemeClr w14:val="tx1"/>
            </w14:solidFill>
          </w14:textFill>
        </w:rPr>
        <w:t>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22" w:name="_Toc73516700"/>
      <w:bookmarkStart w:id="23" w:name="_Toc24632185"/>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3164205</wp:posOffset>
                </wp:positionH>
                <wp:positionV relativeFrom="paragraph">
                  <wp:posOffset>448945</wp:posOffset>
                </wp:positionV>
                <wp:extent cx="2905760" cy="1973580"/>
                <wp:effectExtent l="4445" t="4445" r="23495" b="22225"/>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35.35pt;height:155.4pt;width:228.8pt;z-index:251661312;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4445" t="4445" r="23495" b="22225"/>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35.55pt;height:155.4pt;width:228.8pt;z-index:251660288;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附件4：法定代表人授权书</w:t>
      </w:r>
      <w:bookmarkEnd w:id="22"/>
      <w:bookmarkEnd w:id="23"/>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3360;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2336;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4" w:name="_Toc73516701"/>
      <w:r>
        <w:rPr>
          <w:rFonts w:hint="eastAsia"/>
          <w:b w:val="0"/>
          <w:color w:val="000000" w:themeColor="text1"/>
          <w:sz w:val="21"/>
          <w:szCs w:val="21"/>
          <w14:textFill>
            <w14:solidFill>
              <w14:schemeClr w14:val="tx1"/>
            </w14:solidFill>
          </w14:textFill>
        </w:rPr>
        <w:t>附件5：无重大违法记录声明</w:t>
      </w:r>
      <w:bookmarkEnd w:id="24"/>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5" w:name="_Toc53153324"/>
      <w:bookmarkStart w:id="26" w:name="_Toc50642505"/>
      <w:bookmarkStart w:id="27" w:name="_Toc51598429"/>
      <w:bookmarkStart w:id="28" w:name="_Toc73516702"/>
      <w:bookmarkStart w:id="29" w:name="_Toc50645819"/>
      <w:bookmarkStart w:id="30" w:name="_Toc49847306"/>
      <w:bookmarkStart w:id="31" w:name="_Toc52798262"/>
      <w:r>
        <w:rPr>
          <w:rFonts w:hint="eastAsia"/>
          <w:b w:val="0"/>
          <w:color w:val="000000" w:themeColor="text1"/>
          <w:sz w:val="21"/>
          <w:szCs w:val="21"/>
          <w14:textFill>
            <w14:solidFill>
              <w14:schemeClr w14:val="tx1"/>
            </w14:solidFill>
          </w14:textFill>
        </w:rPr>
        <w:t>附件6：诚信承诺书</w:t>
      </w:r>
      <w:bookmarkEnd w:id="25"/>
      <w:bookmarkEnd w:id="26"/>
      <w:bookmarkEnd w:id="27"/>
      <w:bookmarkEnd w:id="28"/>
      <w:bookmarkEnd w:id="29"/>
      <w:bookmarkEnd w:id="30"/>
      <w:bookmarkEnd w:id="31"/>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Adobe 黑体 Std R">
    <w:altName w:val="黑体"/>
    <w:panose1 w:val="00000000000000000000"/>
    <w:charset w:val="86"/>
    <w:family w:val="swiss"/>
    <w:pitch w:val="default"/>
    <w:sig w:usb0="00000000" w:usb1="00000000" w:usb2="00000016" w:usb3="00000000" w:csb0="00060007"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17</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62D8"/>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2DB34CD"/>
    <w:rsid w:val="047A5D8D"/>
    <w:rsid w:val="04CA3F82"/>
    <w:rsid w:val="05654526"/>
    <w:rsid w:val="05872D64"/>
    <w:rsid w:val="059F26AC"/>
    <w:rsid w:val="065823F0"/>
    <w:rsid w:val="07487BB5"/>
    <w:rsid w:val="081154F5"/>
    <w:rsid w:val="092F45CD"/>
    <w:rsid w:val="095D58FD"/>
    <w:rsid w:val="09910E44"/>
    <w:rsid w:val="0A0210BA"/>
    <w:rsid w:val="0A026BD8"/>
    <w:rsid w:val="0A3B3B26"/>
    <w:rsid w:val="0AEA25FE"/>
    <w:rsid w:val="0EA16A38"/>
    <w:rsid w:val="0EF929D9"/>
    <w:rsid w:val="0F111E5D"/>
    <w:rsid w:val="0F202E96"/>
    <w:rsid w:val="10374903"/>
    <w:rsid w:val="109D372F"/>
    <w:rsid w:val="110D6392"/>
    <w:rsid w:val="12344A6C"/>
    <w:rsid w:val="126E6EDF"/>
    <w:rsid w:val="12746007"/>
    <w:rsid w:val="15AD47C5"/>
    <w:rsid w:val="16075D84"/>
    <w:rsid w:val="17032E5F"/>
    <w:rsid w:val="18025046"/>
    <w:rsid w:val="184A236C"/>
    <w:rsid w:val="19031A69"/>
    <w:rsid w:val="1A7A033C"/>
    <w:rsid w:val="1B8A0A6B"/>
    <w:rsid w:val="1C2E2B07"/>
    <w:rsid w:val="1CB9293D"/>
    <w:rsid w:val="1CD33504"/>
    <w:rsid w:val="1D4F473B"/>
    <w:rsid w:val="1D720134"/>
    <w:rsid w:val="201D722B"/>
    <w:rsid w:val="205D1EAD"/>
    <w:rsid w:val="2600779A"/>
    <w:rsid w:val="268E706A"/>
    <w:rsid w:val="27304C7C"/>
    <w:rsid w:val="277E259E"/>
    <w:rsid w:val="28E505D1"/>
    <w:rsid w:val="299F38FC"/>
    <w:rsid w:val="29AA0D95"/>
    <w:rsid w:val="29B54054"/>
    <w:rsid w:val="2C536C49"/>
    <w:rsid w:val="2D0D0136"/>
    <w:rsid w:val="2D2A163D"/>
    <w:rsid w:val="2DE02613"/>
    <w:rsid w:val="2E4B55FF"/>
    <w:rsid w:val="2EE261A8"/>
    <w:rsid w:val="2EE62F88"/>
    <w:rsid w:val="31086F3E"/>
    <w:rsid w:val="31451D82"/>
    <w:rsid w:val="31820BD9"/>
    <w:rsid w:val="324101E2"/>
    <w:rsid w:val="32D50882"/>
    <w:rsid w:val="3465038D"/>
    <w:rsid w:val="3491629A"/>
    <w:rsid w:val="39D272EA"/>
    <w:rsid w:val="3A7C5E4C"/>
    <w:rsid w:val="3AA02510"/>
    <w:rsid w:val="3B767F00"/>
    <w:rsid w:val="3BB04B88"/>
    <w:rsid w:val="3BCF12B5"/>
    <w:rsid w:val="3C7137CF"/>
    <w:rsid w:val="3DC723EC"/>
    <w:rsid w:val="3DDC49E6"/>
    <w:rsid w:val="3E495D4A"/>
    <w:rsid w:val="3EEA1BF7"/>
    <w:rsid w:val="3F0071D7"/>
    <w:rsid w:val="3F757550"/>
    <w:rsid w:val="439B3B95"/>
    <w:rsid w:val="44814510"/>
    <w:rsid w:val="44E778A4"/>
    <w:rsid w:val="4517057D"/>
    <w:rsid w:val="45566478"/>
    <w:rsid w:val="465F2D3C"/>
    <w:rsid w:val="474140DE"/>
    <w:rsid w:val="48050777"/>
    <w:rsid w:val="486A27A6"/>
    <w:rsid w:val="492D6B95"/>
    <w:rsid w:val="49C26560"/>
    <w:rsid w:val="4AD917DF"/>
    <w:rsid w:val="4BCE6917"/>
    <w:rsid w:val="4C653F38"/>
    <w:rsid w:val="4CCA7EF7"/>
    <w:rsid w:val="4D1064FF"/>
    <w:rsid w:val="4DE63590"/>
    <w:rsid w:val="50543314"/>
    <w:rsid w:val="51CE3B85"/>
    <w:rsid w:val="52283644"/>
    <w:rsid w:val="52DF649E"/>
    <w:rsid w:val="53126E03"/>
    <w:rsid w:val="53BC3A20"/>
    <w:rsid w:val="54474CB9"/>
    <w:rsid w:val="54E7132C"/>
    <w:rsid w:val="55DC4864"/>
    <w:rsid w:val="562D07D0"/>
    <w:rsid w:val="59B34481"/>
    <w:rsid w:val="59F7427D"/>
    <w:rsid w:val="5AC60F5D"/>
    <w:rsid w:val="5CBB218F"/>
    <w:rsid w:val="5D5A1B3D"/>
    <w:rsid w:val="5D9422F4"/>
    <w:rsid w:val="5DF625FF"/>
    <w:rsid w:val="5ED90476"/>
    <w:rsid w:val="5F551185"/>
    <w:rsid w:val="5F721C62"/>
    <w:rsid w:val="60E45328"/>
    <w:rsid w:val="61A71DB7"/>
    <w:rsid w:val="6213685C"/>
    <w:rsid w:val="627C20B0"/>
    <w:rsid w:val="637416D7"/>
    <w:rsid w:val="64BB1B06"/>
    <w:rsid w:val="65016EC6"/>
    <w:rsid w:val="650572A7"/>
    <w:rsid w:val="68CB2588"/>
    <w:rsid w:val="694D393E"/>
    <w:rsid w:val="69BA4058"/>
    <w:rsid w:val="6A2633D5"/>
    <w:rsid w:val="6AEF170B"/>
    <w:rsid w:val="6B5D5FBF"/>
    <w:rsid w:val="6BAA593E"/>
    <w:rsid w:val="6BCE26DE"/>
    <w:rsid w:val="6C1F0250"/>
    <w:rsid w:val="6DCD2BAB"/>
    <w:rsid w:val="6EFC2CD5"/>
    <w:rsid w:val="70BB4DC3"/>
    <w:rsid w:val="71DF0DB2"/>
    <w:rsid w:val="751B1357"/>
    <w:rsid w:val="772464D5"/>
    <w:rsid w:val="78413079"/>
    <w:rsid w:val="78D52782"/>
    <w:rsid w:val="79247842"/>
    <w:rsid w:val="7A205E5C"/>
    <w:rsid w:val="7AA25287"/>
    <w:rsid w:val="7B822619"/>
    <w:rsid w:val="7CDF37CB"/>
    <w:rsid w:val="7CF96AFE"/>
    <w:rsid w:val="7DB06C0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B8D089-A884-4CCE-980E-B084CEB92705}">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9353</Words>
  <Characters>9989</Characters>
  <Lines>159</Lines>
  <Paragraphs>45</Paragraphs>
  <TotalTime>15</TotalTime>
  <ScaleCrop>false</ScaleCrop>
  <LinksUpToDate>false</LinksUpToDate>
  <CharactersWithSpaces>10825</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2021-07-23T02:44:00Z</dcterms:created>
  <dc:creator>USER</dc:creator>
  <cp:lastModifiedBy>如今</cp:lastModifiedBy>
  <cp:lastPrinted>2022-07-23T08:13:00Z</cp:lastPrinted>
  <dcterms:modified xsi:type="dcterms:W3CDTF">2022-08-12T08:56:31Z</dcterms:modified>
  <dc:title>招  标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19476D37B02F46B2A2BF4E2D9F83DC76</vt:lpwstr>
  </property>
</Properties>
</file>