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spacing w:line="360" w:lineRule="auto"/>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spacing w:line="360" w:lineRule="auto"/>
        <w:rPr>
          <w:rFonts w:eastAsia="黑体"/>
          <w:color w:val="000000" w:themeColor="text1"/>
          <w:sz w:val="32"/>
          <w14:textFill>
            <w14:solidFill>
              <w14:schemeClr w14:val="tx1"/>
            </w14:solidFill>
          </w14:textFill>
        </w:rPr>
      </w:pPr>
    </w:p>
    <w:p>
      <w:pPr>
        <w:spacing w:line="360" w:lineRule="auto"/>
        <w:ind w:firstLine="1744" w:firstLineChars="545"/>
        <w:rPr>
          <w:rFonts w:ascii="宋体"/>
          <w:color w:val="000000" w:themeColor="text1"/>
          <w:sz w:val="32"/>
          <w14:textFill>
            <w14:solidFill>
              <w14:schemeClr w14:val="tx1"/>
            </w14:solidFill>
          </w14:textFill>
        </w:rPr>
      </w:pPr>
    </w:p>
    <w:p>
      <w:pPr>
        <w:spacing w:line="360" w:lineRule="auto"/>
        <w:ind w:left="3202" w:leftChars="760" w:hanging="1606" w:hangingChars="5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南通大学食堂原料物资（猪肉、鸡肉）</w:t>
      </w:r>
    </w:p>
    <w:p>
      <w:pPr>
        <w:spacing w:line="360" w:lineRule="auto"/>
        <w:ind w:firstLine="1606" w:firstLineChars="500"/>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TDHW(GK)2023</w:t>
      </w:r>
      <w:r>
        <w:rPr>
          <w:rFonts w:ascii="宋体"/>
          <w:b/>
          <w:color w:val="000000" w:themeColor="text1"/>
          <w:sz w:val="32"/>
          <w:szCs w:val="32"/>
          <w14:textFill>
            <w14:solidFill>
              <w14:schemeClr w14:val="tx1"/>
            </w14:solidFill>
          </w14:textFill>
        </w:rPr>
        <w:t>-102</w:t>
      </w:r>
    </w:p>
    <w:p>
      <w:pPr>
        <w:spacing w:line="360" w:lineRule="auto"/>
        <w:jc w:val="center"/>
        <w:rPr>
          <w:rFonts w:eastAsia="黑体"/>
          <w:color w:val="000000" w:themeColor="text1"/>
          <w:sz w:val="36"/>
          <w:szCs w:val="36"/>
          <w:u w:val="single"/>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color w:val="000000" w:themeColor="text1"/>
          <w:sz w:val="32"/>
          <w14:textFill>
            <w14:solidFill>
              <w14:schemeClr w14:val="tx1"/>
            </w14:solidFill>
          </w14:textFill>
        </w:rPr>
      </w:pPr>
    </w:p>
    <w:p>
      <w:pPr>
        <w:spacing w:line="360" w:lineRule="auto"/>
        <w:jc w:val="center"/>
        <w:rPr>
          <w:color w:val="000000" w:themeColor="text1"/>
          <w:sz w:val="44"/>
          <w14:textFill>
            <w14:solidFill>
              <w14:schemeClr w14:val="tx1"/>
            </w14:solidFill>
          </w14:textFill>
        </w:rPr>
      </w:pPr>
    </w:p>
    <w:p>
      <w:pPr>
        <w:spacing w:line="360" w:lineRule="auto"/>
        <w:jc w:val="center"/>
        <w:rPr>
          <w:color w:val="000000" w:themeColor="text1"/>
          <w:sz w:val="44"/>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jc w:val="center"/>
        <w:rPr>
          <w:rFonts w:eastAsia="黑体"/>
          <w:color w:val="000000" w:themeColor="text1"/>
          <w:sz w:val="32"/>
          <w14:textFill>
            <w14:solidFill>
              <w14:schemeClr w14:val="tx1"/>
            </w14:solidFill>
          </w14:textFill>
        </w:rPr>
      </w:pPr>
    </w:p>
    <w:p>
      <w:pPr>
        <w:spacing w:line="360" w:lineRule="auto"/>
        <w:rPr>
          <w:rFonts w:eastAsia="黑体"/>
          <w:color w:val="000000" w:themeColor="text1"/>
          <w:sz w:val="32"/>
          <w14:textFill>
            <w14:solidFill>
              <w14:schemeClr w14:val="tx1"/>
            </w14:solidFill>
          </w14:textFill>
        </w:rPr>
      </w:pPr>
    </w:p>
    <w:p>
      <w:pPr>
        <w:spacing w:line="360" w:lineRule="auto"/>
        <w:jc w:val="center"/>
        <w:rPr>
          <w:rFonts w:ascii="宋体"/>
          <w:color w:val="000000" w:themeColor="text1"/>
          <w:sz w:val="32"/>
          <w14:textFill>
            <w14:solidFill>
              <w14:schemeClr w14:val="tx1"/>
            </w14:solidFill>
          </w14:textFill>
        </w:rPr>
      </w:pPr>
    </w:p>
    <w:p>
      <w:pPr>
        <w:spacing w:line="360" w:lineRule="auto"/>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spacing w:line="360" w:lineRule="auto"/>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2023</w:t>
      </w:r>
      <w:r>
        <w:rPr>
          <w:rFonts w:hint="eastAsia" w:eastAsia="宋体"/>
          <w:b/>
          <w:color w:val="000000" w:themeColor="text1"/>
          <w:sz w:val="32"/>
          <w:szCs w:val="32"/>
          <w14:textFill>
            <w14:solidFill>
              <w14:schemeClr w14:val="tx1"/>
            </w14:solidFill>
          </w14:textFill>
        </w:rPr>
        <w:t>年8月</w:t>
      </w:r>
    </w:p>
    <w:p>
      <w:pPr>
        <w:spacing w:after="312" w:afterLines="100" w:line="360" w:lineRule="auto"/>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240" w:afterLines="100" w:line="360" w:lineRule="auto"/>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4</w:t>
      </w:r>
      <w:r>
        <w:rPr>
          <w:rFonts w:hint="eastAsia"/>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4</w:t>
      </w:r>
      <w:r>
        <w:rPr>
          <w:rFonts w:hint="eastAsia"/>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6</w:t>
      </w:r>
      <w:r>
        <w:rPr>
          <w:rFonts w:hint="eastAsia"/>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7</w:t>
      </w:r>
      <w:r>
        <w:rPr>
          <w:rFonts w:hint="eastAsia"/>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color w:val="000000" w:themeColor="text1"/>
          <w14:textFill>
            <w14:solidFill>
              <w14:schemeClr w14:val="tx1"/>
            </w14:solidFill>
          </w14:textFill>
        </w:rPr>
        <w:t>8</w:t>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color w:val="000000" w:themeColor="text1"/>
          <w14:textFill>
            <w14:solidFill>
              <w14:schemeClr w14:val="tx1"/>
            </w14:solidFill>
          </w14:textFill>
        </w:rPr>
        <w:t>9</w:t>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color w:val="000000" w:themeColor="text1"/>
          <w14:textFill>
            <w14:solidFill>
              <w14:schemeClr w14:val="tx1"/>
            </w14:solidFill>
          </w14:textFill>
        </w:rPr>
        <w:t>12</w:t>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5</w:t>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7</w:t>
      </w:r>
    </w:p>
    <w:p>
      <w:pPr>
        <w:pStyle w:val="23"/>
        <w:tabs>
          <w:tab w:val="right" w:leader="dot" w:pos="9736"/>
        </w:tabs>
        <w:spacing w:line="360" w:lineRule="auto"/>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color w:val="000000" w:themeColor="text1"/>
          <w14:textFill>
            <w14:solidFill>
              <w14:schemeClr w14:val="tx1"/>
            </w14:solidFill>
          </w14:textFill>
        </w:rPr>
        <w:t>20</w:t>
      </w:r>
    </w:p>
    <w:p>
      <w:pPr>
        <w:pStyle w:val="23"/>
        <w:tabs>
          <w:tab w:val="right" w:leader="dot" w:pos="9736"/>
        </w:tabs>
        <w:spacing w:line="360" w:lineRule="auto"/>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spacing w:line="360" w:lineRule="auto"/>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240" w:afterLines="100" w:line="360" w:lineRule="auto"/>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spacing w:line="360" w:lineRule="auto"/>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360" w:lineRule="auto"/>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南通大学食堂原料物资（猪肉、鸡肉）</w:t>
      </w:r>
      <w:r>
        <w:rPr>
          <w:rFonts w:hint="eastAsia" w:ascii="宋体" w:hAnsi="宋体"/>
          <w:color w:val="000000"/>
          <w:sz w:val="24"/>
        </w:rPr>
        <w:t>及相关服务，现就相关事宜公告如下：</w:t>
      </w:r>
    </w:p>
    <w:p>
      <w:pPr>
        <w:widowControl/>
        <w:spacing w:line="360" w:lineRule="auto"/>
        <w:ind w:firstLine="482" w:firstLineChars="200"/>
        <w:rPr>
          <w:rFonts w:ascii="宋体" w:hAnsi="宋体"/>
          <w:b/>
          <w:color w:val="000000"/>
          <w:sz w:val="24"/>
        </w:rPr>
      </w:pPr>
      <w:r>
        <w:rPr>
          <w:rFonts w:hint="eastAsia" w:ascii="宋体" w:hAnsi="宋体"/>
          <w:b/>
          <w:color w:val="000000"/>
          <w:sz w:val="24"/>
        </w:rPr>
        <w:t>一、项目名称：南通大学食堂原料物资（猪肉、鸡肉）采购</w:t>
      </w:r>
    </w:p>
    <w:p>
      <w:pPr>
        <w:widowControl/>
        <w:spacing w:line="360" w:lineRule="auto"/>
        <w:ind w:firstLine="482" w:firstLineChars="200"/>
        <w:rPr>
          <w:rFonts w:ascii="宋体" w:hAnsi="宋体"/>
          <w:b/>
          <w:color w:val="000000"/>
          <w:sz w:val="24"/>
        </w:rPr>
      </w:pPr>
      <w:r>
        <w:rPr>
          <w:rFonts w:hint="eastAsia" w:ascii="宋体" w:hAnsi="宋体"/>
          <w:b/>
          <w:color w:val="000000"/>
          <w:sz w:val="24"/>
        </w:rPr>
        <w:t>二、招标编号：TDHW(GK)202</w:t>
      </w:r>
      <w:r>
        <w:rPr>
          <w:rFonts w:ascii="宋体" w:hAnsi="宋体"/>
          <w:b/>
          <w:color w:val="000000"/>
          <w:sz w:val="24"/>
        </w:rPr>
        <w:t>3</w:t>
      </w:r>
      <w:r>
        <w:rPr>
          <w:rFonts w:hint="eastAsia" w:ascii="宋体" w:hAnsi="宋体"/>
          <w:b/>
          <w:color w:val="000000"/>
          <w:sz w:val="24"/>
        </w:rPr>
        <w:t>-</w:t>
      </w:r>
      <w:r>
        <w:rPr>
          <w:rFonts w:ascii="宋体" w:hAnsi="宋体"/>
          <w:b/>
          <w:color w:val="000000"/>
          <w:sz w:val="24"/>
        </w:rPr>
        <w:t>102</w:t>
      </w:r>
    </w:p>
    <w:p>
      <w:pPr>
        <w:widowControl/>
        <w:spacing w:line="360" w:lineRule="auto"/>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360" w:lineRule="auto"/>
        <w:ind w:firstLine="482" w:firstLineChars="200"/>
        <w:rPr>
          <w:rFonts w:ascii="宋体" w:hAnsi="宋体"/>
          <w:b/>
          <w:color w:val="000000"/>
          <w:sz w:val="24"/>
        </w:rPr>
      </w:pPr>
      <w:r>
        <w:rPr>
          <w:rFonts w:hint="eastAsia" w:ascii="宋体" w:hAnsi="宋体"/>
          <w:b/>
          <w:color w:val="000000"/>
          <w:sz w:val="24"/>
        </w:rPr>
        <w:t>四、项目预算：标段</w:t>
      </w:r>
      <w:r>
        <w:rPr>
          <w:rFonts w:hint="eastAsia" w:ascii="宋体" w:hAnsi="宋体"/>
          <w:b/>
          <w:color w:val="000000"/>
          <w:sz w:val="24"/>
          <w:lang w:eastAsia="zh-CN"/>
        </w:rPr>
        <w:t>二</w:t>
      </w:r>
      <w:r>
        <w:rPr>
          <w:rFonts w:hint="eastAsia" w:ascii="宋体" w:hAnsi="宋体"/>
          <w:b/>
          <w:color w:val="000000"/>
          <w:sz w:val="24"/>
        </w:rPr>
        <w:t>1</w:t>
      </w:r>
      <w:r>
        <w:rPr>
          <w:rFonts w:ascii="宋体" w:hAnsi="宋体"/>
          <w:b/>
          <w:color w:val="000000"/>
          <w:sz w:val="24"/>
        </w:rPr>
        <w:t>5</w:t>
      </w:r>
      <w:r>
        <w:rPr>
          <w:rFonts w:hint="eastAsia" w:ascii="宋体" w:hAnsi="宋体"/>
          <w:b/>
          <w:color w:val="000000"/>
          <w:sz w:val="24"/>
        </w:rPr>
        <w:t>0万元、</w:t>
      </w:r>
      <w:r>
        <w:rPr>
          <w:rFonts w:ascii="宋体" w:hAnsi="宋体"/>
          <w:b/>
          <w:color w:val="000000"/>
          <w:sz w:val="24"/>
        </w:rPr>
        <w:t>标段</w:t>
      </w:r>
      <w:r>
        <w:rPr>
          <w:rFonts w:hint="eastAsia" w:ascii="宋体" w:hAnsi="宋体"/>
          <w:b/>
          <w:color w:val="000000"/>
          <w:sz w:val="24"/>
          <w:lang w:eastAsia="zh-CN"/>
        </w:rPr>
        <w:t>三</w:t>
      </w:r>
      <w:r>
        <w:rPr>
          <w:rFonts w:ascii="宋体" w:hAnsi="宋体"/>
          <w:b/>
          <w:color w:val="000000"/>
          <w:sz w:val="24"/>
        </w:rPr>
        <w:t>15</w:t>
      </w:r>
      <w:r>
        <w:rPr>
          <w:rFonts w:hint="eastAsia" w:ascii="宋体" w:hAnsi="宋体"/>
          <w:b/>
          <w:color w:val="000000"/>
          <w:sz w:val="24"/>
        </w:rPr>
        <w:t>0万元。</w:t>
      </w:r>
    </w:p>
    <w:p>
      <w:pPr>
        <w:widowControl/>
        <w:spacing w:line="360" w:lineRule="auto"/>
        <w:ind w:firstLine="480" w:firstLineChars="200"/>
        <w:rPr>
          <w:rFonts w:ascii="宋体" w:hAnsi="宋体"/>
          <w:color w:val="000000"/>
          <w:sz w:val="24"/>
        </w:rPr>
      </w:pPr>
      <w:r>
        <w:rPr>
          <w:rFonts w:hint="eastAsia" w:ascii="宋体" w:hAnsi="宋体"/>
          <w:color w:val="000000"/>
          <w:sz w:val="24"/>
        </w:rPr>
        <w:t>标段二：鸡肉（供应啬园校区、启秀校区），供应商</w:t>
      </w:r>
      <w:r>
        <w:rPr>
          <w:rFonts w:ascii="宋体" w:hAnsi="宋体"/>
          <w:color w:val="000000"/>
          <w:sz w:val="24"/>
        </w:rPr>
        <w:t>3</w:t>
      </w:r>
      <w:r>
        <w:rPr>
          <w:rFonts w:hint="eastAsia" w:ascii="宋体" w:hAnsi="宋体"/>
          <w:color w:val="000000"/>
          <w:sz w:val="24"/>
        </w:rPr>
        <w:t>家；</w:t>
      </w:r>
    </w:p>
    <w:p>
      <w:pPr>
        <w:widowControl/>
        <w:spacing w:line="360" w:lineRule="auto"/>
        <w:ind w:firstLine="480" w:firstLineChars="200"/>
        <w:rPr>
          <w:rFonts w:ascii="宋体" w:hAnsi="宋体"/>
          <w:color w:val="000000"/>
          <w:sz w:val="24"/>
        </w:rPr>
      </w:pPr>
      <w:r>
        <w:rPr>
          <w:rFonts w:hint="eastAsia" w:ascii="宋体" w:hAnsi="宋体"/>
          <w:color w:val="000000"/>
          <w:sz w:val="24"/>
        </w:rPr>
        <w:t>标段三： 猪肉（供应启东校区），供应商</w:t>
      </w:r>
      <w:r>
        <w:rPr>
          <w:rFonts w:ascii="宋体" w:hAnsi="宋体"/>
          <w:color w:val="000000"/>
          <w:sz w:val="24"/>
        </w:rPr>
        <w:t>1</w:t>
      </w:r>
      <w:r>
        <w:rPr>
          <w:rFonts w:hint="eastAsia" w:ascii="宋体" w:hAnsi="宋体"/>
          <w:color w:val="000000"/>
          <w:sz w:val="24"/>
        </w:rPr>
        <w:t>家；</w:t>
      </w:r>
    </w:p>
    <w:p>
      <w:pPr>
        <w:widowControl/>
        <w:spacing w:line="360" w:lineRule="auto"/>
        <w:ind w:firstLine="482" w:firstLineChars="200"/>
        <w:rPr>
          <w:rFonts w:ascii="宋体" w:hAnsi="宋体"/>
          <w:color w:val="000000"/>
          <w:sz w:val="24"/>
        </w:rPr>
      </w:pPr>
      <w:r>
        <w:rPr>
          <w:rFonts w:hint="eastAsia" w:ascii="宋体" w:hAnsi="宋体"/>
          <w:b/>
          <w:color w:val="000000"/>
          <w:sz w:val="24"/>
        </w:rPr>
        <w:t>五、合格的投标人</w:t>
      </w:r>
    </w:p>
    <w:p>
      <w:pPr>
        <w:widowControl/>
        <w:spacing w:line="360" w:lineRule="auto"/>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bookmarkStart w:id="43" w:name="_GoBack"/>
      <w:bookmarkEnd w:id="43"/>
    </w:p>
    <w:p>
      <w:pPr>
        <w:spacing w:line="360" w:lineRule="auto"/>
        <w:ind w:firstLine="480" w:firstLineChars="200"/>
        <w:rPr>
          <w:color w:val="000000" w:themeColor="text1"/>
          <w:sz w:val="24"/>
          <w14:textFill>
            <w14:solidFill>
              <w14:schemeClr w14:val="tx1"/>
            </w14:solidFill>
          </w14:textFill>
        </w:rPr>
      </w:pPr>
      <w:bookmarkStart w:id="1" w:name="_Hlk140333773"/>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、招标货物的专业制造厂（商）或销售商；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、具有本次招标货物的供货、安装、售后服务等的相应经验和能力；</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、供应商不得存在下列情况之一</w:t>
      </w:r>
      <w:bookmarkEnd w:id="1"/>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360" w:lineRule="auto"/>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360" w:lineRule="auto"/>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360" w:lineRule="auto"/>
        <w:ind w:firstLine="482" w:firstLineChars="200"/>
        <w:rPr>
          <w:rFonts w:ascii="宋体" w:hAnsi="宋体"/>
          <w:color w:val="000000"/>
          <w:sz w:val="24"/>
        </w:rPr>
      </w:pPr>
      <w:r>
        <w:rPr>
          <w:rFonts w:hint="eastAsia" w:ascii="宋体" w:hAnsi="宋体"/>
          <w:b/>
          <w:color w:val="000000"/>
          <w:sz w:val="24"/>
        </w:rPr>
        <w:t>八、</w:t>
      </w:r>
      <w:bookmarkStart w:id="2" w:name="_Hlk140334100"/>
      <w:r>
        <w:rPr>
          <w:rFonts w:hint="eastAsia" w:ascii="宋体" w:hAnsi="宋体"/>
          <w:b/>
          <w:color w:val="000000"/>
          <w:sz w:val="24"/>
        </w:rPr>
        <w:t>投标</w:t>
      </w:r>
      <w:r>
        <w:rPr>
          <w:rFonts w:hint="eastAsia" w:asciiTheme="minorEastAsia" w:hAnsiTheme="minorEastAsia" w:eastAsiaTheme="minorEastAsia"/>
          <w:b/>
          <w:color w:val="000000" w:themeColor="text1"/>
          <w:sz w:val="24"/>
          <w14:textFill>
            <w14:solidFill>
              <w14:schemeClr w14:val="tx1"/>
            </w14:solidFill>
          </w14:textFill>
        </w:rPr>
        <w:t>登记</w:t>
      </w:r>
      <w:r>
        <w:rPr>
          <w:rFonts w:hint="eastAsia" w:ascii="宋体" w:hAnsi="宋体"/>
          <w:b/>
          <w:color w:val="000000"/>
          <w:sz w:val="24"/>
        </w:rPr>
        <w:t>：</w:t>
      </w:r>
      <w:r>
        <w:rPr>
          <w:rFonts w:hint="eastAsia" w:ascii="宋体" w:hAnsi="宋体"/>
          <w:color w:val="000000"/>
          <w:sz w:val="24"/>
        </w:rPr>
        <w:t>潜在投标人如确定参加投标，请务必在南通大学供应商库(https://ztb.ntu.edu.cn/gyszc.htm)注册并完成报名，若未按上述要求操作，将自行承担所产生的风险。</w:t>
      </w:r>
    </w:p>
    <w:p>
      <w:pPr>
        <w:widowControl/>
        <w:spacing w:line="360" w:lineRule="auto"/>
        <w:ind w:firstLine="482" w:firstLineChars="200"/>
        <w:rPr>
          <w:rFonts w:ascii="宋体" w:hAnsi="宋体" w:cs="宋体"/>
          <w:color w:val="000000"/>
          <w:sz w:val="24"/>
          <w:shd w:val="clear" w:color="auto" w:fill="FFFFFF"/>
        </w:rPr>
      </w:pPr>
      <w:r>
        <w:rPr>
          <w:rStyle w:val="30"/>
          <w:rFonts w:hint="eastAsia" w:ascii="宋体" w:hAnsi="宋体" w:cs="宋体"/>
          <w:color w:val="000000"/>
          <w:sz w:val="24"/>
          <w:shd w:val="clear" w:color="auto" w:fill="FFFFFF"/>
        </w:rPr>
        <w:t>九、</w:t>
      </w:r>
      <w:r>
        <w:rPr>
          <w:rFonts w:hint="eastAsia" w:ascii="宋体" w:hAnsi="宋体"/>
          <w:b/>
          <w:color w:val="000000" w:themeColor="text1"/>
          <w:spacing w:val="4"/>
          <w:sz w:val="24"/>
          <w14:textFill>
            <w14:solidFill>
              <w14:schemeClr w14:val="tx1"/>
            </w14:solidFill>
          </w14:textFill>
        </w:rPr>
        <w:t>招标文件</w:t>
      </w:r>
      <w:r>
        <w:rPr>
          <w:rFonts w:hint="eastAsia"/>
          <w:b/>
          <w:color w:val="000000" w:themeColor="text1"/>
          <w:sz w:val="24"/>
          <w14:textFill>
            <w14:solidFill>
              <w14:schemeClr w14:val="tx1"/>
            </w14:solidFill>
          </w14:textFill>
        </w:rPr>
        <w:t>售价：</w:t>
      </w:r>
      <w:r>
        <w:rPr>
          <w:rFonts w:hint="eastAsia"/>
          <w:color w:val="000000" w:themeColor="text1"/>
          <w:sz w:val="24"/>
          <w14:textFill>
            <w14:solidFill>
              <w14:schemeClr w14:val="tx1"/>
            </w14:solidFill>
          </w14:textFill>
        </w:rPr>
        <w:t>确定参与本次采购活动的供应商，须支付标书费300元人民币</w:t>
      </w:r>
      <w:r>
        <w:rPr>
          <w:rFonts w:hint="eastAsia" w:ascii="宋体" w:hAnsi="宋体" w:cs="宋体"/>
          <w:b/>
          <w:bCs/>
          <w:color w:val="000000"/>
          <w:sz w:val="24"/>
          <w:shd w:val="clear" w:color="auto" w:fill="FFFFFF"/>
        </w:rPr>
        <w:t>/</w:t>
      </w:r>
      <w:bookmarkEnd w:id="2"/>
      <w:r>
        <w:rPr>
          <w:rFonts w:hint="eastAsia" w:ascii="宋体" w:hAnsi="宋体" w:cs="宋体"/>
          <w:b/>
          <w:bCs/>
          <w:color w:val="000000"/>
          <w:sz w:val="24"/>
          <w:shd w:val="clear" w:color="auto" w:fill="FFFFFF"/>
        </w:rPr>
        <w:t>标段。</w:t>
      </w:r>
      <w:r>
        <w:rPr>
          <w:rFonts w:hint="eastAsia" w:ascii="宋体" w:hAnsi="宋体" w:cs="宋体"/>
          <w:color w:val="000000"/>
          <w:sz w:val="24"/>
          <w:shd w:val="clear" w:color="auto" w:fill="FFFFFF"/>
        </w:rPr>
        <w:t>（通过https://ztb.ntu.edu.cn/gyszc.htm缴纳，标书费事后不退，标书费发票将以电子发票形式推送到登记注册邮箱。）</w:t>
      </w:r>
    </w:p>
    <w:p>
      <w:pPr>
        <w:widowControl/>
        <w:numPr>
          <w:ilvl w:val="0"/>
          <w:numId w:val="1"/>
        </w:numPr>
        <w:spacing w:line="360" w:lineRule="auto"/>
        <w:ind w:firstLine="482" w:firstLineChars="200"/>
        <w:rPr>
          <w:rFonts w:ascii="宋体" w:hAnsi="宋体"/>
          <w:b/>
          <w:color w:val="000000"/>
          <w:sz w:val="24"/>
        </w:rPr>
      </w:pPr>
      <w:bookmarkStart w:id="3" w:name="_Hlk140333808"/>
      <w:r>
        <w:rPr>
          <w:rFonts w:hint="eastAsia" w:ascii="宋体" w:hAnsi="宋体"/>
          <w:b/>
          <w:color w:val="000000"/>
          <w:sz w:val="24"/>
        </w:rPr>
        <w:t>投标方式：</w:t>
      </w:r>
    </w:p>
    <w:p>
      <w:pPr>
        <w:widowControl/>
        <w:spacing w:line="360" w:lineRule="auto"/>
        <w:ind w:firstLine="482" w:firstLineChars="200"/>
        <w:rPr>
          <w:rFonts w:ascii="宋体" w:hAnsi="宋体"/>
          <w:color w:val="000000"/>
          <w:sz w:val="24"/>
        </w:rPr>
      </w:pPr>
      <w:r>
        <w:rPr>
          <w:rFonts w:hint="eastAsia" w:ascii="宋体" w:hAnsi="宋体"/>
          <w:b/>
          <w:color w:val="000000"/>
          <w:sz w:val="24"/>
        </w:rPr>
        <w:t>1、投标文件及样品接收开始时间：</w:t>
      </w:r>
      <w:r>
        <w:rPr>
          <w:rFonts w:hint="eastAsia" w:ascii="宋体" w:hAnsi="宋体"/>
          <w:color w:val="000000"/>
          <w:sz w:val="24"/>
        </w:rPr>
        <w:t>2023年</w:t>
      </w:r>
      <w:r>
        <w:rPr>
          <w:rFonts w:ascii="宋体" w:hAnsi="宋体"/>
          <w:color w:val="000000"/>
          <w:sz w:val="24"/>
        </w:rPr>
        <w:t>9</w:t>
      </w:r>
      <w:r>
        <w:rPr>
          <w:rFonts w:hint="eastAsia" w:ascii="宋体" w:hAnsi="宋体"/>
          <w:color w:val="000000"/>
          <w:sz w:val="24"/>
        </w:rPr>
        <w:t>月6日</w:t>
      </w:r>
      <w:r>
        <w:rPr>
          <w:rFonts w:ascii="宋体" w:hAnsi="宋体"/>
          <w:color w:val="000000"/>
          <w:sz w:val="24"/>
        </w:rPr>
        <w:t>14</w:t>
      </w:r>
      <w:r>
        <w:rPr>
          <w:rFonts w:hint="eastAsia" w:ascii="宋体" w:hAnsi="宋体"/>
          <w:color w:val="000000"/>
          <w:sz w:val="24"/>
        </w:rPr>
        <w:t>时</w:t>
      </w:r>
      <w:r>
        <w:rPr>
          <w:rFonts w:ascii="宋体" w:hAnsi="宋体"/>
          <w:color w:val="000000"/>
          <w:sz w:val="24"/>
        </w:rPr>
        <w:t>00</w:t>
      </w:r>
      <w:r>
        <w:rPr>
          <w:rFonts w:hint="eastAsia" w:ascii="宋体" w:hAnsi="宋体"/>
          <w:color w:val="000000"/>
          <w:sz w:val="24"/>
        </w:rPr>
        <w:t>分</w:t>
      </w:r>
    </w:p>
    <w:p>
      <w:pPr>
        <w:widowControl/>
        <w:spacing w:line="360" w:lineRule="auto"/>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2023年</w:t>
      </w:r>
      <w:r>
        <w:rPr>
          <w:rFonts w:ascii="宋体" w:hAnsi="宋体"/>
          <w:color w:val="000000"/>
          <w:sz w:val="24"/>
        </w:rPr>
        <w:t>9</w:t>
      </w:r>
      <w:r>
        <w:rPr>
          <w:rFonts w:hint="eastAsia" w:ascii="宋体" w:hAnsi="宋体"/>
          <w:color w:val="000000"/>
          <w:sz w:val="24"/>
        </w:rPr>
        <w:t>月</w:t>
      </w:r>
      <w:r>
        <w:rPr>
          <w:rFonts w:ascii="宋体" w:hAnsi="宋体"/>
          <w:color w:val="000000"/>
          <w:sz w:val="24"/>
        </w:rPr>
        <w:t>6</w:t>
      </w:r>
      <w:r>
        <w:rPr>
          <w:rFonts w:hint="eastAsia" w:ascii="宋体" w:hAnsi="宋体"/>
          <w:color w:val="000000"/>
          <w:sz w:val="24"/>
        </w:rPr>
        <w:t>日</w:t>
      </w:r>
      <w:r>
        <w:rPr>
          <w:rFonts w:ascii="宋体" w:hAnsi="宋体"/>
          <w:color w:val="000000"/>
          <w:sz w:val="24"/>
        </w:rPr>
        <w:t>14</w:t>
      </w:r>
      <w:r>
        <w:rPr>
          <w:rFonts w:hint="eastAsia" w:ascii="宋体" w:hAnsi="宋体"/>
          <w:color w:val="000000"/>
          <w:sz w:val="24"/>
        </w:rPr>
        <w:t>时</w:t>
      </w:r>
      <w:r>
        <w:rPr>
          <w:rFonts w:ascii="宋体" w:hAnsi="宋体"/>
          <w:color w:val="000000"/>
          <w:sz w:val="24"/>
        </w:rPr>
        <w:t>30</w:t>
      </w:r>
      <w:r>
        <w:rPr>
          <w:rFonts w:hint="eastAsia" w:ascii="宋体" w:hAnsi="宋体"/>
          <w:color w:val="000000"/>
          <w:sz w:val="24"/>
        </w:rPr>
        <w:t>分</w:t>
      </w:r>
    </w:p>
    <w:p>
      <w:pPr>
        <w:widowControl/>
        <w:spacing w:line="360" w:lineRule="auto"/>
        <w:ind w:firstLine="482" w:firstLineChars="200"/>
        <w:rPr>
          <w:rFonts w:ascii="宋体" w:hAnsi="宋体"/>
          <w:color w:val="000000"/>
          <w:sz w:val="24"/>
        </w:rPr>
      </w:pPr>
      <w:r>
        <w:rPr>
          <w:rFonts w:hint="eastAsia" w:ascii="宋体" w:hAnsi="宋体"/>
          <w:b/>
          <w:color w:val="000000"/>
          <w:sz w:val="24"/>
        </w:rPr>
        <w:t>3、投标文件及样品接收地点：</w:t>
      </w:r>
      <w:r>
        <w:rPr>
          <w:rFonts w:hint="eastAsia" w:ascii="宋体" w:hAnsi="宋体"/>
          <w:color w:val="000000"/>
          <w:sz w:val="24"/>
        </w:rPr>
        <w:t>南通大学啬园校区综合楼202</w:t>
      </w:r>
      <w:bookmarkEnd w:id="3"/>
      <w:r>
        <w:rPr>
          <w:rFonts w:hint="eastAsia" w:ascii="宋体" w:hAnsi="宋体"/>
          <w:color w:val="000000"/>
          <w:sz w:val="24"/>
        </w:rPr>
        <w:t>室</w:t>
      </w:r>
    </w:p>
    <w:p>
      <w:pPr>
        <w:widowControl/>
        <w:spacing w:line="360" w:lineRule="auto"/>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邹老师0513-85012720</w:t>
      </w:r>
    </w:p>
    <w:p>
      <w:pPr>
        <w:widowControl/>
        <w:spacing w:line="360" w:lineRule="auto"/>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w:t>
      </w:r>
      <w:r>
        <w:rPr>
          <w:rFonts w:ascii="宋体" w:hAnsi="宋体"/>
          <w:color w:val="000000"/>
          <w:sz w:val="24"/>
        </w:rPr>
        <w:t>233</w:t>
      </w:r>
      <w:r>
        <w:rPr>
          <w:rFonts w:hint="eastAsia" w:ascii="宋体" w:hAnsi="宋体"/>
          <w:color w:val="000000"/>
          <w:sz w:val="24"/>
        </w:rPr>
        <w:t>室</w:t>
      </w:r>
    </w:p>
    <w:p>
      <w:pPr>
        <w:widowControl/>
        <w:spacing w:line="360" w:lineRule="auto"/>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360" w:lineRule="auto"/>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360" w:lineRule="auto"/>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陆轶 0513-85012342、13</w:t>
      </w:r>
      <w:r>
        <w:rPr>
          <w:rFonts w:ascii="宋体" w:hAnsi="宋体"/>
          <w:color w:val="000000"/>
          <w:sz w:val="24"/>
        </w:rPr>
        <w:t>962987487</w:t>
      </w:r>
    </w:p>
    <w:p>
      <w:pPr>
        <w:spacing w:line="360" w:lineRule="auto"/>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spacing w:line="360" w:lineRule="auto"/>
        <w:rPr>
          <w:rFonts w:ascii="宋体" w:hAnsi="宋体"/>
          <w:color w:val="000000"/>
          <w:sz w:val="24"/>
        </w:rPr>
      </w:pPr>
    </w:p>
    <w:p>
      <w:pPr>
        <w:widowControl/>
        <w:spacing w:line="360" w:lineRule="auto"/>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widowControl/>
        <w:spacing w:line="360" w:lineRule="auto"/>
        <w:ind w:firstLine="482" w:firstLineChars="200"/>
        <w:rPr>
          <w:rFonts w:ascii="宋体" w:hAnsi="宋体"/>
          <w:b/>
          <w:color w:val="000000"/>
          <w:sz w:val="24"/>
        </w:rPr>
      </w:pPr>
      <w:r>
        <w:rPr>
          <w:rFonts w:hint="eastAsia" w:ascii="宋体" w:hAnsi="宋体"/>
          <w:b/>
          <w:color w:val="000000"/>
          <w:sz w:val="24"/>
        </w:rPr>
        <w:t>十三、</w:t>
      </w:r>
      <w:r>
        <w:rPr>
          <w:rFonts w:hint="eastAsia" w:ascii="宋体" w:hAnsi="宋体"/>
          <w:b/>
          <w:color w:val="000000" w:themeColor="text1"/>
          <w:spacing w:val="4"/>
          <w:sz w:val="24"/>
          <w14:textFill>
            <w14:solidFill>
              <w14:schemeClr w14:val="tx1"/>
            </w14:solidFill>
          </w14:textFill>
        </w:rPr>
        <w:t>送招标文件和样品时进入校园，所需办理的手续请与陆老师联系，联系电话：</w:t>
      </w:r>
      <w:r>
        <w:rPr>
          <w:rFonts w:hint="eastAsia" w:ascii="宋体" w:hAnsi="宋体"/>
          <w:color w:val="000000"/>
          <w:sz w:val="24"/>
        </w:rPr>
        <w:t>0513-85012342、</w:t>
      </w:r>
      <w:r>
        <w:rPr>
          <w:rFonts w:ascii="宋体" w:hAnsi="宋体"/>
          <w:color w:val="000000"/>
          <w:sz w:val="24"/>
        </w:rPr>
        <w:t>13962987487</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spacing w:line="360" w:lineRule="auto"/>
        <w:jc w:val="center"/>
        <w:rPr>
          <w:color w:val="000000" w:themeColor="text1"/>
          <w14:textFill>
            <w14:solidFill>
              <w14:schemeClr w14:val="tx1"/>
            </w14:solidFill>
          </w14:textFill>
        </w:rPr>
      </w:pPr>
      <w:bookmarkStart w:id="4" w:name="_Toc73516680"/>
      <w:r>
        <w:rPr>
          <w:rFonts w:hint="eastAsia"/>
          <w:color w:val="000000" w:themeColor="text1"/>
          <w14:textFill>
            <w14:solidFill>
              <w14:schemeClr w14:val="tx1"/>
            </w14:solidFill>
          </w14:textFill>
        </w:rPr>
        <w:t>第二部分投标人须知</w:t>
      </w:r>
      <w:bookmarkEnd w:id="4"/>
    </w:p>
    <w:p>
      <w:pPr>
        <w:pStyle w:val="4"/>
        <w:spacing w:line="360" w:lineRule="auto"/>
        <w:rPr>
          <w:color w:val="000000" w:themeColor="text1"/>
          <w14:textFill>
            <w14:solidFill>
              <w14:schemeClr w14:val="tx1"/>
            </w14:solidFill>
          </w14:textFill>
        </w:rPr>
      </w:pPr>
      <w:bookmarkStart w:id="5" w:name="_Toc73516681"/>
      <w:r>
        <w:rPr>
          <w:rFonts w:hint="eastAsia"/>
          <w:color w:val="000000" w:themeColor="text1"/>
          <w14:textFill>
            <w14:solidFill>
              <w14:schemeClr w14:val="tx1"/>
            </w14:solidFill>
          </w14:textFill>
        </w:rPr>
        <w:t>一、招标文件</w:t>
      </w:r>
      <w:bookmarkEnd w:id="5"/>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spacing w:line="360" w:lineRule="auto"/>
        <w:rPr>
          <w:color w:val="000000" w:themeColor="text1"/>
          <w14:textFill>
            <w14:solidFill>
              <w14:schemeClr w14:val="tx1"/>
            </w14:solidFill>
          </w14:textFill>
        </w:rPr>
      </w:pPr>
      <w:bookmarkStart w:id="6" w:name="_Toc73516682"/>
      <w:r>
        <w:rPr>
          <w:rFonts w:hint="eastAsia"/>
          <w:color w:val="000000" w:themeColor="text1"/>
          <w14:textFill>
            <w14:solidFill>
              <w14:schemeClr w14:val="tx1"/>
            </w14:solidFill>
          </w14:textFill>
        </w:rPr>
        <w:t>二、投标文件</w:t>
      </w:r>
      <w:bookmarkEnd w:id="6"/>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bookmarkStart w:id="7" w:name="_Hlk140334407"/>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）投标承诺函（格式见附件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（2）</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（4）评分项中未涉及投标人认为需要提交的其他材料</w:t>
      </w:r>
      <w:bookmarkEnd w:id="7"/>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left="480"/>
        <w:rPr>
          <w:rFonts w:ascii="宋体" w:hAnsi="宋体"/>
          <w:color w:val="000000"/>
          <w:sz w:val="24"/>
        </w:rPr>
      </w:pPr>
      <w:r>
        <w:rPr>
          <w:rFonts w:hint="eastAsia" w:ascii="宋体" w:hAnsi="宋体"/>
          <w:color w:val="000000"/>
          <w:sz w:val="24"/>
        </w:rPr>
        <w:t>（2）银行开户许可证或基本存款账户信息复印件（复印件加盖单位公章）</w:t>
      </w:r>
    </w:p>
    <w:p>
      <w:pPr>
        <w:spacing w:line="360" w:lineRule="auto"/>
        <w:ind w:left="480"/>
        <w:rPr>
          <w:rFonts w:ascii="宋体" w:hAnsi="宋体"/>
          <w:sz w:val="24"/>
        </w:rPr>
      </w:pPr>
      <w:r>
        <w:rPr>
          <w:rFonts w:hint="eastAsia" w:ascii="宋体" w:hAnsi="宋体"/>
          <w:color w:val="000000"/>
          <w:sz w:val="24"/>
        </w:rPr>
        <w:t>（3）</w:t>
      </w:r>
      <w:r>
        <w:rPr>
          <w:rFonts w:hint="eastAsia" w:ascii="宋体" w:hAnsi="宋体" w:cs="宋体"/>
          <w:kern w:val="0"/>
          <w:sz w:val="24"/>
        </w:rPr>
        <w:t>《动物产品检疫合格证明》</w:t>
      </w:r>
      <w:r>
        <w:rPr>
          <w:rFonts w:hint="eastAsia" w:ascii="宋体" w:hAnsi="宋体"/>
          <w:sz w:val="24"/>
        </w:rPr>
        <w:t>（复印件加盖单位公章）</w:t>
      </w:r>
    </w:p>
    <w:p>
      <w:pPr>
        <w:spacing w:line="360" w:lineRule="auto"/>
        <w:ind w:firstLine="480" w:firstLineChars="200"/>
        <w:rPr>
          <w:rFonts w:ascii="宋体" w:hAnsi="宋体"/>
          <w:sz w:val="24"/>
        </w:rPr>
      </w:pPr>
      <w:r>
        <w:rPr>
          <w:rFonts w:hint="eastAsia" w:ascii="宋体" w:hAnsi="宋体"/>
          <w:sz w:val="24"/>
        </w:rPr>
        <w:t>（4）法定代表人资格证明（格式见附件3）</w:t>
      </w:r>
    </w:p>
    <w:p>
      <w:pPr>
        <w:spacing w:line="360" w:lineRule="auto"/>
        <w:ind w:firstLine="480" w:firstLineChars="200"/>
        <w:rPr>
          <w:rFonts w:ascii="宋体" w:hAnsi="宋体"/>
          <w:sz w:val="24"/>
        </w:rPr>
      </w:pPr>
      <w:r>
        <w:rPr>
          <w:rFonts w:hint="eastAsia" w:ascii="宋体" w:hAnsi="宋体"/>
          <w:sz w:val="24"/>
        </w:rPr>
        <w:t>（5）法定代表人授权书（格式见附件4）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（6）无重大违法记录声明（见附件5）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spacing w:line="360" w:lineRule="auto"/>
        <w:rPr>
          <w:color w:val="000000" w:themeColor="text1"/>
          <w14:textFill>
            <w14:solidFill>
              <w14:schemeClr w14:val="tx1"/>
            </w14:solidFill>
          </w14:textFill>
        </w:rPr>
      </w:pPr>
      <w:bookmarkStart w:id="8" w:name="_Toc73516683"/>
      <w:r>
        <w:rPr>
          <w:rFonts w:hint="eastAsia"/>
          <w:color w:val="000000" w:themeColor="text1"/>
          <w14:textFill>
            <w14:solidFill>
              <w14:schemeClr w14:val="tx1"/>
            </w14:solidFill>
          </w14:textFill>
        </w:rPr>
        <w:t>三、投标细则</w:t>
      </w:r>
      <w:bookmarkEnd w:id="8"/>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360" w:lineRule="auto"/>
        <w:ind w:firstLine="420"/>
        <w:rPr>
          <w:color w:val="000000" w:themeColor="text1"/>
          <w:sz w:val="24"/>
          <w14:textFill>
            <w14:solidFill>
              <w14:schemeClr w14:val="tx1"/>
            </w14:solidFill>
          </w14:textFill>
        </w:rPr>
      </w:pPr>
      <w:bookmarkStart w:id="9" w:name="OLE_LINK49"/>
      <w:bookmarkStart w:id="10" w:name="OLE_LINK50"/>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11" w:name="OLE_LINK36"/>
      <w:bookmarkStart w:id="12"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Pr>
          <w:rFonts w:hint="eastAsia"/>
          <w:color w:val="000000" w:themeColor="text1"/>
          <w:sz w:val="24"/>
          <w14:textFill>
            <w14:solidFill>
              <w14:schemeClr w14:val="tx1"/>
            </w14:solidFill>
          </w14:textFill>
        </w:rPr>
        <w:t>。</w:t>
      </w:r>
      <w:bookmarkEnd w:id="9"/>
      <w:bookmarkEnd w:id="10"/>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spacing w:line="360" w:lineRule="auto"/>
        <w:rPr>
          <w:color w:val="000000" w:themeColor="text1"/>
          <w14:textFill>
            <w14:solidFill>
              <w14:schemeClr w14:val="tx1"/>
            </w14:solidFill>
          </w14:textFill>
        </w:rPr>
      </w:pPr>
      <w:bookmarkStart w:id="13" w:name="_Toc73516684"/>
      <w:r>
        <w:rPr>
          <w:rFonts w:hint="eastAsia"/>
          <w:color w:val="000000" w:themeColor="text1"/>
          <w14:textFill>
            <w14:solidFill>
              <w14:schemeClr w14:val="tx1"/>
            </w14:solidFill>
          </w14:textFill>
        </w:rPr>
        <w:t>四、评标</w:t>
      </w:r>
      <w:bookmarkEnd w:id="13"/>
    </w:p>
    <w:p>
      <w:pPr>
        <w:spacing w:line="360" w:lineRule="auto"/>
        <w:ind w:firstLine="482" w:firstLineChars="200"/>
        <w:rPr>
          <w:color w:val="000000" w:themeColor="text1"/>
          <w:sz w:val="24"/>
          <w14:textFill>
            <w14:solidFill>
              <w14:schemeClr w14:val="tx1"/>
            </w14:solidFill>
          </w14:textFill>
        </w:rPr>
      </w:pPr>
      <w:bookmarkStart w:id="14" w:name="_Hlk140333905"/>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专家组成评审委员会进行评标。</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4.3. </w:t>
      </w:r>
      <w:r>
        <w:rPr>
          <w:rFonts w:hint="eastAsia" w:ascii="宋体" w:hAnsi="宋体"/>
          <w:b/>
          <w:color w:val="000000" w:themeColor="text1"/>
          <w:sz w:val="24"/>
          <w14:textFill>
            <w14:solidFill>
              <w14:schemeClr w14:val="tx1"/>
            </w14:solidFill>
          </w14:textFill>
        </w:rPr>
        <w:t>评标时若出现同一品牌的产品有多个投标人投标时，参见《政府采购货物和服务招标投标管理办法》（财政部令第87）相关规定。</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4.4. </w:t>
      </w:r>
      <w:r>
        <w:rPr>
          <w:rFonts w:hint="eastAsia" w:ascii="宋体" w:hAnsi="宋体"/>
          <w:color w:val="000000" w:themeColor="text1"/>
          <w:sz w:val="24"/>
          <w14:textFill>
            <w14:solidFill>
              <w14:schemeClr w14:val="tx1"/>
            </w14:solidFill>
          </w14:textFill>
        </w:rPr>
        <w:t>开标结束后，评审委员会对投标人的投标资格进行审查，随后对资格审查通过的投标人是否实质性响应招标文件要求进行符合性审查。</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 xml:space="preserve">.6. </w:t>
      </w:r>
      <w:r>
        <w:rPr>
          <w:rFonts w:hint="eastAsia"/>
          <w:color w:val="000000" w:themeColor="text1"/>
          <w:sz w:val="24"/>
          <w14:textFill>
            <w14:solidFill>
              <w14:schemeClr w14:val="tx1"/>
            </w14:solidFill>
          </w14:textFill>
        </w:rPr>
        <w:t>投标文件出现（</w:t>
      </w:r>
      <w:r>
        <w:rPr>
          <w:rFonts w:hint="eastAsia"/>
          <w:b/>
          <w:color w:val="000000" w:themeColor="text1"/>
          <w:sz w:val="24"/>
          <w14:textFill>
            <w14:solidFill>
              <w14:schemeClr w14:val="tx1"/>
            </w14:solidFill>
          </w14:textFill>
        </w:rPr>
        <w:t>但不限于</w:t>
      </w:r>
      <w:r>
        <w:rPr>
          <w:rFonts w:hint="eastAsia"/>
          <w:color w:val="000000" w:themeColor="text1"/>
          <w:sz w:val="24"/>
          <w14:textFill>
            <w14:solidFill>
              <w14:schemeClr w14:val="tx1"/>
            </w14:solidFill>
          </w14:textFill>
        </w:rPr>
        <w:t>）下列情况之一的，由评审委员会评审后作</w:t>
      </w:r>
      <w:r>
        <w:rPr>
          <w:rFonts w:hint="eastAsia"/>
          <w:b/>
          <w:color w:val="000000" w:themeColor="text1"/>
          <w:sz w:val="24"/>
          <w14:textFill>
            <w14:solidFill>
              <w14:schemeClr w14:val="tx1"/>
            </w14:solidFill>
          </w14:textFill>
        </w:rPr>
        <w:t>无效投标</w:t>
      </w:r>
      <w:r>
        <w:rPr>
          <w:rFonts w:hint="eastAsia"/>
          <w:color w:val="000000" w:themeColor="text1"/>
          <w:sz w:val="24"/>
          <w14:textFill>
            <w14:solidFill>
              <w14:schemeClr w14:val="tx1"/>
            </w14:solidFill>
          </w14:textFill>
        </w:rPr>
        <w:t>或</w:t>
      </w:r>
      <w:r>
        <w:rPr>
          <w:rFonts w:hint="eastAsia"/>
          <w:b/>
          <w:color w:val="000000" w:themeColor="text1"/>
          <w:sz w:val="24"/>
          <w14:textFill>
            <w14:solidFill>
              <w14:schemeClr w14:val="tx1"/>
            </w14:solidFill>
          </w14:textFill>
        </w:rPr>
        <w:t>废标</w:t>
      </w:r>
      <w:r>
        <w:rPr>
          <w:rFonts w:hint="eastAsia"/>
          <w:color w:val="000000" w:themeColor="text1"/>
          <w:sz w:val="24"/>
          <w14:textFill>
            <w14:solidFill>
              <w14:schemeClr w14:val="tx1"/>
            </w14:solidFill>
          </w14:textFill>
        </w:rPr>
        <w:t>处理：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）无法定代表人签字或签章、签字或签章人无法定代表人有效委托的；应加盖投标人公章而未盖章的；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）投标有效期不足的；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报价明显偏离市场行情的</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60"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）其他未对招标文件实质性要求和条件做出响应的；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）故意哄抬价格或压价等其它恶意串通投标的；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）有损害采购人和用户利益的规定的；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）不同投标人的投标文件由同一单位或者个人编制；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）不同投标人委托同一单位或者个人办理投标事宜；</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）不同投标人的投标文件异常一致或者投标报价呈规律性差异；</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）不同投标人的投标文件相互混装；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）投标报价超过招标文件中规定的预算金额；</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16</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17</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因重大变故，招标任务取消的。</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.7</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投标文件报价出现前后不一致的，除招标文件另有规定外，按照下列规定修正：</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评审委员会认为有必要时，可要求投标人述标或对投标文件中某些内容作出澄清或说明，但不接受投标人主动提出的澄清和说明。</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.9</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评审委员会将从投标人的投标报价、技术方案、售后服务、企业状况等经济、技术和商务及其他优惠条件等方面，依据评标方法，对所有投标文件进行综合评审</w:t>
      </w:r>
      <w:bookmarkEnd w:id="14"/>
      <w:r>
        <w:rPr>
          <w:rFonts w:hint="eastAsia"/>
          <w:color w:val="000000" w:themeColor="text1"/>
          <w:sz w:val="24"/>
          <w14:textFill>
            <w14:solidFill>
              <w14:schemeClr w14:val="tx1"/>
            </w14:solidFill>
          </w14:textFill>
        </w:rPr>
        <w:t>。</w:t>
      </w:r>
    </w:p>
    <w:p>
      <w:pPr>
        <w:pStyle w:val="4"/>
        <w:spacing w:line="360" w:lineRule="auto"/>
        <w:rPr>
          <w:color w:val="000000" w:themeColor="text1"/>
          <w14:textFill>
            <w14:solidFill>
              <w14:schemeClr w14:val="tx1"/>
            </w14:solidFill>
          </w14:textFill>
        </w:rPr>
      </w:pPr>
      <w:bookmarkStart w:id="15" w:name="_Toc73516685"/>
      <w:r>
        <w:rPr>
          <w:rFonts w:hint="eastAsia"/>
          <w:color w:val="000000" w:themeColor="text1"/>
          <w14:textFill>
            <w14:solidFill>
              <w14:schemeClr w14:val="tx1"/>
            </w14:solidFill>
          </w14:textFill>
        </w:rPr>
        <w:t>五、评标方法及评分标准</w:t>
      </w:r>
      <w:bookmarkEnd w:id="15"/>
    </w:p>
    <w:p>
      <w:pPr>
        <w:spacing w:line="360" w:lineRule="auto"/>
        <w:ind w:firstLine="482" w:firstLineChars="200"/>
        <w:rPr>
          <w:color w:val="000000" w:themeColor="text1"/>
          <w:sz w:val="24"/>
          <w14:textFill>
            <w14:solidFill>
              <w14:schemeClr w14:val="tx1"/>
            </w14:solidFill>
          </w14:textFill>
        </w:rPr>
      </w:pPr>
      <w:bookmarkStart w:id="16" w:name="_Hlk140333925"/>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60" w:lineRule="auto"/>
        <w:ind w:firstLine="480" w:firstLineChars="200"/>
        <w:rPr>
          <w:color w:val="000000" w:themeColor="text1"/>
          <w:sz w:val="24"/>
          <w14:textFill>
            <w14:solidFill>
              <w14:schemeClr w14:val="tx1"/>
            </w14:solidFill>
          </w14:textFill>
        </w:rPr>
      </w:pPr>
      <w:bookmarkStart w:id="17" w:name="_Hlk140334213"/>
      <w:r>
        <w:rPr>
          <w:rFonts w:hint="eastAsia"/>
          <w:color w:val="000000" w:themeColor="text1"/>
          <w:sz w:val="24"/>
          <w14:textFill>
            <w14:solidFill>
              <w14:schemeClr w14:val="tx1"/>
            </w14:solidFill>
          </w14:textFill>
        </w:rPr>
        <w:t>（1）公开招标程序：资格审查→符合性审查→技术标评审→商务标开标→确定中标候选人</w:t>
      </w:r>
    </w:p>
    <w:p>
      <w:pPr>
        <w:spacing w:line="360" w:lineRule="auto"/>
        <w:ind w:firstLine="480" w:firstLineChars="200"/>
        <w:rPr>
          <w:sz w:val="24"/>
        </w:rPr>
      </w:pPr>
      <w:r>
        <w:rPr>
          <w:rFonts w:hint="eastAsia"/>
          <w:color w:val="000000" w:themeColor="text1"/>
          <w:sz w:val="24"/>
          <w14:textFill>
            <w14:solidFill>
              <w14:schemeClr w14:val="tx1"/>
            </w14:solidFill>
          </w14:textFill>
        </w:rPr>
        <w:t>（2）</w:t>
      </w:r>
      <w:r>
        <w:rPr>
          <w:rFonts w:hint="eastAsia"/>
          <w:sz w:val="24"/>
        </w:rPr>
        <w:t>本次招标采用</w:t>
      </w:r>
      <w:r>
        <w:rPr>
          <w:rFonts w:hint="eastAsia"/>
          <w:b/>
          <w:sz w:val="24"/>
        </w:rPr>
        <w:t>综合评分法</w:t>
      </w:r>
      <w:r>
        <w:rPr>
          <w:rFonts w:hint="eastAsia"/>
          <w:sz w:val="24"/>
        </w:rPr>
        <w:t>评标。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bookmarkEnd w:id="16"/>
      <w:bookmarkEnd w:id="17"/>
      <w:r>
        <w:rPr>
          <w:rFonts w:hint="eastAsia"/>
          <w:b/>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pStyle w:val="2"/>
      </w:pPr>
    </w:p>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p>
    <w:p>
      <w:pPr>
        <w:spacing w:line="360" w:lineRule="auto"/>
        <w:ind w:firstLine="482" w:firstLineChars="200"/>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850"/>
        <w:gridCol w:w="1134"/>
        <w:gridCol w:w="7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573"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asciiTheme="minorEastAsia" w:hAnsiTheme="minorEastAsia" w:eastAsiaTheme="minorEastAsia" w:cstheme="minorEastAsia"/>
                <w:color w:val="000000" w:themeColor="text1"/>
                <w:spacing w:val="-6"/>
                <w:sz w:val="21"/>
                <w:szCs w:val="21"/>
                <w14:textFill>
                  <w14:solidFill>
                    <w14:schemeClr w14:val="tx1"/>
                  </w14:solidFill>
                </w14:textFill>
              </w:rPr>
              <w:t>7</w:t>
            </w: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0分</w:t>
            </w:r>
          </w:p>
        </w:tc>
        <w:tc>
          <w:tcPr>
            <w:tcW w:w="7573"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ajorEastAsia" w:hAnsiTheme="majorEastAsia" w:eastAsiaTheme="majorEastAsia"/>
              </w:rPr>
            </w:pPr>
            <w:r>
              <w:rPr>
                <w:rFonts w:hint="eastAsia" w:ascii="宋体" w:hAnsi="宋体" w:cs="宋体"/>
                <w:szCs w:val="21"/>
              </w:rPr>
              <w:t>以</w:t>
            </w:r>
            <w:r>
              <w:rPr>
                <w:rFonts w:hint="eastAsia" w:asciiTheme="majorEastAsia" w:hAnsiTheme="majorEastAsia" w:eastAsiaTheme="majorEastAsia"/>
              </w:rPr>
              <w:t>南通市发展改革委员会网站公布的南通市区部分市场主副食品价格中相应猪肉类或</w:t>
            </w:r>
            <w:r>
              <w:rPr>
                <w:rFonts w:asciiTheme="majorEastAsia" w:hAnsiTheme="majorEastAsia" w:eastAsiaTheme="majorEastAsia"/>
              </w:rPr>
              <w:t>鸡肉类</w:t>
            </w:r>
            <w:r>
              <w:rPr>
                <w:rFonts w:hint="eastAsia" w:asciiTheme="majorEastAsia" w:hAnsiTheme="majorEastAsia" w:eastAsiaTheme="majorEastAsia"/>
              </w:rPr>
              <w:t>的平均价作为市场价（</w:t>
            </w:r>
            <w:r>
              <w:rPr>
                <w:rFonts w:asciiTheme="majorEastAsia" w:hAnsiTheme="majorEastAsia" w:eastAsiaTheme="majorEastAsia"/>
              </w:rPr>
              <w:t>http://fgw.nantong.gov.cn/ntsfgw/zfspjg/zfspjg.html</w:t>
            </w:r>
            <w:r>
              <w:rPr>
                <w:rFonts w:hint="eastAsia" w:asciiTheme="majorEastAsia" w:hAnsiTheme="majorEastAsia" w:eastAsiaTheme="majorEastAsia"/>
              </w:rPr>
              <w:t>），</w:t>
            </w:r>
          </w:p>
          <w:p>
            <w:pPr>
              <w:ind w:right="-51"/>
              <w:jc w:val="left"/>
              <w:rPr>
                <w:rFonts w:asciiTheme="minorEastAsia" w:hAnsiTheme="minorEastAsia" w:eastAsiaTheme="majorEastAsia" w:cstheme="minorEastAsia"/>
                <w:color w:val="000000" w:themeColor="text1"/>
                <w:spacing w:val="-6"/>
                <w:szCs w:val="21"/>
                <w14:textFill>
                  <w14:solidFill>
                    <w14:schemeClr w14:val="tx1"/>
                  </w14:solidFill>
                </w14:textFill>
              </w:rPr>
            </w:pPr>
            <w:r>
              <w:rPr>
                <w:rFonts w:hint="eastAsia" w:asciiTheme="majorEastAsia" w:hAnsiTheme="majorEastAsia" w:eastAsiaTheme="majorEastAsia"/>
              </w:rPr>
              <w:t>在此基础上进行下浮率报价，</w:t>
            </w:r>
            <w:r>
              <w:rPr>
                <w:rFonts w:hint="eastAsia" w:asciiTheme="majorEastAsia" w:hAnsiTheme="majorEastAsia" w:eastAsiaTheme="majorEastAsia"/>
                <w:lang w:val="zh-CN"/>
              </w:rPr>
              <w:t>报价下浮率不得低于</w:t>
            </w:r>
            <w:r>
              <w:rPr>
                <w:rFonts w:hint="eastAsia" w:asciiTheme="majorEastAsia" w:hAnsiTheme="majorEastAsia" w:eastAsiaTheme="majorEastAsia"/>
              </w:rPr>
              <w:t>15%，</w:t>
            </w:r>
            <w:r>
              <w:rPr>
                <w:rFonts w:hint="eastAsia" w:asciiTheme="majorEastAsia" w:hAnsiTheme="majorEastAsia" w:eastAsiaTheme="majorEastAsia"/>
                <w:lang w:val="zh-CN"/>
              </w:rPr>
              <w:t>否则作废标处理</w:t>
            </w:r>
            <w:r>
              <w:rPr>
                <w:rFonts w:hint="eastAsia" w:asciiTheme="majorEastAsia" w:hAnsiTheme="majorEastAsia" w:eastAsiaTheme="majorEastAsia"/>
              </w:rPr>
              <w:t>，</w:t>
            </w:r>
            <w:r>
              <w:rPr>
                <w:rFonts w:hint="eastAsia" w:asciiTheme="majorEastAsia" w:hAnsiTheme="majorEastAsia" w:eastAsiaTheme="majorEastAsia"/>
                <w:lang w:val="zh-CN"/>
              </w:rPr>
              <w:t>所有投标人中下浮率最</w:t>
            </w:r>
            <w:r>
              <w:rPr>
                <w:rFonts w:hint="eastAsia" w:asciiTheme="majorEastAsia" w:hAnsiTheme="majorEastAsia" w:eastAsiaTheme="majorEastAsia"/>
              </w:rPr>
              <w:t>大</w:t>
            </w:r>
            <w:r>
              <w:rPr>
                <w:rFonts w:hint="eastAsia" w:asciiTheme="majorEastAsia" w:hAnsiTheme="majorEastAsia" w:eastAsiaTheme="majorEastAsia"/>
                <w:lang w:val="zh-CN"/>
              </w:rPr>
              <w:t>的</w:t>
            </w:r>
            <w:r>
              <w:rPr>
                <w:rFonts w:hint="eastAsia" w:asciiTheme="majorEastAsia" w:hAnsiTheme="majorEastAsia" w:eastAsiaTheme="majorEastAsia"/>
              </w:rPr>
              <w:t>报价</w:t>
            </w:r>
            <w:r>
              <w:rPr>
                <w:rFonts w:hint="eastAsia" w:asciiTheme="majorEastAsia" w:hAnsiTheme="majorEastAsia" w:eastAsiaTheme="majorEastAsia"/>
                <w:lang w:val="zh-CN"/>
              </w:rPr>
              <w:t>为该品类基准</w:t>
            </w:r>
            <w:r>
              <w:rPr>
                <w:rFonts w:hint="eastAsia" w:asciiTheme="majorEastAsia" w:hAnsiTheme="majorEastAsia" w:eastAsiaTheme="majorEastAsia"/>
              </w:rPr>
              <w:t>值，</w:t>
            </w:r>
            <w:r>
              <w:rPr>
                <w:rFonts w:hint="eastAsia" w:asciiTheme="majorEastAsia" w:hAnsiTheme="majorEastAsia" w:eastAsiaTheme="majorEastAsia"/>
                <w:lang w:val="zh-CN"/>
              </w:rPr>
              <w:t>报价得分为满分。投标报价得分</w:t>
            </w:r>
            <w:r>
              <w:rPr>
                <w:rFonts w:hint="eastAsia" w:ascii="宋体" w:hAnsi="宋体" w:cs="宋体"/>
                <w:kern w:val="0"/>
                <w:szCs w:val="21"/>
              </w:rPr>
              <w:t>=（</w:t>
            </w:r>
            <w:r>
              <w:rPr>
                <w:rFonts w:hint="eastAsia" w:asciiTheme="majorEastAsia" w:hAnsiTheme="majorEastAsia" w:eastAsiaTheme="majorEastAsia"/>
                <w:lang w:val="zh-CN"/>
              </w:rPr>
              <w:t>供应商承诺下浮率</w:t>
            </w:r>
            <w:r>
              <w:rPr>
                <w:rFonts w:hint="eastAsia" w:asciiTheme="majorEastAsia" w:hAnsiTheme="majorEastAsia" w:eastAsiaTheme="majorEastAsia"/>
              </w:rPr>
              <w:t>/基准值</w:t>
            </w:r>
            <w:r>
              <w:rPr>
                <w:rFonts w:hint="eastAsia" w:asciiTheme="majorEastAsia" w:hAnsiTheme="majorEastAsia" w:eastAsiaTheme="majorEastAsia"/>
                <w:lang w:val="zh-CN"/>
              </w:rPr>
              <w:t>）×7</w:t>
            </w:r>
            <w:r>
              <w:rPr>
                <w:rFonts w:hint="eastAsia" w:asciiTheme="majorEastAsia" w:hAnsiTheme="majorEastAsia" w:eastAsiaTheme="major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88"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85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w:t>
            </w:r>
            <w:r>
              <w:rPr>
                <w:rFonts w:asciiTheme="minorEastAsia" w:hAnsiTheme="minorEastAsia" w:eastAsiaTheme="minorEastAsia" w:cstheme="minorEastAsia"/>
                <w:color w:val="000000" w:themeColor="text1"/>
                <w:kern w:val="0"/>
                <w:szCs w:val="21"/>
                <w14:textFill>
                  <w14:solidFill>
                    <w14:schemeClr w14:val="tx1"/>
                  </w14:solidFill>
                </w14:textFill>
              </w:rPr>
              <w:t>0</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asciiTheme="minorEastAsia" w:hAnsiTheme="minorEastAsia" w:eastAsiaTheme="minorEastAsia" w:cstheme="minorEastAsia"/>
                <w:color w:val="000000" w:themeColor="text1"/>
                <w:kern w:val="0"/>
                <w:szCs w:val="21"/>
                <w14:textFill>
                  <w14:solidFill>
                    <w14:schemeClr w14:val="tx1"/>
                  </w14:solidFill>
                </w14:textFill>
              </w:rPr>
              <w:t>19</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57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szCs w:val="21"/>
              </w:rPr>
              <w:t>自202</w:t>
            </w:r>
            <w:r>
              <w:rPr>
                <w:rFonts w:ascii="宋体" w:hAnsi="宋体" w:cs="宋体"/>
                <w:szCs w:val="21"/>
              </w:rPr>
              <w:t>0</w:t>
            </w:r>
            <w:r>
              <w:rPr>
                <w:rFonts w:hint="eastAsia" w:ascii="宋体" w:hAnsi="宋体" w:cs="宋体"/>
                <w:szCs w:val="21"/>
              </w:rPr>
              <w:t>年7月1日以来（以合同签订时间为准），完成猪肉、鸡肉类项目业绩，同一单位一年供货总价5</w:t>
            </w:r>
            <w:r>
              <w:rPr>
                <w:rFonts w:ascii="宋体" w:hAnsi="宋体" w:cs="宋体"/>
                <w:szCs w:val="21"/>
              </w:rPr>
              <w:t>0</w:t>
            </w:r>
            <w:r>
              <w:rPr>
                <w:rFonts w:hint="eastAsia" w:ascii="宋体" w:hAnsi="宋体" w:cs="宋体"/>
                <w:szCs w:val="21"/>
              </w:rPr>
              <w:t>万（含）以下的得</w:t>
            </w:r>
            <w:r>
              <w:rPr>
                <w:rFonts w:ascii="宋体" w:hAnsi="宋体" w:cs="宋体"/>
                <w:szCs w:val="21"/>
              </w:rPr>
              <w:t>1</w:t>
            </w:r>
            <w:r>
              <w:rPr>
                <w:rFonts w:hint="eastAsia" w:ascii="宋体" w:hAnsi="宋体" w:cs="宋体"/>
                <w:szCs w:val="21"/>
              </w:rPr>
              <w:t>分、</w:t>
            </w:r>
            <w:r>
              <w:rPr>
                <w:rFonts w:ascii="宋体" w:hAnsi="宋体" w:cs="宋体"/>
                <w:szCs w:val="21"/>
              </w:rPr>
              <w:t>50</w:t>
            </w:r>
            <w:r>
              <w:rPr>
                <w:rFonts w:hint="eastAsia" w:ascii="宋体" w:hAnsi="宋体" w:cs="宋体"/>
                <w:szCs w:val="21"/>
              </w:rPr>
              <w:t>万至1</w:t>
            </w:r>
            <w:r>
              <w:rPr>
                <w:rFonts w:ascii="宋体" w:hAnsi="宋体" w:cs="宋体"/>
                <w:szCs w:val="21"/>
              </w:rPr>
              <w:t>00</w:t>
            </w:r>
            <w:r>
              <w:rPr>
                <w:rFonts w:hint="eastAsia" w:ascii="宋体" w:hAnsi="宋体" w:cs="宋体"/>
                <w:szCs w:val="21"/>
              </w:rPr>
              <w:t>万（含）的得</w:t>
            </w:r>
            <w:r>
              <w:rPr>
                <w:rFonts w:ascii="宋体" w:hAnsi="宋体" w:cs="宋体"/>
                <w:szCs w:val="21"/>
              </w:rPr>
              <w:t>4</w:t>
            </w:r>
            <w:r>
              <w:rPr>
                <w:rFonts w:hint="eastAsia" w:ascii="宋体" w:hAnsi="宋体" w:cs="宋体"/>
                <w:szCs w:val="21"/>
              </w:rPr>
              <w:t>分、100万以上的得</w:t>
            </w:r>
            <w:r>
              <w:rPr>
                <w:rFonts w:ascii="宋体" w:hAnsi="宋体" w:cs="宋体"/>
                <w:szCs w:val="21"/>
              </w:rPr>
              <w:t>6</w:t>
            </w:r>
            <w:r>
              <w:rPr>
                <w:rFonts w:hint="eastAsia" w:ascii="宋体" w:hAnsi="宋体" w:cs="宋体"/>
                <w:szCs w:val="21"/>
              </w:rPr>
              <w:t>分；同一单位不同年度不重复计分。</w:t>
            </w:r>
            <w:r>
              <w:rPr>
                <w:rFonts w:hint="eastAsia" w:asciiTheme="majorEastAsia" w:hAnsiTheme="majorEastAsia" w:eastAsiaTheme="majorEastAsia"/>
              </w:rPr>
              <w:t>提供合同复印件、服务单位盖章的意见反馈证明及不低于合同对应销售额90%的发票复印件，缺一项不得分。</w:t>
            </w:r>
            <w:r>
              <w:rPr>
                <w:rFonts w:hint="eastAsia" w:ascii="宋体" w:hAnsi="宋体" w:cs="宋体"/>
                <w:szCs w:val="21"/>
              </w:rPr>
              <w:t>（1</w:t>
            </w:r>
            <w:r>
              <w:rPr>
                <w:rFonts w:ascii="宋体" w:hAnsi="宋体" w:cs="宋体"/>
                <w:szCs w:val="21"/>
              </w:rPr>
              <w:t>9</w:t>
            </w:r>
            <w:r>
              <w:rPr>
                <w:rFonts w:hint="eastAsia" w:ascii="宋体" w:hAnsi="宋体" w:cs="宋体"/>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98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asciiTheme="minorEastAsia" w:hAnsiTheme="minorEastAsia" w:eastAsiaTheme="minorEastAsia" w:cstheme="minorEastAsia"/>
                <w:color w:val="000000" w:themeColor="text1"/>
                <w:kern w:val="0"/>
                <w:szCs w:val="21"/>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573"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kern w:val="0"/>
                <w:szCs w:val="21"/>
              </w:rPr>
            </w:pPr>
            <w:r>
              <w:rPr>
                <w:rFonts w:hint="eastAsia" w:ascii="宋体" w:hAnsi="宋体" w:cs="宋体"/>
                <w:szCs w:val="21"/>
              </w:rPr>
              <w:t>猪肉、鸡肉冷藏仓储仓库</w:t>
            </w:r>
            <w:r>
              <w:rPr>
                <w:rFonts w:hint="eastAsia" w:ascii="宋体" w:hAnsi="宋体" w:cs="宋体"/>
                <w:kern w:val="0"/>
                <w:szCs w:val="21"/>
              </w:rPr>
              <w:t>800平方米（含）</w:t>
            </w:r>
            <w:r>
              <w:rPr>
                <w:rFonts w:hint="eastAsia" w:ascii="宋体" w:hAnsi="宋体" w:cs="宋体"/>
                <w:szCs w:val="21"/>
              </w:rPr>
              <w:t>以上</w:t>
            </w:r>
            <w:r>
              <w:rPr>
                <w:rFonts w:hint="eastAsia" w:ascii="宋体" w:hAnsi="宋体" w:cs="宋体"/>
                <w:bCs/>
                <w:szCs w:val="21"/>
              </w:rPr>
              <w:t>得</w:t>
            </w:r>
            <w:r>
              <w:rPr>
                <w:rFonts w:ascii="宋体" w:hAnsi="宋体" w:cs="宋体"/>
                <w:bCs/>
                <w:szCs w:val="21"/>
              </w:rPr>
              <w:t>5</w:t>
            </w:r>
            <w:r>
              <w:rPr>
                <w:rFonts w:hint="eastAsia" w:ascii="宋体" w:hAnsi="宋体" w:cs="宋体"/>
                <w:kern w:val="0"/>
                <w:szCs w:val="21"/>
              </w:rPr>
              <w:t>分， 600平方米（含）至800平方米</w:t>
            </w:r>
            <w:r>
              <w:rPr>
                <w:rFonts w:hint="eastAsia" w:ascii="宋体" w:hAnsi="宋体" w:cs="宋体"/>
                <w:bCs/>
                <w:szCs w:val="21"/>
              </w:rPr>
              <w:t>得</w:t>
            </w:r>
            <w:r>
              <w:rPr>
                <w:rFonts w:ascii="宋体" w:hAnsi="宋体" w:cs="宋体"/>
                <w:bCs/>
                <w:szCs w:val="21"/>
              </w:rPr>
              <w:t>4</w:t>
            </w:r>
            <w:r>
              <w:rPr>
                <w:rFonts w:hint="eastAsia" w:ascii="宋体" w:hAnsi="宋体" w:cs="宋体"/>
                <w:kern w:val="0"/>
                <w:szCs w:val="21"/>
              </w:rPr>
              <w:t>分，400平方米</w:t>
            </w:r>
            <w:r>
              <w:rPr>
                <w:rFonts w:ascii="宋体" w:hAnsi="宋体" w:cs="宋体"/>
                <w:kern w:val="0"/>
                <w:szCs w:val="21"/>
              </w:rPr>
              <w:t>（</w:t>
            </w:r>
            <w:r>
              <w:rPr>
                <w:rFonts w:hint="eastAsia" w:ascii="宋体" w:hAnsi="宋体" w:cs="宋体"/>
                <w:kern w:val="0"/>
                <w:szCs w:val="21"/>
              </w:rPr>
              <w:t>含</w:t>
            </w:r>
            <w:r>
              <w:rPr>
                <w:rFonts w:ascii="宋体" w:hAnsi="宋体" w:cs="宋体"/>
                <w:kern w:val="0"/>
                <w:szCs w:val="21"/>
              </w:rPr>
              <w:t>）</w:t>
            </w:r>
            <w:r>
              <w:rPr>
                <w:rFonts w:hint="eastAsia" w:ascii="宋体" w:hAnsi="宋体" w:cs="宋体"/>
                <w:kern w:val="0"/>
                <w:szCs w:val="21"/>
              </w:rPr>
              <w:t>至600平方米</w:t>
            </w:r>
            <w:r>
              <w:rPr>
                <w:rFonts w:hint="eastAsia" w:ascii="宋体" w:hAnsi="宋体" w:cs="宋体"/>
                <w:bCs/>
                <w:szCs w:val="21"/>
              </w:rPr>
              <w:t>得</w:t>
            </w:r>
            <w:r>
              <w:rPr>
                <w:rFonts w:ascii="宋体" w:hAnsi="宋体" w:cs="宋体"/>
                <w:bCs/>
                <w:szCs w:val="21"/>
              </w:rPr>
              <w:t>3</w:t>
            </w:r>
            <w:r>
              <w:rPr>
                <w:rFonts w:hint="eastAsia" w:ascii="宋体" w:hAnsi="宋体" w:cs="宋体"/>
                <w:kern w:val="0"/>
                <w:szCs w:val="21"/>
              </w:rPr>
              <w:t>分，200平方米（含）至400平方米</w:t>
            </w:r>
            <w:r>
              <w:rPr>
                <w:rFonts w:hint="eastAsia" w:ascii="宋体" w:hAnsi="宋体" w:cs="宋体"/>
                <w:bCs/>
                <w:szCs w:val="21"/>
              </w:rPr>
              <w:t>得</w:t>
            </w:r>
            <w:r>
              <w:rPr>
                <w:rFonts w:ascii="宋体" w:hAnsi="宋体" w:cs="宋体"/>
                <w:bCs/>
                <w:szCs w:val="21"/>
              </w:rPr>
              <w:t>2</w:t>
            </w:r>
            <w:r>
              <w:rPr>
                <w:rFonts w:hint="eastAsia" w:ascii="宋体" w:hAnsi="宋体" w:cs="宋体"/>
                <w:kern w:val="0"/>
                <w:szCs w:val="21"/>
              </w:rPr>
              <w:t>分，200平方米</w:t>
            </w:r>
            <w:r>
              <w:rPr>
                <w:rFonts w:ascii="宋体" w:hAnsi="宋体" w:cs="宋体"/>
                <w:kern w:val="0"/>
                <w:szCs w:val="21"/>
              </w:rPr>
              <w:t>以下</w:t>
            </w:r>
            <w:r>
              <w:rPr>
                <w:rFonts w:hint="eastAsia" w:ascii="宋体" w:hAnsi="宋体" w:cs="宋体"/>
                <w:kern w:val="0"/>
                <w:szCs w:val="21"/>
              </w:rPr>
              <w:t>得1分，无</w:t>
            </w:r>
            <w:r>
              <w:rPr>
                <w:rFonts w:hint="eastAsia" w:ascii="宋体" w:hAnsi="宋体" w:cs="宋体"/>
                <w:szCs w:val="21"/>
              </w:rPr>
              <w:t>仓储不得分</w:t>
            </w: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分）</w:t>
            </w:r>
          </w:p>
          <w:p>
            <w:pPr>
              <w:tabs>
                <w:tab w:val="left" w:pos="464"/>
              </w:tabs>
              <w:rPr>
                <w:rFonts w:ascii="宋体" w:hAnsi="宋体" w:cs="宋体"/>
                <w:color w:val="000000"/>
                <w:kern w:val="0"/>
                <w:szCs w:val="21"/>
              </w:rPr>
            </w:pPr>
            <w:r>
              <w:rPr>
                <w:rFonts w:hint="eastAsia" w:ascii="宋体" w:hAnsi="宋体" w:cs="宋体"/>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8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w:t>
            </w:r>
            <w:r>
              <w:rPr>
                <w:rFonts w:ascii="宋体" w:hAnsi="宋体" w:cs="宋体"/>
                <w:szCs w:val="21"/>
              </w:rPr>
              <w:t>5</w:t>
            </w:r>
            <w:r>
              <w:rPr>
                <w:rFonts w:hint="eastAsia" w:ascii="宋体" w:hAnsi="宋体" w:cs="宋体"/>
                <w:szCs w:val="21"/>
              </w:rPr>
              <w:t>分）</w:t>
            </w:r>
          </w:p>
        </w:tc>
        <w:tc>
          <w:tcPr>
            <w:tcW w:w="7573"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szCs w:val="21"/>
              </w:rPr>
            </w:pPr>
            <w:r>
              <w:rPr>
                <w:rFonts w:hint="eastAsia" w:ascii="宋体" w:hAnsi="宋体" w:cs="宋体"/>
                <w:szCs w:val="21"/>
              </w:rPr>
              <w:t>需提供冷链送货车辆，投标人每提供一辆自有运输车辆得</w:t>
            </w:r>
            <w:r>
              <w:rPr>
                <w:rFonts w:ascii="宋体" w:hAnsi="宋体" w:cs="宋体"/>
                <w:szCs w:val="21"/>
              </w:rPr>
              <w:t>2.5</w:t>
            </w:r>
            <w:r>
              <w:rPr>
                <w:rFonts w:hint="eastAsia" w:ascii="宋体" w:hAnsi="宋体" w:cs="宋体"/>
                <w:szCs w:val="21"/>
              </w:rPr>
              <w:t>分，提供一辆租赁运输车辆得1.5分，租赁车辆最多得3分。（</w:t>
            </w:r>
            <w:r>
              <w:rPr>
                <w:rFonts w:ascii="宋体" w:hAnsi="宋体" w:cs="宋体"/>
                <w:szCs w:val="21"/>
              </w:rPr>
              <w:t>5</w:t>
            </w:r>
            <w:r>
              <w:rPr>
                <w:rFonts w:hint="eastAsia" w:ascii="宋体" w:hAnsi="宋体" w:cs="宋体"/>
                <w:szCs w:val="21"/>
              </w:rPr>
              <w:t>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注：须提供相关证明材料（自有车辆所有人为投标单位，须提供运输车辆行驶证复印件、车辆外观及安装制冷设备照片。租赁车辆须提供租赁企业道路经营许可证复印件、租赁车辆合同复印件、运输车辆的机动车行驶证复印件、车辆外观及安装制冷设备照片，所有复印件模糊不清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8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573"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988" w:type="dxa"/>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合计</w:t>
            </w:r>
          </w:p>
        </w:tc>
        <w:tc>
          <w:tcPr>
            <w:tcW w:w="850" w:type="dxa"/>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asciiTheme="minorEastAsia" w:hAnsiTheme="minorEastAsia" w:eastAsiaTheme="minorEastAsia" w:cstheme="minorEastAsia"/>
                <w:color w:val="000000" w:themeColor="text1"/>
                <w:kern w:val="0"/>
                <w:szCs w:val="21"/>
                <w14:textFill>
                  <w14:solidFill>
                    <w14:schemeClr w14:val="tx1"/>
                  </w14:solidFill>
                </w14:textFill>
              </w:rPr>
              <w:t>00</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8707" w:type="dxa"/>
            <w:gridSpan w:val="2"/>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投标人最后得分保留两位小数</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rPr>
          <w:rFonts w:ascii="黑体" w:hAnsi="黑体" w:eastAsia="黑体"/>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spacing w:line="360" w:lineRule="auto"/>
        <w:rPr>
          <w:color w:val="000000" w:themeColor="text1"/>
          <w14:textFill>
            <w14:solidFill>
              <w14:schemeClr w14:val="tx1"/>
            </w14:solidFill>
          </w14:textFill>
        </w:rPr>
      </w:pPr>
      <w:bookmarkStart w:id="18" w:name="_Toc73516686"/>
      <w:r>
        <w:rPr>
          <w:rFonts w:hint="eastAsia"/>
          <w:color w:val="000000" w:themeColor="text1"/>
          <w14:textFill>
            <w14:solidFill>
              <w14:schemeClr w14:val="tx1"/>
            </w14:solidFill>
          </w14:textFill>
        </w:rPr>
        <w:t>六、定标</w:t>
      </w:r>
      <w:bookmarkEnd w:id="18"/>
    </w:p>
    <w:p>
      <w:pPr>
        <w:spacing w:line="360" w:lineRule="auto"/>
        <w:ind w:firstLine="482" w:firstLineChars="200"/>
        <w:rPr>
          <w:b/>
          <w:color w:val="000000" w:themeColor="text1"/>
          <w:sz w:val="24"/>
          <w14:textFill>
            <w14:solidFill>
              <w14:schemeClr w14:val="tx1"/>
            </w14:solidFill>
          </w14:textFill>
        </w:rPr>
      </w:pPr>
      <w:bookmarkStart w:id="19" w:name="_Hlk140333940"/>
      <w:r>
        <w:rPr>
          <w:b/>
          <w:color w:val="000000" w:themeColor="text1"/>
          <w:sz w:val="24"/>
          <w14:textFill>
            <w14:solidFill>
              <w14:schemeClr w14:val="tx1"/>
            </w14:solidFill>
          </w14:textFill>
        </w:rPr>
        <w:t>6.1.</w:t>
      </w:r>
      <w:r>
        <w:rPr>
          <w:rFonts w:hint="eastAsia"/>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w:t>
      </w:r>
      <w:r>
        <w:rPr>
          <w:rFonts w:hint="eastAsia"/>
          <w:sz w:val="24"/>
        </w:rPr>
        <w:t>按业绩中供货总价1</w:t>
      </w:r>
      <w:r>
        <w:rPr>
          <w:sz w:val="24"/>
        </w:rPr>
        <w:t>00</w:t>
      </w:r>
      <w:r>
        <w:rPr>
          <w:rFonts w:hint="eastAsia"/>
          <w:sz w:val="24"/>
        </w:rPr>
        <w:t>万以上合同的数量由多到少</w:t>
      </w:r>
      <w:r>
        <w:rPr>
          <w:sz w:val="24"/>
        </w:rPr>
        <w:t>排序，如再同</w:t>
      </w:r>
      <w:r>
        <w:rPr>
          <w:rFonts w:hint="eastAsia"/>
          <w:sz w:val="24"/>
        </w:rPr>
        <w:t>则抽签</w:t>
      </w:r>
      <w:r>
        <w:rPr>
          <w:sz w:val="24"/>
        </w:rPr>
        <w:t>决定</w:t>
      </w:r>
      <w:r>
        <w:rPr>
          <w:rFonts w:hint="eastAsia"/>
          <w:color w:val="000000" w:themeColor="text1"/>
          <w:sz w:val="24"/>
          <w14:textFill>
            <w14:solidFill>
              <w14:schemeClr w14:val="tx1"/>
            </w14:solidFill>
          </w14:textFill>
        </w:rPr>
        <w:t>。评标小组根据最终排名向采购人推荐中标候选人。采购人应根据评标小组推荐的中标候选人确定中标人。</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对未中标的投标人，招标人不做未中标解释</w:t>
      </w:r>
      <w:bookmarkEnd w:id="19"/>
      <w:r>
        <w:rPr>
          <w:rFonts w:hint="eastAsia"/>
          <w:color w:val="000000" w:themeColor="text1"/>
          <w:sz w:val="24"/>
          <w14:textFill>
            <w14:solidFill>
              <w14:schemeClr w14:val="tx1"/>
            </w14:solidFill>
          </w14:textFill>
        </w:rPr>
        <w:t>。</w:t>
      </w:r>
    </w:p>
    <w:p>
      <w:pPr>
        <w:pStyle w:val="4"/>
        <w:spacing w:line="360" w:lineRule="auto"/>
        <w:rPr>
          <w:color w:val="000000" w:themeColor="text1"/>
          <w14:textFill>
            <w14:solidFill>
              <w14:schemeClr w14:val="tx1"/>
            </w14:solidFill>
          </w14:textFill>
        </w:rPr>
      </w:pPr>
      <w:bookmarkStart w:id="20" w:name="_Toc73516687"/>
      <w:r>
        <w:rPr>
          <w:rFonts w:hint="eastAsia"/>
          <w:color w:val="000000" w:themeColor="text1"/>
          <w14:textFill>
            <w14:solidFill>
              <w14:schemeClr w14:val="tx1"/>
            </w14:solidFill>
          </w14:textFill>
        </w:rPr>
        <w:t>七、合同的签订</w:t>
      </w:r>
      <w:bookmarkEnd w:id="20"/>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spacing w:line="360" w:lineRule="auto"/>
        <w:rPr>
          <w:color w:val="000000" w:themeColor="text1"/>
          <w14:textFill>
            <w14:solidFill>
              <w14:schemeClr w14:val="tx1"/>
            </w14:solidFill>
          </w14:textFill>
        </w:rPr>
      </w:pPr>
      <w:bookmarkStart w:id="21" w:name="_Toc73516689"/>
      <w:r>
        <w:rPr>
          <w:rFonts w:hint="eastAsia"/>
          <w:color w:val="000000" w:themeColor="text1"/>
          <w14:textFill>
            <w14:solidFill>
              <w14:schemeClr w14:val="tx1"/>
            </w14:solidFill>
          </w14:textFill>
        </w:rPr>
        <w:t>八、其他</w:t>
      </w:r>
      <w:bookmarkEnd w:id="21"/>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spacing w:line="360" w:lineRule="auto"/>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22" w:name="_Toc73516690"/>
      <w:r>
        <w:rPr>
          <w:rFonts w:hint="eastAsia"/>
          <w:color w:val="000000" w:themeColor="text1"/>
          <w14:textFill>
            <w14:solidFill>
              <w14:schemeClr w14:val="tx1"/>
            </w14:solidFill>
          </w14:textFill>
        </w:rPr>
        <w:t>第三部分招标货物要求及相关说明</w:t>
      </w:r>
      <w:bookmarkEnd w:id="22"/>
    </w:p>
    <w:p>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360" w:lineRule="auto"/>
        <w:ind w:firstLine="480" w:firstLineChars="200"/>
        <w:rPr>
          <w:rFonts w:ascii="宋体" w:hAnsi="宋体" w:cs="宋体"/>
          <w:kern w:val="0"/>
          <w:sz w:val="24"/>
        </w:rPr>
      </w:pPr>
      <w:r>
        <w:rPr>
          <w:rFonts w:hint="eastAsia" w:ascii="宋体" w:hAnsi="宋体" w:cs="宋体"/>
          <w:kern w:val="0"/>
          <w:sz w:val="24"/>
        </w:rPr>
        <w:t>（一）冷鲜猪肉、鲜禽肉</w:t>
      </w:r>
    </w:p>
    <w:p>
      <w:pPr>
        <w:spacing w:line="360" w:lineRule="auto"/>
        <w:ind w:firstLine="480" w:firstLineChars="200"/>
        <w:rPr>
          <w:rFonts w:ascii="宋体" w:hAnsi="宋体" w:cs="宋体"/>
          <w:kern w:val="0"/>
          <w:sz w:val="24"/>
        </w:rPr>
      </w:pPr>
      <w:r>
        <w:rPr>
          <w:rFonts w:hint="eastAsia" w:ascii="宋体" w:hAnsi="宋体" w:cs="宋体"/>
          <w:kern w:val="0"/>
          <w:sz w:val="24"/>
        </w:rPr>
        <w:t>1.猪肉符合国标二级标准，鲜鸡鸭、鸡副产品符合鲜(冻)畜肉国标GB 2707-2016标准；</w:t>
      </w:r>
    </w:p>
    <w:p>
      <w:pPr>
        <w:spacing w:line="360" w:lineRule="auto"/>
        <w:ind w:firstLine="480" w:firstLineChars="200"/>
        <w:rPr>
          <w:rFonts w:ascii="宋体" w:hAnsi="宋体" w:cs="宋体"/>
          <w:kern w:val="0"/>
          <w:sz w:val="24"/>
        </w:rPr>
      </w:pPr>
      <w:r>
        <w:rPr>
          <w:rFonts w:hint="eastAsia" w:ascii="宋体" w:hAnsi="宋体" w:cs="宋体"/>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w:t>
      </w:r>
    </w:p>
    <w:p>
      <w:pPr>
        <w:spacing w:line="360" w:lineRule="auto"/>
        <w:ind w:firstLine="480" w:firstLineChars="200"/>
        <w:rPr>
          <w:rFonts w:ascii="宋体" w:hAnsi="宋体" w:cs="宋体"/>
          <w:kern w:val="0"/>
          <w:sz w:val="24"/>
        </w:rPr>
      </w:pPr>
      <w:r>
        <w:rPr>
          <w:rFonts w:hint="eastAsia" w:ascii="宋体" w:hAnsi="宋体" w:cs="宋体"/>
          <w:kern w:val="0"/>
          <w:sz w:val="24"/>
        </w:rPr>
        <w:t>3.具有《肉品品质检验合格证明》《肉品品质检验合格验讫印章》（禽肉除外）《动物产品检疫合格证明》供现场查验。</w:t>
      </w:r>
    </w:p>
    <w:p>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360" w:lineRule="auto"/>
        <w:ind w:firstLine="480" w:firstLineChars="200"/>
        <w:rPr>
          <w:rFonts w:ascii="宋体" w:hAnsi="宋体" w:cs="宋体"/>
          <w:kern w:val="0"/>
          <w:sz w:val="24"/>
        </w:rPr>
      </w:pPr>
      <w:r>
        <w:rPr>
          <w:rFonts w:ascii="宋体" w:hAnsi="宋体" w:cs="宋体"/>
          <w:kern w:val="0"/>
          <w:sz w:val="24"/>
        </w:rPr>
        <w:t>1</w:t>
      </w:r>
      <w:r>
        <w:rPr>
          <w:rFonts w:hint="eastAsia" w:ascii="宋体" w:hAnsi="宋体" w:cs="宋体"/>
          <w:kern w:val="0"/>
          <w:sz w:val="24"/>
        </w:rPr>
        <w:t>.投标报价包括成本、包装、运输、上下力、保险、利润、税金、政策性规费以及所有风险。</w:t>
      </w:r>
    </w:p>
    <w:p>
      <w:pPr>
        <w:widowControl/>
        <w:spacing w:line="360" w:lineRule="auto"/>
        <w:ind w:firstLine="480" w:firstLineChars="200"/>
        <w:jc w:val="left"/>
        <w:rPr>
          <w:rFonts w:ascii="宋体" w:hAnsi="宋体" w:cs="宋体"/>
          <w:sz w:val="24"/>
        </w:rPr>
      </w:pPr>
      <w:r>
        <w:rPr>
          <w:rFonts w:hint="eastAsia" w:ascii="宋体" w:hAnsi="宋体" w:cs="宋体"/>
          <w:kern w:val="0"/>
          <w:sz w:val="24"/>
        </w:rPr>
        <w:t>2.猪肉、鸡肉</w:t>
      </w:r>
      <w:r>
        <w:rPr>
          <w:rFonts w:hint="eastAsia" w:ascii="宋体" w:hAnsi="宋体" w:cs="宋体"/>
          <w:color w:val="333333"/>
          <w:sz w:val="24"/>
          <w:shd w:val="clear" w:color="auto" w:fill="FFFFFF"/>
        </w:rPr>
        <w:t>实行每周定价，具体</w:t>
      </w:r>
      <w:r>
        <w:rPr>
          <w:rFonts w:hint="eastAsia" w:ascii="宋体" w:hAnsi="宋体" w:cs="宋体"/>
          <w:sz w:val="24"/>
        </w:rPr>
        <w:t>以星期一南通市发展改革委员会网站（</w:t>
      </w:r>
      <w:r>
        <w:rPr>
          <w:rFonts w:asciiTheme="majorEastAsia" w:hAnsiTheme="majorEastAsia" w:eastAsiaTheme="majorEastAsia"/>
        </w:rPr>
        <w:t>http://fgw.nantong.gov.cn/ntsfgw/zfspjg/zfspjg.html</w:t>
      </w:r>
      <w:r>
        <w:rPr>
          <w:rFonts w:hint="eastAsia" w:ascii="宋体" w:hAnsi="宋体" w:cs="宋体"/>
          <w:sz w:val="24"/>
        </w:rPr>
        <w:t>）公布的 “主副食品价格”的南通市区部分市场主副食品价格的平均价*（1—下浮率），如星期一遇国家法定节假日顺延至节假日后的第一个工作日</w:t>
      </w:r>
      <w:r>
        <w:rPr>
          <w:rFonts w:hint="eastAsia" w:ascii="宋体" w:hAnsi="宋体" w:cs="宋体"/>
          <w:color w:val="000000"/>
          <w:sz w:val="24"/>
          <w:shd w:val="clear" w:color="auto" w:fill="FFFFFF"/>
        </w:rPr>
        <w:t>调整。</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23</w:t>
      </w:r>
      <w:r>
        <w:rPr>
          <w:rFonts w:hint="eastAsia" w:ascii="宋体" w:hAnsi="宋体" w:cs="宋体"/>
          <w:kern w:val="0"/>
          <w:sz w:val="24"/>
        </w:rPr>
        <w:t>年</w:t>
      </w:r>
      <w:r>
        <w:rPr>
          <w:rFonts w:ascii="宋体" w:hAnsi="宋体" w:cs="宋体"/>
          <w:kern w:val="0"/>
          <w:sz w:val="24"/>
        </w:rPr>
        <w:t>9</w:t>
      </w:r>
      <w:r>
        <w:rPr>
          <w:rFonts w:hint="eastAsia" w:ascii="宋体" w:hAnsi="宋体" w:cs="宋体"/>
          <w:kern w:val="0"/>
          <w:sz w:val="24"/>
        </w:rPr>
        <w:t>月2</w:t>
      </w:r>
      <w:r>
        <w:rPr>
          <w:rFonts w:ascii="宋体" w:hAnsi="宋体" w:cs="宋体"/>
          <w:kern w:val="0"/>
          <w:sz w:val="24"/>
        </w:rPr>
        <w:t>6</w:t>
      </w:r>
      <w:r>
        <w:rPr>
          <w:rFonts w:hint="eastAsia" w:ascii="宋体" w:hAnsi="宋体" w:cs="宋体"/>
          <w:kern w:val="0"/>
          <w:sz w:val="24"/>
        </w:rPr>
        <w:t>日-</w:t>
      </w:r>
      <w:r>
        <w:rPr>
          <w:rFonts w:ascii="宋体" w:hAnsi="宋体" w:cs="宋体"/>
          <w:kern w:val="0"/>
          <w:sz w:val="24"/>
        </w:rPr>
        <w:t>2024</w:t>
      </w:r>
      <w:r>
        <w:rPr>
          <w:rFonts w:hint="eastAsia" w:ascii="宋体" w:hAnsi="宋体" w:cs="宋体"/>
          <w:kern w:val="0"/>
          <w:sz w:val="24"/>
        </w:rPr>
        <w:t>年8月2</w:t>
      </w:r>
      <w:r>
        <w:rPr>
          <w:rFonts w:ascii="宋体" w:hAnsi="宋体" w:cs="宋体"/>
          <w:kern w:val="0"/>
          <w:sz w:val="24"/>
        </w:rPr>
        <w:t>5</w:t>
      </w:r>
      <w:r>
        <w:rPr>
          <w:rFonts w:hint="eastAsia" w:ascii="宋体" w:hAnsi="宋体" w:cs="宋体"/>
          <w:kern w:val="0"/>
          <w:sz w:val="24"/>
        </w:rPr>
        <w:t>日。</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360" w:lineRule="auto"/>
        <w:ind w:firstLine="480" w:firstLineChars="200"/>
        <w:jc w:val="left"/>
        <w:rPr>
          <w:rFonts w:ascii="宋体" w:hAnsi="宋体"/>
          <w:kern w:val="0"/>
          <w:sz w:val="24"/>
        </w:rPr>
      </w:pPr>
      <w:r>
        <w:rPr>
          <w:rFonts w:hint="eastAsia" w:ascii="宋体" w:hAnsi="宋体" w:cs="宋体"/>
          <w:kern w:val="0"/>
          <w:sz w:val="24"/>
        </w:rPr>
        <w:t>5.送货地点：启秀校区食堂（启秀路19号）、啬园校区食堂（啬园路9号）、启东校区食堂（启东高新区南海路1号）。</w:t>
      </w:r>
    </w:p>
    <w:p>
      <w:pPr>
        <w:widowControl/>
        <w:spacing w:line="360" w:lineRule="auto"/>
        <w:ind w:firstLine="480" w:firstLineChars="200"/>
        <w:jc w:val="left"/>
        <w:rPr>
          <w:rFonts w:ascii="宋体" w:hAnsi="宋体" w:cs="宋体"/>
          <w:b/>
          <w:kern w:val="0"/>
          <w:sz w:val="24"/>
        </w:rPr>
      </w:pPr>
      <w:r>
        <w:rPr>
          <w:rFonts w:hint="eastAsia" w:ascii="宋体" w:hAnsi="宋体" w:cs="宋体"/>
          <w:kern w:val="0"/>
          <w:sz w:val="24"/>
        </w:rPr>
        <w:t>6</w:t>
      </w:r>
      <w:r>
        <w:rPr>
          <w:rFonts w:ascii="宋体" w:hAnsi="宋体" w:cs="宋体"/>
          <w:kern w:val="0"/>
          <w:sz w:val="24"/>
        </w:rPr>
        <w:t>.</w:t>
      </w:r>
      <w:r>
        <w:rPr>
          <w:rFonts w:hint="eastAsia" w:ascii="宋体" w:hAnsi="宋体" w:cs="宋体"/>
          <w:kern w:val="0"/>
          <w:sz w:val="24"/>
        </w:rPr>
        <w:t>凡本次中标的商家须缴纳规定的合同履约保证金为3万元；合同期满，无任何违约、纠纷等，则无息退还。</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w:t>
      </w:r>
      <w:bookmarkStart w:id="23" w:name="_Hlk45572237"/>
      <w:r>
        <w:rPr>
          <w:rFonts w:hint="eastAsia" w:ascii="宋体" w:hAnsi="宋体" w:cs="宋体"/>
          <w:kern w:val="0"/>
          <w:sz w:val="24"/>
        </w:rPr>
        <w:t>按照供货周期（每月的26日至次月的25日为一个供货周期）开具税务发票，经过学校报销手续后，按照合同约定方式结算。</w:t>
      </w:r>
      <w:bookmarkEnd w:id="23"/>
    </w:p>
    <w:p>
      <w:pPr>
        <w:widowControl/>
        <w:spacing w:line="440" w:lineRule="exact"/>
        <w:ind w:firstLine="480" w:firstLineChars="200"/>
        <w:jc w:val="left"/>
        <w:rPr>
          <w:rFonts w:ascii="宋体" w:hAnsi="宋体" w:cs="宋体"/>
          <w:color w:val="FF0000"/>
          <w:kern w:val="0"/>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pStyle w:val="3"/>
        <w:spacing w:line="480" w:lineRule="auto"/>
        <w:ind w:firstLine="2209" w:firstLineChars="500"/>
        <w:jc w:val="center"/>
        <w:rPr>
          <w:color w:val="000000" w:themeColor="text1"/>
          <w14:textFill>
            <w14:solidFill>
              <w14:schemeClr w14:val="tx1"/>
            </w14:solidFill>
          </w14:textFill>
        </w:rPr>
      </w:pPr>
      <w:bookmarkStart w:id="24" w:name="_Toc73516692"/>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spacing w:line="460" w:lineRule="exact"/>
      </w:pPr>
    </w:p>
    <w:p/>
    <w:p>
      <w:pPr>
        <w:pStyle w:val="2"/>
      </w:pPr>
    </w:p>
    <w:p/>
    <w:p>
      <w:pPr>
        <w:pStyle w:val="2"/>
      </w:pPr>
    </w:p>
    <w:p/>
    <w:p>
      <w:pPr>
        <w:pStyle w:val="3"/>
        <w:spacing w:line="460" w:lineRule="exact"/>
        <w:ind w:firstLine="2209" w:firstLineChars="5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第四部分合同主要条款</w:t>
      </w:r>
      <w:bookmarkEnd w:id="24"/>
    </w:p>
    <w:p>
      <w:pPr>
        <w:spacing w:line="420" w:lineRule="exact"/>
        <w:rPr>
          <w:rFonts w:ascii="宋体" w:hAnsi="宋体"/>
          <w:b/>
          <w:sz w:val="24"/>
        </w:rPr>
      </w:pPr>
      <w:bookmarkStart w:id="25"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23</w:t>
      </w:r>
      <w:r>
        <w:rPr>
          <w:rFonts w:hint="eastAsia" w:ascii="宋体" w:hAnsi="宋体"/>
          <w:sz w:val="24"/>
        </w:rPr>
        <w:t>年</w:t>
      </w:r>
      <w:r>
        <w:rPr>
          <w:rFonts w:ascii="宋体" w:hAnsi="宋体"/>
          <w:sz w:val="24"/>
        </w:rPr>
        <w:t>9</w:t>
      </w:r>
      <w:r>
        <w:rPr>
          <w:rFonts w:hint="eastAsia" w:ascii="宋体" w:hAnsi="宋体"/>
          <w:sz w:val="24"/>
        </w:rPr>
        <w:t>月</w:t>
      </w:r>
      <w:r>
        <w:rPr>
          <w:rFonts w:ascii="宋体" w:hAnsi="宋体"/>
          <w:sz w:val="24"/>
        </w:rPr>
        <w:t>26</w:t>
      </w:r>
      <w:r>
        <w:rPr>
          <w:rFonts w:hint="eastAsia" w:ascii="宋体" w:hAnsi="宋体"/>
          <w:sz w:val="24"/>
        </w:rPr>
        <w:t>日起至</w:t>
      </w:r>
      <w:r>
        <w:rPr>
          <w:rFonts w:ascii="宋体" w:hAnsi="宋体"/>
          <w:sz w:val="24"/>
        </w:rPr>
        <w:t>2024</w:t>
      </w:r>
      <w:r>
        <w:rPr>
          <w:rFonts w:hint="eastAsia" w:ascii="宋体" w:hAnsi="宋体"/>
          <w:sz w:val="24"/>
        </w:rPr>
        <w:t>年8月2</w:t>
      </w:r>
      <w:r>
        <w:rPr>
          <w:rFonts w:ascii="宋体" w:hAnsi="宋体"/>
          <w:sz w:val="24"/>
        </w:rPr>
        <w:t>5</w:t>
      </w:r>
      <w:r>
        <w:rPr>
          <w:rFonts w:hint="eastAsia" w:ascii="宋体" w:hAnsi="宋体"/>
          <w:sz w:val="24"/>
        </w:rPr>
        <w:t>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spacing w:line="360" w:lineRule="auto"/>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25"/>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r>
        <w:rPr>
          <w:rFonts w:hint="eastAsia" w:ascii="宋体" w:hAnsi="宋体"/>
          <w:sz w:val="24"/>
        </w:rPr>
        <w:t>附件7：食堂原料供货商周期竞价供货实施细则</w:t>
      </w:r>
    </w:p>
    <w:p>
      <w:pPr>
        <w:pStyle w:val="4"/>
        <w:spacing w:line="360" w:lineRule="auto"/>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26"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w:t>
      </w:r>
      <w:bookmarkEnd w:id="26"/>
      <w:bookmarkStart w:id="27" w:name="_Hlk140334497"/>
      <w:r>
        <w:rPr>
          <w:rFonts w:hint="eastAsia"/>
          <w:b w:val="0"/>
          <w:color w:val="000000" w:themeColor="text1"/>
          <w:sz w:val="21"/>
          <w:szCs w:val="21"/>
          <w14:textFill>
            <w14:solidFill>
              <w14:schemeClr w14:val="tx1"/>
            </w14:solidFill>
          </w14:textFill>
        </w:rPr>
        <w:t>投标承诺函</w:t>
      </w:r>
    </w:p>
    <w:p>
      <w:pPr>
        <w:spacing w:line="360" w:lineRule="auto"/>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bookmarkStart w:id="28" w:name="_Hlk140334297"/>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bookmarkEnd w:id="28"/>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bookmarkStart w:id="29" w:name="_Hlk140334510"/>
      <w:r>
        <w:rPr>
          <w:rFonts w:hint="eastAsia" w:ascii="宋体" w:hAnsi="宋体"/>
          <w:color w:val="000000" w:themeColor="text1"/>
          <w:sz w:val="24"/>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bookmarkEnd w:id="29"/>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bookmarkEnd w:id="27"/>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5" w:type="first"/>
          <w:footerReference r:id="rId4" w:type="default"/>
          <w:pgSz w:w="11906" w:h="16838"/>
          <w:pgMar w:top="1440" w:right="1077" w:bottom="1440" w:left="1077" w:header="851" w:footer="992" w:gutter="0"/>
          <w:cols w:space="425" w:num="1"/>
          <w:titlePg/>
          <w:docGrid w:linePitch="312" w:charSpace="0"/>
        </w:sectPr>
      </w:pPr>
    </w:p>
    <w:p>
      <w:pPr>
        <w:pStyle w:val="4"/>
        <w:rPr>
          <w:b w:val="0"/>
          <w:color w:val="000000" w:themeColor="text1"/>
          <w:sz w:val="21"/>
          <w:szCs w:val="21"/>
          <w14:textFill>
            <w14:solidFill>
              <w14:schemeClr w14:val="tx1"/>
            </w14:solidFill>
          </w14:textFill>
        </w:rPr>
      </w:pPr>
      <w:bookmarkStart w:id="30"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-1：</w:t>
      </w:r>
      <w:bookmarkEnd w:id="30"/>
      <w:r>
        <w:rPr>
          <w:rFonts w:ascii="宋体" w:hAnsi="宋体" w:cs="宋体"/>
          <w:b w:val="0"/>
          <w:bCs w:val="0"/>
          <w:kern w:val="0"/>
          <w:sz w:val="21"/>
          <w:szCs w:val="21"/>
        </w:rPr>
        <w:t>猪肉产品报价单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猪肉</w:t>
      </w:r>
      <w:r>
        <w:rPr>
          <w:rFonts w:ascii="宋体" w:hAnsi="宋体" w:cs="宋体"/>
          <w:b/>
          <w:bCs/>
          <w:kern w:val="0"/>
          <w:sz w:val="36"/>
          <w:szCs w:val="36"/>
        </w:rPr>
        <w:t>报价单</w:t>
      </w:r>
    </w:p>
    <w:tbl>
      <w:tblPr>
        <w:tblStyle w:val="27"/>
        <w:tblW w:w="82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45"/>
        <w:gridCol w:w="2342"/>
        <w:gridCol w:w="912"/>
        <w:gridCol w:w="1959"/>
        <w:gridCol w:w="12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28"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b/>
                <w:bCs/>
                <w:kern w:val="0"/>
                <w:sz w:val="24"/>
              </w:rPr>
              <w:t>承诺下浮率</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1"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猪肉</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表皮洁净，膘厚适中，色泽正常，去骨，无异味，无注水</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斤</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.报价</w:t>
      </w:r>
      <w:r>
        <w:rPr>
          <w:rFonts w:ascii="宋体" w:hAnsi="宋体" w:cs="宋体"/>
          <w:kern w:val="0"/>
          <w:sz w:val="24"/>
        </w:rPr>
        <w:t>一律</w:t>
      </w:r>
      <w:r>
        <w:rPr>
          <w:rFonts w:hint="eastAsia" w:ascii="宋体" w:hAnsi="宋体" w:cs="宋体"/>
          <w:kern w:val="0"/>
          <w:sz w:val="24"/>
        </w:rPr>
        <w:t>使</w:t>
      </w:r>
      <w:r>
        <w:rPr>
          <w:rFonts w:ascii="宋体" w:hAnsi="宋体" w:cs="宋体"/>
          <w:kern w:val="0"/>
          <w:sz w:val="24"/>
        </w:rPr>
        <w:t>用</w:t>
      </w:r>
      <w:r>
        <w:rPr>
          <w:rFonts w:hint="eastAsia" w:ascii="宋体" w:hAnsi="宋体" w:cs="宋体"/>
          <w:kern w:val="0"/>
          <w:sz w:val="24"/>
        </w:rPr>
        <w:t>电脑</w:t>
      </w:r>
      <w:r>
        <w:rPr>
          <w:rFonts w:ascii="宋体" w:hAnsi="宋体" w:cs="宋体"/>
          <w:kern w:val="0"/>
          <w:sz w:val="24"/>
        </w:rPr>
        <w:t>打印</w:t>
      </w:r>
      <w:r>
        <w:rPr>
          <w:rFonts w:hint="eastAsia" w:ascii="宋体" w:hAnsi="宋体" w:cs="宋体"/>
          <w:kern w:val="0"/>
          <w:sz w:val="24"/>
        </w:rPr>
        <w:t>，手写将作废标处理</w:t>
      </w:r>
      <w:r>
        <w:rPr>
          <w:rFonts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color w:val="000000" w:themeColor="text1"/>
          <w:szCs w:val="21"/>
          <w14:textFill>
            <w14:solidFill>
              <w14:schemeClr w14:val="tx1"/>
            </w14:solidFill>
          </w14:textFill>
        </w:rPr>
      </w:pPr>
    </w:p>
    <w:p>
      <w:pPr>
        <w:spacing w:line="360" w:lineRule="auto"/>
        <w:rPr>
          <w:rFonts w:ascii="宋体" w:hAnsi="宋体" w:cs="宋体"/>
          <w:kern w:val="0"/>
          <w:szCs w:val="21"/>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-2：鲜</w:t>
      </w:r>
      <w:r>
        <w:rPr>
          <w:rFonts w:hint="eastAsia" w:ascii="宋体" w:hAnsi="宋体" w:cs="宋体"/>
          <w:kern w:val="0"/>
          <w:szCs w:val="21"/>
        </w:rPr>
        <w:t>鸡肉</w:t>
      </w:r>
      <w:r>
        <w:rPr>
          <w:rFonts w:ascii="宋体" w:hAnsi="宋体" w:cs="宋体"/>
          <w:kern w:val="0"/>
          <w:szCs w:val="21"/>
        </w:rPr>
        <w:t>类报价单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鲜鸡肉</w:t>
      </w:r>
      <w:r>
        <w:rPr>
          <w:rFonts w:ascii="宋体" w:hAnsi="宋体" w:cs="宋体"/>
          <w:b/>
          <w:bCs/>
          <w:kern w:val="0"/>
          <w:sz w:val="36"/>
          <w:szCs w:val="36"/>
        </w:rPr>
        <w:t>报价单</w:t>
      </w:r>
    </w:p>
    <w:tbl>
      <w:tblPr>
        <w:tblStyle w:val="27"/>
        <w:tblW w:w="82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45"/>
        <w:gridCol w:w="2342"/>
        <w:gridCol w:w="912"/>
        <w:gridCol w:w="1959"/>
        <w:gridCol w:w="12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28"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b/>
                <w:bCs/>
                <w:kern w:val="0"/>
                <w:sz w:val="24"/>
              </w:rPr>
              <w:t>承诺下浮率</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1"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鲜鸡肉</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无注水，全净膛，表皮完整洁净</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斤</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.报价</w:t>
      </w:r>
      <w:r>
        <w:rPr>
          <w:rFonts w:ascii="宋体" w:hAnsi="宋体" w:cs="宋体"/>
          <w:kern w:val="0"/>
          <w:sz w:val="24"/>
        </w:rPr>
        <w:t>一律</w:t>
      </w:r>
      <w:r>
        <w:rPr>
          <w:rFonts w:hint="eastAsia" w:ascii="宋体" w:hAnsi="宋体" w:cs="宋体"/>
          <w:kern w:val="0"/>
          <w:sz w:val="24"/>
        </w:rPr>
        <w:t>使</w:t>
      </w:r>
      <w:r>
        <w:rPr>
          <w:rFonts w:ascii="宋体" w:hAnsi="宋体" w:cs="宋体"/>
          <w:kern w:val="0"/>
          <w:sz w:val="24"/>
        </w:rPr>
        <w:t>用</w:t>
      </w:r>
      <w:r>
        <w:rPr>
          <w:rFonts w:hint="eastAsia" w:ascii="宋体" w:hAnsi="宋体" w:cs="宋体"/>
          <w:kern w:val="0"/>
          <w:sz w:val="24"/>
        </w:rPr>
        <w:t>电脑</w:t>
      </w:r>
      <w:r>
        <w:rPr>
          <w:rFonts w:ascii="宋体" w:hAnsi="宋体" w:cs="宋体"/>
          <w:kern w:val="0"/>
          <w:sz w:val="24"/>
        </w:rPr>
        <w:t>打印</w:t>
      </w:r>
      <w:r>
        <w:rPr>
          <w:rFonts w:hint="eastAsia" w:ascii="宋体" w:hAnsi="宋体" w:cs="宋体"/>
          <w:kern w:val="0"/>
          <w:sz w:val="24"/>
        </w:rPr>
        <w:t>，手写将作废标处理</w:t>
      </w:r>
      <w:r>
        <w:rPr>
          <w:rFonts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pStyle w:val="2"/>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pStyle w:val="4"/>
        <w:rPr>
          <w:b w:val="0"/>
          <w:color w:val="000000" w:themeColor="text1"/>
          <w:sz w:val="21"/>
          <w:szCs w:val="21"/>
          <w14:textFill>
            <w14:solidFill>
              <w14:schemeClr w14:val="tx1"/>
            </w14:solidFill>
          </w14:textFill>
        </w:rPr>
      </w:pPr>
    </w:p>
    <w:p/>
    <w:p>
      <w:pPr>
        <w:pStyle w:val="4"/>
        <w:rPr>
          <w:b w:val="0"/>
          <w:color w:val="000000" w:themeColor="text1"/>
          <w:sz w:val="21"/>
          <w:szCs w:val="21"/>
          <w14:textFill>
            <w14:solidFill>
              <w14:schemeClr w14:val="tx1"/>
            </w14:solidFill>
          </w14:textFill>
        </w:rPr>
      </w:pPr>
      <w:bookmarkStart w:id="31" w:name="_Toc73516699"/>
      <w:bookmarkStart w:id="32" w:name="_Toc24632184"/>
    </w:p>
    <w:p/>
    <w:p>
      <w:pPr>
        <w:pStyle w:val="4"/>
        <w:spacing w:line="360" w:lineRule="auto"/>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附件3：</w:t>
      </w:r>
      <w:bookmarkEnd w:id="31"/>
      <w:bookmarkEnd w:id="32"/>
      <w:r>
        <w:rPr>
          <w:rFonts w:hint="eastAsia"/>
          <w:b w:val="0"/>
          <w:color w:val="000000" w:themeColor="text1"/>
          <w:sz w:val="21"/>
          <w:szCs w:val="21"/>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240" w:afterLines="100" w:line="36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spacing w:line="360" w:lineRule="auto"/>
        <w:rPr>
          <w:b w:val="0"/>
          <w:color w:val="000000" w:themeColor="text1"/>
          <w:sz w:val="21"/>
          <w:szCs w:val="21"/>
          <w14:textFill>
            <w14:solidFill>
              <w14:schemeClr w14:val="tx1"/>
            </w14:solidFill>
          </w14:textFill>
        </w:rPr>
      </w:pPr>
      <w:bookmarkStart w:id="33" w:name="_Toc24632185"/>
      <w:bookmarkStart w:id="34" w:name="_Toc73516700"/>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33"/>
      <w:bookmarkEnd w:id="34"/>
    </w:p>
    <w:p>
      <w:pPr>
        <w:spacing w:line="360" w:lineRule="auto"/>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36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spacing w:line="360" w:lineRule="auto"/>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35" w:name="_Toc73516701"/>
      <w:r>
        <w:rPr>
          <w:rFonts w:hint="eastAsia"/>
          <w:b w:val="0"/>
          <w:color w:val="000000" w:themeColor="text1"/>
          <w:sz w:val="21"/>
          <w:szCs w:val="21"/>
          <w14:textFill>
            <w14:solidFill>
              <w14:schemeClr w14:val="tx1"/>
            </w14:solidFill>
          </w14:textFill>
        </w:rPr>
        <w:t>附件5：无重大违法记录声明</w:t>
      </w:r>
      <w:bookmarkEnd w:id="35"/>
    </w:p>
    <w:p>
      <w:pPr>
        <w:pStyle w:val="53"/>
        <w:spacing w:line="360" w:lineRule="auto"/>
        <w:rPr>
          <w:b/>
          <w:color w:val="000000" w:themeColor="text1"/>
          <w:sz w:val="30"/>
          <w:szCs w:val="30"/>
          <w14:textFill>
            <w14:solidFill>
              <w14:schemeClr w14:val="tx1"/>
            </w14:solidFill>
          </w14:textFill>
        </w:rPr>
      </w:pPr>
    </w:p>
    <w:p>
      <w:pPr>
        <w:pStyle w:val="53"/>
        <w:spacing w:line="360" w:lineRule="auto"/>
        <w:rPr>
          <w:b/>
          <w:color w:val="000000" w:themeColor="text1"/>
          <w:sz w:val="30"/>
          <w:szCs w:val="30"/>
          <w14:textFill>
            <w14:solidFill>
              <w14:schemeClr w14:val="tx1"/>
            </w14:solidFill>
          </w14:textFill>
        </w:rPr>
      </w:pPr>
    </w:p>
    <w:p>
      <w:pPr>
        <w:pStyle w:val="53"/>
        <w:spacing w:line="360" w:lineRule="auto"/>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spacing w:line="360" w:lineRule="auto"/>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spacing w:line="360" w:lineRule="auto"/>
        <w:rPr>
          <w:b w:val="0"/>
          <w:color w:val="000000" w:themeColor="text1"/>
          <w:sz w:val="21"/>
          <w:szCs w:val="21"/>
          <w14:textFill>
            <w14:solidFill>
              <w14:schemeClr w14:val="tx1"/>
            </w14:solidFill>
          </w14:textFill>
        </w:rPr>
      </w:pPr>
      <w:bookmarkStart w:id="36" w:name="_Toc53153324"/>
      <w:bookmarkStart w:id="37" w:name="_Toc50642505"/>
      <w:bookmarkStart w:id="38" w:name="_Toc49847306"/>
      <w:bookmarkStart w:id="39" w:name="_Toc50645819"/>
      <w:bookmarkStart w:id="40" w:name="_Toc51598429"/>
      <w:bookmarkStart w:id="41" w:name="_Toc52798262"/>
      <w:bookmarkStart w:id="42" w:name="_Toc73516702"/>
      <w:r>
        <w:rPr>
          <w:rFonts w:hint="eastAsia"/>
          <w:b w:val="0"/>
          <w:color w:val="000000" w:themeColor="text1"/>
          <w:sz w:val="21"/>
          <w:szCs w:val="21"/>
          <w14:textFill>
            <w14:solidFill>
              <w14:schemeClr w14:val="tx1"/>
            </w14:solidFill>
          </w14:textFill>
        </w:rPr>
        <w:t>附件6：诚信承诺书</w:t>
      </w:r>
      <w:bookmarkEnd w:id="36"/>
      <w:bookmarkEnd w:id="37"/>
      <w:bookmarkEnd w:id="38"/>
      <w:bookmarkEnd w:id="39"/>
      <w:bookmarkEnd w:id="40"/>
      <w:bookmarkEnd w:id="41"/>
      <w:bookmarkEnd w:id="42"/>
    </w:p>
    <w:p>
      <w:pPr>
        <w:pStyle w:val="53"/>
        <w:spacing w:line="360" w:lineRule="auto"/>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u w:val="single"/>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新宋体">
    <w:panose1 w:val="02010609030101010101"/>
    <w:charset w:val="86"/>
    <w:family w:val="modern"/>
    <w:pitch w:val="default"/>
    <w:sig w:usb0="00000003" w:usb1="288F0000" w:usb2="0000000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9FA44C"/>
    <w:multiLevelType w:val="singleLevel"/>
    <w:tmpl w:val="099FA44C"/>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iMjM5YTRmMjU2MWRkY2YyZDE2MjA2MjU2Y2QzYTE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3FB3"/>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4054"/>
    <w:rsid w:val="00087074"/>
    <w:rsid w:val="0008770B"/>
    <w:rsid w:val="000919DC"/>
    <w:rsid w:val="000929F8"/>
    <w:rsid w:val="00093C37"/>
    <w:rsid w:val="000A0948"/>
    <w:rsid w:val="000A09B6"/>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4D6"/>
    <w:rsid w:val="000E4C25"/>
    <w:rsid w:val="000E5136"/>
    <w:rsid w:val="000E56EE"/>
    <w:rsid w:val="000F0037"/>
    <w:rsid w:val="000F107B"/>
    <w:rsid w:val="000F1EB9"/>
    <w:rsid w:val="000F272D"/>
    <w:rsid w:val="000F3C27"/>
    <w:rsid w:val="000F46CA"/>
    <w:rsid w:val="000F5183"/>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E3B"/>
    <w:rsid w:val="00116DDF"/>
    <w:rsid w:val="00117A28"/>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1826"/>
    <w:rsid w:val="001826AD"/>
    <w:rsid w:val="001859F7"/>
    <w:rsid w:val="00185BC3"/>
    <w:rsid w:val="00185BD3"/>
    <w:rsid w:val="00185BF5"/>
    <w:rsid w:val="001902AD"/>
    <w:rsid w:val="00190BE9"/>
    <w:rsid w:val="00191B76"/>
    <w:rsid w:val="00193982"/>
    <w:rsid w:val="001942A5"/>
    <w:rsid w:val="00195537"/>
    <w:rsid w:val="001963B3"/>
    <w:rsid w:val="00197312"/>
    <w:rsid w:val="001A067A"/>
    <w:rsid w:val="001A28E0"/>
    <w:rsid w:val="001A3F72"/>
    <w:rsid w:val="001A5824"/>
    <w:rsid w:val="001A5AB3"/>
    <w:rsid w:val="001A64E3"/>
    <w:rsid w:val="001B0CD7"/>
    <w:rsid w:val="001B1DD7"/>
    <w:rsid w:val="001B21B5"/>
    <w:rsid w:val="001B49EA"/>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0917"/>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0BE2"/>
    <w:rsid w:val="00211AB0"/>
    <w:rsid w:val="0021311B"/>
    <w:rsid w:val="002147E5"/>
    <w:rsid w:val="0021530C"/>
    <w:rsid w:val="0021613B"/>
    <w:rsid w:val="00216220"/>
    <w:rsid w:val="0022181E"/>
    <w:rsid w:val="00222D35"/>
    <w:rsid w:val="0022386C"/>
    <w:rsid w:val="00226863"/>
    <w:rsid w:val="00230A44"/>
    <w:rsid w:val="00231A4A"/>
    <w:rsid w:val="002330D6"/>
    <w:rsid w:val="00233280"/>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47F6"/>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430D"/>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E12"/>
    <w:rsid w:val="002D0FCA"/>
    <w:rsid w:val="002D11C8"/>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06C3"/>
    <w:rsid w:val="002F21E3"/>
    <w:rsid w:val="002F3391"/>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3E0"/>
    <w:rsid w:val="00311AE5"/>
    <w:rsid w:val="00311AE6"/>
    <w:rsid w:val="0031269D"/>
    <w:rsid w:val="00313E8D"/>
    <w:rsid w:val="00314E1A"/>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5955"/>
    <w:rsid w:val="003563BA"/>
    <w:rsid w:val="00361E91"/>
    <w:rsid w:val="00362448"/>
    <w:rsid w:val="00362508"/>
    <w:rsid w:val="003626BC"/>
    <w:rsid w:val="00363E13"/>
    <w:rsid w:val="00366198"/>
    <w:rsid w:val="003702ED"/>
    <w:rsid w:val="003704B4"/>
    <w:rsid w:val="00370AB0"/>
    <w:rsid w:val="00370E53"/>
    <w:rsid w:val="00371350"/>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785"/>
    <w:rsid w:val="003D6E84"/>
    <w:rsid w:val="003D71A7"/>
    <w:rsid w:val="003D77D6"/>
    <w:rsid w:val="003E1C65"/>
    <w:rsid w:val="003E2381"/>
    <w:rsid w:val="003E3064"/>
    <w:rsid w:val="003E42FD"/>
    <w:rsid w:val="003E4D8A"/>
    <w:rsid w:val="003E584B"/>
    <w:rsid w:val="003F389A"/>
    <w:rsid w:val="003F5054"/>
    <w:rsid w:val="003F7F43"/>
    <w:rsid w:val="0040043F"/>
    <w:rsid w:val="00400DD0"/>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0B0A"/>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3C60"/>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4F5D"/>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028A"/>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14EB"/>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0CFA"/>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6D97"/>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5F7A68"/>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681"/>
    <w:rsid w:val="00624F44"/>
    <w:rsid w:val="0062570E"/>
    <w:rsid w:val="006258FC"/>
    <w:rsid w:val="0063185C"/>
    <w:rsid w:val="00633DDA"/>
    <w:rsid w:val="00636683"/>
    <w:rsid w:val="0063687B"/>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677"/>
    <w:rsid w:val="00750C73"/>
    <w:rsid w:val="00750F54"/>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668"/>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0109"/>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166C"/>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1B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3DBF"/>
    <w:rsid w:val="009441C5"/>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0E"/>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B64B3"/>
    <w:rsid w:val="009C0439"/>
    <w:rsid w:val="009C0A6E"/>
    <w:rsid w:val="009C5C22"/>
    <w:rsid w:val="009D17C0"/>
    <w:rsid w:val="009D17CC"/>
    <w:rsid w:val="009D1A55"/>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4559"/>
    <w:rsid w:val="00A063DC"/>
    <w:rsid w:val="00A06C56"/>
    <w:rsid w:val="00A07A53"/>
    <w:rsid w:val="00A101DE"/>
    <w:rsid w:val="00A1121A"/>
    <w:rsid w:val="00A12E4F"/>
    <w:rsid w:val="00A13E0F"/>
    <w:rsid w:val="00A13E70"/>
    <w:rsid w:val="00A175B8"/>
    <w:rsid w:val="00A21430"/>
    <w:rsid w:val="00A22BA5"/>
    <w:rsid w:val="00A22CA1"/>
    <w:rsid w:val="00A24AFC"/>
    <w:rsid w:val="00A26107"/>
    <w:rsid w:val="00A2675C"/>
    <w:rsid w:val="00A30273"/>
    <w:rsid w:val="00A3030B"/>
    <w:rsid w:val="00A32CB5"/>
    <w:rsid w:val="00A32FDA"/>
    <w:rsid w:val="00A339D4"/>
    <w:rsid w:val="00A352DC"/>
    <w:rsid w:val="00A37F8A"/>
    <w:rsid w:val="00A40DC8"/>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5784A"/>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5963"/>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159"/>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0D70"/>
    <w:rsid w:val="00BF160B"/>
    <w:rsid w:val="00BF2659"/>
    <w:rsid w:val="00BF3A9B"/>
    <w:rsid w:val="00BF43C1"/>
    <w:rsid w:val="00BF5651"/>
    <w:rsid w:val="00BF59AF"/>
    <w:rsid w:val="00BF5D70"/>
    <w:rsid w:val="00BF649F"/>
    <w:rsid w:val="00BF6F5D"/>
    <w:rsid w:val="00BF799C"/>
    <w:rsid w:val="00C00A54"/>
    <w:rsid w:val="00C0138C"/>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11BA"/>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5496"/>
    <w:rsid w:val="00C86227"/>
    <w:rsid w:val="00C86537"/>
    <w:rsid w:val="00C90103"/>
    <w:rsid w:val="00C907F5"/>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59A"/>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798"/>
    <w:rsid w:val="00D21DA7"/>
    <w:rsid w:val="00D220AB"/>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5734A"/>
    <w:rsid w:val="00D61CA7"/>
    <w:rsid w:val="00D628C2"/>
    <w:rsid w:val="00D62A62"/>
    <w:rsid w:val="00D63A4D"/>
    <w:rsid w:val="00D64C1B"/>
    <w:rsid w:val="00D65A92"/>
    <w:rsid w:val="00D66246"/>
    <w:rsid w:val="00D673AE"/>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B7B8C"/>
    <w:rsid w:val="00DC1007"/>
    <w:rsid w:val="00DC199F"/>
    <w:rsid w:val="00DC2943"/>
    <w:rsid w:val="00DC3743"/>
    <w:rsid w:val="00DC5076"/>
    <w:rsid w:val="00DC53D3"/>
    <w:rsid w:val="00DC5C30"/>
    <w:rsid w:val="00DC7B87"/>
    <w:rsid w:val="00DD0CEC"/>
    <w:rsid w:val="00DD1630"/>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5E4"/>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1743"/>
    <w:rsid w:val="00EB389F"/>
    <w:rsid w:val="00EB4148"/>
    <w:rsid w:val="00EB430C"/>
    <w:rsid w:val="00EB4424"/>
    <w:rsid w:val="00EB4C22"/>
    <w:rsid w:val="00EB6CC8"/>
    <w:rsid w:val="00EB6E04"/>
    <w:rsid w:val="00EC07EA"/>
    <w:rsid w:val="00EC12E0"/>
    <w:rsid w:val="00EC1C75"/>
    <w:rsid w:val="00EC1D01"/>
    <w:rsid w:val="00EC369C"/>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3C89"/>
    <w:rsid w:val="00F1643A"/>
    <w:rsid w:val="00F165E6"/>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292"/>
    <w:rsid w:val="00F413BC"/>
    <w:rsid w:val="00F442EA"/>
    <w:rsid w:val="00F44B65"/>
    <w:rsid w:val="00F45592"/>
    <w:rsid w:val="00F4731F"/>
    <w:rsid w:val="00F5173F"/>
    <w:rsid w:val="00F51DA1"/>
    <w:rsid w:val="00F540F8"/>
    <w:rsid w:val="00F54115"/>
    <w:rsid w:val="00F562BC"/>
    <w:rsid w:val="00F578F2"/>
    <w:rsid w:val="00F61CBD"/>
    <w:rsid w:val="00F61EC2"/>
    <w:rsid w:val="00F62D21"/>
    <w:rsid w:val="00F6438D"/>
    <w:rsid w:val="00F64621"/>
    <w:rsid w:val="00F64834"/>
    <w:rsid w:val="00F649DB"/>
    <w:rsid w:val="00F673AB"/>
    <w:rsid w:val="00F716AD"/>
    <w:rsid w:val="00F71F94"/>
    <w:rsid w:val="00F7218E"/>
    <w:rsid w:val="00F73B9F"/>
    <w:rsid w:val="00F73DC8"/>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656E"/>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86A"/>
    <w:rsid w:val="00FC7C64"/>
    <w:rsid w:val="00FD19BC"/>
    <w:rsid w:val="00FD1C5D"/>
    <w:rsid w:val="00FD2864"/>
    <w:rsid w:val="00FD2A1A"/>
    <w:rsid w:val="00FD41E3"/>
    <w:rsid w:val="00FD5A26"/>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205"/>
    <w:rsid w:val="00FF7ED4"/>
    <w:rsid w:val="012B4B1B"/>
    <w:rsid w:val="02460A13"/>
    <w:rsid w:val="0344112A"/>
    <w:rsid w:val="03593B2F"/>
    <w:rsid w:val="047A5D8D"/>
    <w:rsid w:val="053B4E45"/>
    <w:rsid w:val="05872D64"/>
    <w:rsid w:val="05BD6916"/>
    <w:rsid w:val="065823F0"/>
    <w:rsid w:val="066E7B9C"/>
    <w:rsid w:val="06D13ABD"/>
    <w:rsid w:val="076B3A78"/>
    <w:rsid w:val="09910E44"/>
    <w:rsid w:val="09A72974"/>
    <w:rsid w:val="0A026BD8"/>
    <w:rsid w:val="0B790C4D"/>
    <w:rsid w:val="0C087ECD"/>
    <w:rsid w:val="0C230DF6"/>
    <w:rsid w:val="0EA16A38"/>
    <w:rsid w:val="0EF929D9"/>
    <w:rsid w:val="0F1B7626"/>
    <w:rsid w:val="0F202E96"/>
    <w:rsid w:val="0F644D76"/>
    <w:rsid w:val="10257702"/>
    <w:rsid w:val="104B3394"/>
    <w:rsid w:val="107625D2"/>
    <w:rsid w:val="110D6392"/>
    <w:rsid w:val="11784FE5"/>
    <w:rsid w:val="12746007"/>
    <w:rsid w:val="12B52412"/>
    <w:rsid w:val="13BC5DB8"/>
    <w:rsid w:val="14FD4943"/>
    <w:rsid w:val="15AD47C5"/>
    <w:rsid w:val="19B52627"/>
    <w:rsid w:val="1A572F62"/>
    <w:rsid w:val="1A7A033C"/>
    <w:rsid w:val="1C093FAB"/>
    <w:rsid w:val="1C83525E"/>
    <w:rsid w:val="1CB9293D"/>
    <w:rsid w:val="1D4F473B"/>
    <w:rsid w:val="1D720134"/>
    <w:rsid w:val="205D1EAD"/>
    <w:rsid w:val="21761AF5"/>
    <w:rsid w:val="22FE37C7"/>
    <w:rsid w:val="23635A07"/>
    <w:rsid w:val="23BB1DCD"/>
    <w:rsid w:val="277E259E"/>
    <w:rsid w:val="2925339C"/>
    <w:rsid w:val="298D1BB9"/>
    <w:rsid w:val="299A12ED"/>
    <w:rsid w:val="299F38FC"/>
    <w:rsid w:val="29AA0D95"/>
    <w:rsid w:val="29B54054"/>
    <w:rsid w:val="2D0D0136"/>
    <w:rsid w:val="2E1620EC"/>
    <w:rsid w:val="2EE261A8"/>
    <w:rsid w:val="30D51178"/>
    <w:rsid w:val="31086F3E"/>
    <w:rsid w:val="31451D82"/>
    <w:rsid w:val="31820BD9"/>
    <w:rsid w:val="324101E2"/>
    <w:rsid w:val="3465038D"/>
    <w:rsid w:val="34F76CBD"/>
    <w:rsid w:val="376115A6"/>
    <w:rsid w:val="39CC68FC"/>
    <w:rsid w:val="3A4263CD"/>
    <w:rsid w:val="3A7C5E4C"/>
    <w:rsid w:val="3B0E664A"/>
    <w:rsid w:val="3B767F00"/>
    <w:rsid w:val="3C2F4DF9"/>
    <w:rsid w:val="3C465916"/>
    <w:rsid w:val="3C532EC9"/>
    <w:rsid w:val="3C591CF7"/>
    <w:rsid w:val="3C6A14EB"/>
    <w:rsid w:val="3C7137CF"/>
    <w:rsid w:val="3F0071D7"/>
    <w:rsid w:val="41951EDC"/>
    <w:rsid w:val="44814510"/>
    <w:rsid w:val="4517057D"/>
    <w:rsid w:val="45E90E88"/>
    <w:rsid w:val="474140DE"/>
    <w:rsid w:val="48133B62"/>
    <w:rsid w:val="486A27A6"/>
    <w:rsid w:val="48A17FCE"/>
    <w:rsid w:val="48B11606"/>
    <w:rsid w:val="48ED0281"/>
    <w:rsid w:val="492D6B95"/>
    <w:rsid w:val="49C26560"/>
    <w:rsid w:val="4AAB2AD3"/>
    <w:rsid w:val="4AAF7ADA"/>
    <w:rsid w:val="4AD917DF"/>
    <w:rsid w:val="4C653F38"/>
    <w:rsid w:val="4CE960A5"/>
    <w:rsid w:val="4DE63590"/>
    <w:rsid w:val="51CE3B85"/>
    <w:rsid w:val="5382304E"/>
    <w:rsid w:val="54474CB9"/>
    <w:rsid w:val="54E7132C"/>
    <w:rsid w:val="562D07D0"/>
    <w:rsid w:val="59413C36"/>
    <w:rsid w:val="59F7427D"/>
    <w:rsid w:val="5A9E73BD"/>
    <w:rsid w:val="5B963AF8"/>
    <w:rsid w:val="5BC43312"/>
    <w:rsid w:val="5D8501A6"/>
    <w:rsid w:val="5F551185"/>
    <w:rsid w:val="61A71DB7"/>
    <w:rsid w:val="6229446C"/>
    <w:rsid w:val="629E1E4B"/>
    <w:rsid w:val="63CE2C12"/>
    <w:rsid w:val="64341C40"/>
    <w:rsid w:val="65736726"/>
    <w:rsid w:val="657B4C6C"/>
    <w:rsid w:val="6686790B"/>
    <w:rsid w:val="67634372"/>
    <w:rsid w:val="683A1F7D"/>
    <w:rsid w:val="68CB2588"/>
    <w:rsid w:val="68E60443"/>
    <w:rsid w:val="6A2633D5"/>
    <w:rsid w:val="6B21510C"/>
    <w:rsid w:val="6BAA593E"/>
    <w:rsid w:val="6FBC6A0D"/>
    <w:rsid w:val="71A44891"/>
    <w:rsid w:val="723A068D"/>
    <w:rsid w:val="72F953F1"/>
    <w:rsid w:val="772464D5"/>
    <w:rsid w:val="775C2E31"/>
    <w:rsid w:val="78D52782"/>
    <w:rsid w:val="78E421BD"/>
    <w:rsid w:val="79247842"/>
    <w:rsid w:val="7A454EDD"/>
    <w:rsid w:val="7AA25287"/>
    <w:rsid w:val="7CF96AFE"/>
    <w:rsid w:val="7D4C3B10"/>
    <w:rsid w:val="7F0C34D6"/>
    <w:rsid w:val="7F306EE4"/>
    <w:rsid w:val="7FBD79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表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86204A-C080-4A89-AD76-506C135FACFB}">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23</Pages>
  <Words>8967</Words>
  <Characters>9646</Characters>
  <Lines>86</Lines>
  <Paragraphs>24</Paragraphs>
  <TotalTime>7</TotalTime>
  <ScaleCrop>false</ScaleCrop>
  <LinksUpToDate>false</LinksUpToDate>
  <CharactersWithSpaces>10733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2023-08-11T07:08:00Z</dcterms:created>
  <dc:creator>USER</dc:creator>
  <cp:lastModifiedBy>Administrator</cp:lastModifiedBy>
  <cp:lastPrinted>2023-07-17T00:09:00Z</cp:lastPrinted>
  <dcterms:modified xsi:type="dcterms:W3CDTF">2023-08-14T10:30:43Z</dcterms:modified>
  <dc:title>招  标  文  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19476D37B02F46B2A2BF4E2D9F83DC76</vt:lpwstr>
  </property>
</Properties>
</file>