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ascii="仿宋" w:eastAsia="仿宋" w:cs="仿宋"/>
          <w:b/>
          <w:bCs/>
          <w:sz w:val="36"/>
          <w:szCs w:val="36"/>
        </w:rPr>
      </w:pPr>
      <w:r>
        <w:rPr>
          <w:rFonts w:hint="eastAsia" w:ascii="仿宋" w:eastAsia="仿宋" w:cs="仿宋"/>
          <w:b/>
          <w:bCs/>
          <w:sz w:val="36"/>
          <w:szCs w:val="36"/>
        </w:rPr>
        <w:t>附件1</w:t>
      </w:r>
    </w:p>
    <w:p>
      <w:pPr>
        <w:jc w:val="center"/>
        <w:rPr>
          <w:rFonts w:hint="eastAsia" w:ascii="仿宋" w:eastAsia="仿宋" w:cs="仿宋"/>
          <w:b/>
          <w:bCs/>
          <w:sz w:val="36"/>
          <w:szCs w:val="36"/>
        </w:rPr>
      </w:pPr>
      <w:r>
        <w:rPr>
          <w:rFonts w:hint="eastAsia" w:ascii="仿宋" w:eastAsia="仿宋" w:cs="仿宋"/>
          <w:b/>
          <w:bCs/>
          <w:sz w:val="36"/>
          <w:szCs w:val="36"/>
        </w:rPr>
        <w:t>南通大学废旧物资回收秩序管理服务招标文件</w:t>
      </w:r>
    </w:p>
    <w:p>
      <w:pPr>
        <w:ind w:firstLine="360" w:firstLineChars="150"/>
        <w:jc w:val="center"/>
        <w:rPr>
          <w:rFonts w:hint="eastAsia" w:ascii="仿宋" w:eastAsia="仿宋" w:cs="仿宋"/>
          <w:sz w:val="24"/>
        </w:rPr>
      </w:pPr>
    </w:p>
    <w:p>
      <w:pPr>
        <w:spacing w:line="360" w:lineRule="auto"/>
        <w:ind w:firstLine="480" w:firstLineChars="200"/>
        <w:rPr>
          <w:rFonts w:hint="eastAsia" w:ascii="宋体" w:hAnsi="宋体"/>
          <w:sz w:val="24"/>
        </w:rPr>
      </w:pPr>
      <w:r>
        <w:rPr>
          <w:rFonts w:hint="eastAsia" w:ascii="宋体" w:hAnsi="宋体"/>
          <w:sz w:val="24"/>
        </w:rPr>
        <w:t>为进一步加强对校内废品收购工作的安全管理，维护校园治安秩序，根据南通大学校园治安秩序管理和外来人员管理等有关规定，拟对校园内废旧物资回收秩序管理服务公开招标，具体要求如下：</w:t>
      </w:r>
    </w:p>
    <w:p>
      <w:pPr>
        <w:numPr>
          <w:ilvl w:val="0"/>
          <w:numId w:val="1"/>
        </w:numPr>
        <w:spacing w:line="360" w:lineRule="auto"/>
        <w:ind w:left="-2" w:leftChars="-1" w:firstLine="540" w:firstLineChars="225"/>
        <w:rPr>
          <w:rFonts w:hint="eastAsia" w:ascii="宋体" w:hAnsi="宋体"/>
          <w:sz w:val="24"/>
        </w:rPr>
      </w:pPr>
      <w:r>
        <w:rPr>
          <w:rFonts w:hint="eastAsia" w:ascii="宋体" w:hAnsi="宋体"/>
          <w:sz w:val="24"/>
        </w:rPr>
        <w:t>投标要求及有关说明</w:t>
      </w:r>
    </w:p>
    <w:p>
      <w:pPr>
        <w:numPr>
          <w:ilvl w:val="0"/>
          <w:numId w:val="2"/>
        </w:numPr>
        <w:spacing w:line="360" w:lineRule="auto"/>
        <w:ind w:left="470" w:leftChars="224"/>
        <w:rPr>
          <w:rFonts w:hint="eastAsia" w:ascii="宋体" w:hAnsi="宋体"/>
          <w:sz w:val="24"/>
        </w:rPr>
      </w:pPr>
      <w:r>
        <w:rPr>
          <w:rFonts w:hint="eastAsia" w:ascii="宋体" w:hAnsi="宋体"/>
          <w:sz w:val="24"/>
        </w:rPr>
        <w:t>投标人必须持有合法有效证件，具有良好的商业信誉。在经济活动中未发生弄虚作假等欺诈行为，无违法犯罪记录行为。</w:t>
      </w:r>
    </w:p>
    <w:p>
      <w:pPr>
        <w:numPr>
          <w:ilvl w:val="0"/>
          <w:numId w:val="2"/>
        </w:numPr>
        <w:spacing w:line="360" w:lineRule="auto"/>
        <w:ind w:left="470" w:leftChars="224"/>
        <w:rPr>
          <w:rFonts w:hint="eastAsia" w:ascii="宋体" w:hAnsi="宋体"/>
          <w:sz w:val="24"/>
        </w:rPr>
      </w:pPr>
      <w:r>
        <w:rPr>
          <w:rFonts w:hint="eastAsia" w:ascii="宋体" w:hAnsi="宋体"/>
          <w:sz w:val="24"/>
        </w:rPr>
        <w:t>招标文件售价：人民币贰佰元整。此款投标时现场交纳，投标后不退还。</w:t>
      </w:r>
    </w:p>
    <w:p>
      <w:pPr>
        <w:numPr>
          <w:ilvl w:val="0"/>
          <w:numId w:val="2"/>
        </w:numPr>
        <w:spacing w:line="360" w:lineRule="auto"/>
        <w:ind w:left="470" w:leftChars="224"/>
        <w:rPr>
          <w:rFonts w:hint="eastAsia" w:ascii="宋体" w:hAnsi="宋体"/>
          <w:sz w:val="24"/>
        </w:rPr>
      </w:pPr>
      <w:r>
        <w:rPr>
          <w:rFonts w:hint="eastAsia" w:ascii="宋体" w:hAnsi="宋体"/>
          <w:sz w:val="24"/>
        </w:rPr>
        <w:t>投标保证金：人民币</w:t>
      </w:r>
      <w:r>
        <w:rPr>
          <w:rFonts w:hint="eastAsia" w:ascii="宋体" w:hAnsi="宋体"/>
          <w:sz w:val="24"/>
          <w:lang w:eastAsia="zh-CN"/>
        </w:rPr>
        <w:t>伍佰元</w:t>
      </w:r>
      <w:bookmarkStart w:id="0" w:name="_GoBack"/>
      <w:bookmarkEnd w:id="0"/>
      <w:r>
        <w:rPr>
          <w:rFonts w:hint="eastAsia" w:ascii="宋体" w:hAnsi="宋体"/>
          <w:sz w:val="24"/>
        </w:rPr>
        <w:t>，投标时现金交纳。开标结束后未中标者无息退还保证金。中标单位</w:t>
      </w:r>
      <w:r>
        <w:rPr>
          <w:rFonts w:hint="eastAsia" w:ascii="宋体" w:hAnsi="宋体"/>
          <w:sz w:val="24"/>
          <w:lang w:eastAsia="zh-CN"/>
        </w:rPr>
        <w:t>投标保证金自动转为履约保证金</w:t>
      </w:r>
      <w:r>
        <w:rPr>
          <w:rFonts w:hint="eastAsia" w:ascii="宋体" w:hAnsi="宋体"/>
          <w:sz w:val="24"/>
        </w:rPr>
        <w:t>，保证金在合约结束</w:t>
      </w:r>
      <w:r>
        <w:rPr>
          <w:rFonts w:hint="eastAsia" w:ascii="宋体" w:hAnsi="宋体"/>
          <w:sz w:val="24"/>
          <w:lang w:eastAsia="zh-CN"/>
        </w:rPr>
        <w:t>后</w:t>
      </w:r>
      <w:r>
        <w:rPr>
          <w:rFonts w:hint="eastAsia" w:ascii="宋体" w:hAnsi="宋体"/>
          <w:sz w:val="24"/>
        </w:rPr>
        <w:t>三日</w:t>
      </w:r>
      <w:r>
        <w:rPr>
          <w:rFonts w:hint="eastAsia" w:ascii="宋体" w:hAnsi="宋体"/>
          <w:sz w:val="24"/>
          <w:lang w:eastAsia="zh-CN"/>
        </w:rPr>
        <w:t>内</w:t>
      </w:r>
      <w:r>
        <w:rPr>
          <w:rFonts w:hint="eastAsia" w:ascii="宋体" w:hAnsi="宋体"/>
          <w:sz w:val="24"/>
        </w:rPr>
        <w:t>退还。</w:t>
      </w:r>
    </w:p>
    <w:p>
      <w:pPr>
        <w:spacing w:line="360" w:lineRule="auto"/>
        <w:ind w:firstLine="461" w:firstLineChars="192"/>
        <w:rPr>
          <w:rFonts w:hint="eastAsia" w:ascii="宋体" w:hAnsi="宋体"/>
          <w:sz w:val="24"/>
        </w:rPr>
      </w:pPr>
      <w:r>
        <w:rPr>
          <w:rFonts w:hint="eastAsia" w:ascii="宋体" w:hAnsi="宋体"/>
          <w:sz w:val="24"/>
        </w:rPr>
        <w:t xml:space="preserve">  二、投标时间、地点、要求</w:t>
      </w:r>
    </w:p>
    <w:p>
      <w:pPr>
        <w:spacing w:line="360" w:lineRule="auto"/>
        <w:ind w:firstLine="461" w:firstLineChars="192"/>
        <w:rPr>
          <w:rFonts w:hint="eastAsia" w:ascii="宋体" w:hAnsi="宋体"/>
          <w:sz w:val="24"/>
        </w:rPr>
      </w:pPr>
      <w:r>
        <w:rPr>
          <w:rFonts w:hint="eastAsia" w:ascii="宋体" w:hAnsi="宋体"/>
          <w:sz w:val="24"/>
        </w:rPr>
        <w:t xml:space="preserve">请投标人在6月8日9：30以前，将针对相应校区收购废旧物资回收管理服务的报价单和密封好的标书，送至保卫处管理科（主校区综合楼503）。       </w:t>
      </w:r>
    </w:p>
    <w:p>
      <w:pPr>
        <w:spacing w:line="360" w:lineRule="auto"/>
        <w:rPr>
          <w:rFonts w:hint="eastAsia" w:ascii="宋体" w:hAnsi="宋体"/>
          <w:sz w:val="24"/>
        </w:rPr>
      </w:pPr>
      <w:r>
        <w:rPr>
          <w:rFonts w:hint="eastAsia" w:ascii="宋体" w:hAnsi="宋体"/>
          <w:sz w:val="24"/>
        </w:rPr>
        <w:t xml:space="preserve">      三、投标时需提供以下资格证明文件</w:t>
      </w:r>
    </w:p>
    <w:p>
      <w:pPr>
        <w:spacing w:line="360" w:lineRule="auto"/>
        <w:rPr>
          <w:rFonts w:hint="eastAsia" w:ascii="宋体" w:hAnsi="宋体"/>
          <w:sz w:val="24"/>
        </w:rPr>
      </w:pPr>
      <w:r>
        <w:rPr>
          <w:rFonts w:hint="eastAsia" w:ascii="宋体" w:hAnsi="宋体"/>
          <w:sz w:val="24"/>
        </w:rPr>
        <w:t xml:space="preserve">    （一）企业</w:t>
      </w:r>
    </w:p>
    <w:p>
      <w:pPr>
        <w:spacing w:line="360" w:lineRule="auto"/>
        <w:ind w:firstLine="480" w:firstLineChars="200"/>
        <w:rPr>
          <w:rFonts w:hint="eastAsia" w:ascii="宋体" w:hAnsi="宋体"/>
          <w:sz w:val="24"/>
        </w:rPr>
      </w:pPr>
      <w:r>
        <w:rPr>
          <w:rFonts w:hint="eastAsia" w:ascii="宋体" w:hAnsi="宋体"/>
          <w:sz w:val="24"/>
        </w:rPr>
        <w:t xml:space="preserve"> 1、企业授权人及被授权人身份证原件及复印件。</w:t>
      </w:r>
    </w:p>
    <w:p>
      <w:pPr>
        <w:spacing w:line="360" w:lineRule="auto"/>
        <w:rPr>
          <w:rFonts w:hint="eastAsia" w:ascii="宋体" w:hAnsi="宋体"/>
          <w:sz w:val="24"/>
        </w:rPr>
      </w:pPr>
      <w:r>
        <w:rPr>
          <w:rFonts w:hint="eastAsia" w:ascii="宋体" w:hAnsi="宋体"/>
          <w:sz w:val="24"/>
        </w:rPr>
        <w:t xml:space="preserve">     2、企业法人营业执照、组织机构代码证、税务登记证复印件（加盖公章）。</w:t>
      </w:r>
    </w:p>
    <w:p>
      <w:pPr>
        <w:spacing w:line="360" w:lineRule="auto"/>
        <w:rPr>
          <w:rFonts w:hint="eastAsia" w:ascii="宋体" w:hAnsi="宋体"/>
          <w:sz w:val="24"/>
        </w:rPr>
      </w:pPr>
      <w:r>
        <w:rPr>
          <w:rFonts w:hint="eastAsia" w:ascii="宋体" w:hAnsi="宋体"/>
          <w:sz w:val="24"/>
        </w:rPr>
        <w:t xml:space="preserve">    （二）个人</w:t>
      </w:r>
    </w:p>
    <w:p>
      <w:pPr>
        <w:spacing w:line="360" w:lineRule="auto"/>
        <w:ind w:firstLine="600" w:firstLineChars="250"/>
        <w:rPr>
          <w:rFonts w:hint="eastAsia" w:ascii="宋体" w:hAnsi="宋体"/>
          <w:sz w:val="24"/>
        </w:rPr>
      </w:pPr>
      <w:r>
        <w:rPr>
          <w:rFonts w:hint="eastAsia" w:ascii="宋体" w:hAnsi="宋体"/>
          <w:sz w:val="24"/>
        </w:rPr>
        <w:t>1、个人身份证原件及复印件</w:t>
      </w:r>
    </w:p>
    <w:p>
      <w:pPr>
        <w:spacing w:line="360" w:lineRule="auto"/>
        <w:ind w:firstLine="600" w:firstLineChars="250"/>
        <w:rPr>
          <w:rFonts w:hint="eastAsia" w:ascii="宋体" w:hAnsi="宋体"/>
          <w:sz w:val="24"/>
        </w:rPr>
      </w:pPr>
      <w:r>
        <w:rPr>
          <w:rFonts w:hint="eastAsia" w:ascii="宋体" w:hAnsi="宋体"/>
          <w:sz w:val="24"/>
        </w:rPr>
        <w:t>2、公安部门提供的无违法犯罪证明。</w:t>
      </w:r>
    </w:p>
    <w:p>
      <w:pPr>
        <w:spacing w:line="360" w:lineRule="auto"/>
        <w:ind w:firstLine="600" w:firstLineChars="250"/>
        <w:rPr>
          <w:rFonts w:hint="eastAsia" w:ascii="宋体" w:hAnsi="宋体"/>
          <w:sz w:val="24"/>
          <w:lang w:eastAsia="zh-CN"/>
        </w:rPr>
      </w:pPr>
      <w:r>
        <w:rPr>
          <w:rFonts w:hint="eastAsia" w:ascii="宋体" w:hAnsi="宋体"/>
          <w:sz w:val="24"/>
          <w:lang w:eastAsia="zh-CN"/>
        </w:rPr>
        <w:t>四、评标方法</w:t>
      </w:r>
    </w:p>
    <w:p>
      <w:pPr>
        <w:spacing w:line="360" w:lineRule="auto"/>
        <w:ind w:firstLine="600" w:firstLineChars="250"/>
        <w:rPr>
          <w:rFonts w:hint="eastAsia" w:ascii="宋体" w:hAnsi="宋体"/>
          <w:sz w:val="24"/>
          <w:lang w:val="en-US" w:eastAsia="zh-CN"/>
        </w:rPr>
      </w:pPr>
      <w:r>
        <w:rPr>
          <w:rFonts w:hint="eastAsia" w:ascii="宋体" w:hAnsi="宋体"/>
          <w:sz w:val="24"/>
          <w:lang w:val="en-US" w:eastAsia="zh-CN"/>
        </w:rPr>
        <w:t>在专家评标小组对投标人资质审核完成后，资质审核合格投标人报价最高者中标候选人。</w:t>
      </w:r>
    </w:p>
    <w:p>
      <w:pPr>
        <w:spacing w:line="360" w:lineRule="auto"/>
        <w:rPr>
          <w:rFonts w:hint="eastAsia" w:ascii="宋体" w:hAnsi="宋体"/>
          <w:sz w:val="24"/>
        </w:rPr>
      </w:pPr>
      <w:r>
        <w:rPr>
          <w:rFonts w:hint="eastAsia" w:ascii="宋体" w:hAnsi="宋体"/>
          <w:sz w:val="24"/>
        </w:rPr>
        <w:t xml:space="preserve">   </w:t>
      </w:r>
    </w:p>
    <w:p>
      <w:pPr>
        <w:spacing w:line="360" w:lineRule="auto"/>
        <w:rPr>
          <w:rFonts w:hint="eastAsia" w:ascii="宋体" w:hAnsi="宋体"/>
          <w:sz w:val="24"/>
        </w:rPr>
      </w:pPr>
    </w:p>
    <w:p>
      <w:pPr>
        <w:spacing w:line="360" w:lineRule="auto"/>
        <w:rPr>
          <w:rFonts w:hint="eastAsia" w:ascii="宋体" w:hAnsi="宋体"/>
          <w:sz w:val="24"/>
        </w:rPr>
      </w:pPr>
    </w:p>
    <w:p>
      <w:pPr>
        <w:spacing w:line="360" w:lineRule="auto"/>
        <w:rPr>
          <w:rFonts w:hint="eastAsia" w:ascii="宋体" w:hAnsi="宋体"/>
          <w:sz w:val="24"/>
        </w:rPr>
      </w:pPr>
    </w:p>
    <w:p>
      <w:pPr>
        <w:spacing w:line="360" w:lineRule="auto"/>
        <w:rPr>
          <w:rFonts w:hint="eastAsia" w:ascii="宋体" w:hAnsi="宋体"/>
          <w:sz w:val="24"/>
        </w:rPr>
      </w:pPr>
    </w:p>
    <w:p>
      <w:pPr>
        <w:spacing w:line="360" w:lineRule="auto"/>
        <w:rPr>
          <w:rFonts w:hint="eastAsia" w:ascii="宋体" w:hAnsi="宋体"/>
          <w:b/>
          <w:bCs/>
          <w:sz w:val="32"/>
          <w:szCs w:val="32"/>
        </w:rPr>
      </w:pPr>
      <w:r>
        <w:rPr>
          <w:rFonts w:hint="eastAsia" w:ascii="宋体" w:hAnsi="宋体"/>
          <w:b/>
          <w:bCs/>
          <w:sz w:val="32"/>
          <w:szCs w:val="32"/>
        </w:rPr>
        <w:t>附件2</w:t>
      </w:r>
    </w:p>
    <w:p>
      <w:pPr>
        <w:jc w:val="center"/>
        <w:rPr>
          <w:rFonts w:hint="eastAsia"/>
          <w:b/>
          <w:sz w:val="44"/>
          <w:szCs w:val="44"/>
        </w:rPr>
      </w:pPr>
      <w:r>
        <w:rPr>
          <w:rFonts w:hint="eastAsia"/>
          <w:b/>
          <w:sz w:val="44"/>
          <w:szCs w:val="44"/>
        </w:rPr>
        <w:t>报  价  单</w:t>
      </w:r>
    </w:p>
    <w:p>
      <w:pPr>
        <w:rPr>
          <w:rFonts w:hint="eastAsia"/>
          <w:sz w:val="28"/>
          <w:szCs w:val="28"/>
        </w:rPr>
      </w:pPr>
    </w:p>
    <w:p>
      <w:pPr>
        <w:rPr>
          <w:rFonts w:hint="eastAsia"/>
          <w:sz w:val="32"/>
          <w:szCs w:val="32"/>
        </w:rPr>
      </w:pPr>
      <w:r>
        <w:rPr>
          <w:rFonts w:hint="eastAsia"/>
          <w:sz w:val="32"/>
          <w:szCs w:val="32"/>
        </w:rPr>
        <w:t>南通大学保卫处：</w:t>
      </w:r>
    </w:p>
    <w:p>
      <w:pPr>
        <w:ind w:firstLine="720" w:firstLineChars="225"/>
        <w:rPr>
          <w:rFonts w:hint="eastAsia"/>
          <w:sz w:val="32"/>
          <w:szCs w:val="32"/>
        </w:rPr>
      </w:pPr>
      <w:r>
        <w:rPr>
          <w:rFonts w:hint="eastAsia"/>
          <w:sz w:val="32"/>
          <w:szCs w:val="32"/>
        </w:rPr>
        <w:t xml:space="preserve">本单位（人）拟投 </w:t>
      </w:r>
      <w:r>
        <w:rPr>
          <w:rFonts w:hint="eastAsia"/>
          <w:sz w:val="32"/>
          <w:szCs w:val="32"/>
          <w:u w:val="single"/>
        </w:rPr>
        <w:t>(标段       ）</w:t>
      </w:r>
      <w:r>
        <w:rPr>
          <w:rFonts w:hint="eastAsia"/>
          <w:sz w:val="32"/>
          <w:szCs w:val="32"/>
        </w:rPr>
        <w:t>、废旧物资回收秩序管理服务项目，一年管理费报价为____________元。</w:t>
      </w:r>
    </w:p>
    <w:p>
      <w:pPr>
        <w:rPr>
          <w:rFonts w:hint="eastAsia"/>
          <w:sz w:val="32"/>
          <w:szCs w:val="32"/>
        </w:rPr>
      </w:pPr>
    </w:p>
    <w:p>
      <w:pPr>
        <w:ind w:firstLine="2880" w:firstLineChars="900"/>
        <w:rPr>
          <w:rFonts w:hint="eastAsia"/>
          <w:sz w:val="32"/>
          <w:szCs w:val="32"/>
        </w:rPr>
      </w:pPr>
      <w:r>
        <w:rPr>
          <w:rFonts w:hint="eastAsia"/>
          <w:sz w:val="32"/>
          <w:szCs w:val="32"/>
        </w:rPr>
        <w:t>报价单位（个人）：</w:t>
      </w:r>
    </w:p>
    <w:p>
      <w:pPr>
        <w:ind w:firstLine="2880" w:firstLineChars="900"/>
        <w:rPr>
          <w:rFonts w:hint="eastAsia"/>
          <w:sz w:val="32"/>
          <w:szCs w:val="32"/>
        </w:rPr>
      </w:pPr>
      <w:r>
        <w:rPr>
          <w:rFonts w:hint="eastAsia"/>
          <w:sz w:val="32"/>
          <w:szCs w:val="32"/>
        </w:rPr>
        <w:t>手机号码：</w:t>
      </w:r>
    </w:p>
    <w:p>
      <w:pPr>
        <w:ind w:firstLine="5040" w:firstLineChars="1575"/>
        <w:rPr>
          <w:rFonts w:hint="eastAsia"/>
          <w:sz w:val="32"/>
          <w:szCs w:val="32"/>
        </w:rPr>
      </w:pPr>
    </w:p>
    <w:p>
      <w:pPr>
        <w:ind w:firstLine="5040" w:firstLineChars="1575"/>
        <w:rPr>
          <w:rFonts w:hint="eastAsia"/>
          <w:sz w:val="32"/>
          <w:szCs w:val="32"/>
        </w:rPr>
      </w:pPr>
      <w:r>
        <w:rPr>
          <w:rFonts w:hint="eastAsia"/>
          <w:sz w:val="32"/>
          <w:szCs w:val="32"/>
        </w:rPr>
        <w:t>2016年  月  日</w:t>
      </w:r>
    </w:p>
    <w:p>
      <w:pPr>
        <w:ind w:firstLine="5040" w:firstLineChars="1575"/>
        <w:rPr>
          <w:rFonts w:hint="eastAsia"/>
          <w:sz w:val="32"/>
          <w:szCs w:val="32"/>
        </w:rPr>
      </w:pPr>
    </w:p>
    <w:p>
      <w:pPr>
        <w:ind w:firstLine="5040" w:firstLineChars="1575"/>
        <w:rPr>
          <w:rFonts w:hint="eastAsia"/>
          <w:sz w:val="32"/>
          <w:szCs w:val="32"/>
        </w:rPr>
      </w:pPr>
    </w:p>
    <w:p>
      <w:pPr>
        <w:ind w:firstLine="5040" w:firstLineChars="1575"/>
        <w:rPr>
          <w:rFonts w:hint="eastAsia"/>
          <w:sz w:val="32"/>
          <w:szCs w:val="32"/>
        </w:rPr>
      </w:pPr>
    </w:p>
    <w:p>
      <w:pPr>
        <w:ind w:firstLine="5040" w:firstLineChars="1575"/>
        <w:rPr>
          <w:rFonts w:hint="eastAsia"/>
          <w:sz w:val="32"/>
          <w:szCs w:val="32"/>
        </w:rPr>
      </w:pPr>
    </w:p>
    <w:p>
      <w:pPr>
        <w:ind w:firstLine="5040" w:firstLineChars="1575"/>
        <w:rPr>
          <w:rFonts w:hint="eastAsia"/>
          <w:sz w:val="32"/>
          <w:szCs w:val="32"/>
        </w:rPr>
      </w:pPr>
    </w:p>
    <w:p>
      <w:pPr>
        <w:spacing w:line="360" w:lineRule="auto"/>
        <w:ind w:firstLine="480" w:firstLineChars="200"/>
        <w:rPr>
          <w:rFonts w:hint="eastAsia" w:ascii="宋体" w:hAnsi="宋体"/>
          <w:sz w:val="24"/>
        </w:rPr>
      </w:pPr>
    </w:p>
    <w:p>
      <w:pPr>
        <w:ind w:firstLine="360" w:firstLineChars="150"/>
        <w:jc w:val="left"/>
        <w:rPr>
          <w:rFonts w:hint="eastAsia" w:ascii="仿宋" w:eastAsia="仿宋" w:cs="仿宋"/>
          <w:sz w:val="24"/>
        </w:rPr>
      </w:pPr>
    </w:p>
    <w:p>
      <w:pPr/>
    </w:p>
    <w:sectPr>
      <w:headerReference r:id="rId5" w:type="first"/>
      <w:footerReference r:id="rId8" w:type="first"/>
      <w:headerReference r:id="rId3" w:type="default"/>
      <w:footerReference r:id="rId6" w:type="default"/>
      <w:headerReference r:id="rId4" w:type="even"/>
      <w:footerReference r:id="rId7" w:type="even"/>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10002FF" w:usb1="4000ACFF" w:usb2="00000009"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modern"/>
    <w:pitch w:val="default"/>
    <w:sig w:usb0="E00002FF" w:usb1="400004FF" w:usb2="00000000" w:usb3="00000000" w:csb0="2000019F" w:csb1="00000000"/>
  </w:font>
  <w:font w:name="Calibri">
    <w:panose1 w:val="020F0502020204030204"/>
    <w:charset w:val="00"/>
    <w:family w:val="decorative"/>
    <w:pitch w:val="default"/>
    <w:sig w:usb0="E10002FF" w:usb1="4000ACFF" w:usb2="00000009" w:usb3="00000000" w:csb0="2000019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747E9CE"/>
    <w:multiLevelType w:val="singleLevel"/>
    <w:tmpl w:val="5747E9CE"/>
    <w:lvl w:ilvl="0" w:tentative="0">
      <w:start w:val="1"/>
      <w:numFmt w:val="chineseCounting"/>
      <w:suff w:val="nothing"/>
      <w:lvlText w:val="%1、"/>
      <w:lvlJc w:val="left"/>
    </w:lvl>
  </w:abstractNum>
  <w:abstractNum w:abstractNumId="1">
    <w:nsid w:val="5747EA97"/>
    <w:multiLevelType w:val="singleLevel"/>
    <w:tmpl w:val="5747EA97"/>
    <w:lvl w:ilvl="0" w:tentative="0">
      <w:start w:val="1"/>
      <w:numFmt w:val="decimal"/>
      <w:suff w:val="nothing"/>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7950092"/>
    <w:rsid w:val="0AD56854"/>
    <w:rsid w:val="77950092"/>
  </w:rsid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eastAsia="宋体" w:asciiTheme="minorHAnsi" w:hAnsiTheme="minorHAnsi" w:cstheme="minorBidi"/>
      <w:kern w:val="2"/>
      <w:sz w:val="21"/>
      <w:szCs w:val="24"/>
      <w:lang w:val="en-US" w:eastAsia="zh-CN" w:bidi="ar-SA"/>
    </w:rPr>
  </w:style>
  <w:style w:type="character" w:default="1" w:styleId="4">
    <w:name w:val="Default Paragraph Font"/>
    <w:semiHidden/>
    <w:uiPriority w:val="0"/>
  </w:style>
  <w:style w:type="table" w:default="1" w:styleId="5">
    <w:name w:val="Normal Table"/>
    <w:semiHidden/>
    <w:uiPriority w:val="0"/>
    <w:tblPr>
      <w:tblLayout w:type="fixed"/>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szCs w:val="18"/>
    </w:rPr>
  </w:style>
  <w:style w:type="paragraph" w:styleId="3">
    <w:name w:val="header"/>
    <w:basedOn w:val="1"/>
    <w:uiPriority w:val="0"/>
    <w:pPr>
      <w:pBdr>
        <w:bottom w:val="single" w:color="auto" w:sz="6" w:space="1"/>
      </w:pBdr>
      <w:tabs>
        <w:tab w:val="center" w:pos="4153"/>
        <w:tab w:val="right" w:pos="8306"/>
      </w:tabs>
      <w:snapToGrid w:val="0"/>
      <w:jc w:val="center"/>
    </w:pPr>
    <w:rPr>
      <w:sz w:val="18"/>
      <w:szCs w:val="18"/>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Office_10.1.0.5740_F1E327BC-269C-435d-A152-05C5408002CA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2016-06-01T01:47:00Z</dcterms:created>
  <dc:creator>Administrator</dc:creator>
  <cp:lastModifiedBy>Administrator</cp:lastModifiedBy>
  <dcterms:modified xsi:type="dcterms:W3CDTF">2016-06-03T08:13:21Z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2052-10.1.0.5740</vt:lpwstr>
  </property>
</Properties>
</file>