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竞争性磋商采购文件</w:t>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t xml:space="preserve"> </w:t>
      </w:r>
    </w:p>
    <w:p>
      <w:pPr>
        <w:ind w:firstLine="1744" w:firstLineChars="545"/>
        <w:rPr>
          <w:rFonts w:ascii="宋体"/>
          <w:color w:val="000000" w:themeColor="text1"/>
          <w:sz w:val="32"/>
          <w14:textFill>
            <w14:solidFill>
              <w14:schemeClr w14:val="tx1"/>
            </w14:solidFill>
          </w14:textFill>
        </w:rPr>
      </w:pPr>
    </w:p>
    <w:p>
      <w:pPr>
        <w:spacing w:line="300" w:lineRule="auto"/>
        <w:ind w:firstLine="964" w:firstLineChars="300"/>
        <w:rPr>
          <w:rFonts w:hint="eastAsia" w:ascii="宋体" w:hAnsi="宋体"/>
          <w:b/>
          <w:color w:val="000000" w:themeColor="text1"/>
          <w:sz w:val="32"/>
          <w:szCs w:val="32"/>
          <w14:textFill>
            <w14:solidFill>
              <w14:schemeClr w14:val="tx1"/>
            </w14:solidFill>
          </w14:textFill>
        </w:rPr>
      </w:pPr>
    </w:p>
    <w:p>
      <w:pPr>
        <w:spacing w:line="300" w:lineRule="auto"/>
        <w:ind w:firstLine="964" w:firstLineChars="3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eastAsia="宋体" w:cs="宋体"/>
          <w:b/>
          <w:color w:val="000000"/>
          <w:sz w:val="32"/>
          <w:szCs w:val="32"/>
        </w:rPr>
        <w:t>南通大学</w:t>
      </w:r>
      <w:r>
        <w:rPr>
          <w:rFonts w:hint="eastAsia" w:ascii="宋体" w:hAnsi="宋体" w:cs="宋体"/>
          <w:b/>
          <w:color w:val="000000"/>
          <w:sz w:val="32"/>
          <w:szCs w:val="32"/>
          <w:lang w:val="en-US" w:eastAsia="zh-CN"/>
        </w:rPr>
        <w:t>啬园校区部分</w:t>
      </w:r>
      <w:r>
        <w:rPr>
          <w:rFonts w:hint="eastAsia" w:ascii="宋体" w:hAnsi="宋体" w:eastAsia="宋体" w:cs="宋体"/>
          <w:b/>
          <w:color w:val="000000"/>
          <w:sz w:val="32"/>
          <w:szCs w:val="32"/>
        </w:rPr>
        <w:t>中央空调维修保养</w:t>
      </w:r>
    </w:p>
    <w:p>
      <w:pPr>
        <w:spacing w:line="360" w:lineRule="auto"/>
        <w:ind w:firstLine="964" w:firstLineChars="3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TDHW(JC)2021-</w:t>
      </w:r>
      <w:r>
        <w:rPr>
          <w:rFonts w:hint="eastAsia" w:ascii="宋体" w:hAnsi="宋体"/>
          <w:b/>
          <w:color w:val="000000" w:themeColor="text1"/>
          <w:sz w:val="32"/>
          <w:szCs w:val="32"/>
          <w:lang w:val="en-US" w:eastAsia="zh-CN"/>
          <w14:textFill>
            <w14:solidFill>
              <w14:schemeClr w14:val="tx1"/>
            </w14:solidFill>
          </w14:textFill>
        </w:rPr>
        <w:t>197</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9"/>
        <w:ind w:left="0" w:leftChars="0"/>
        <w:jc w:val="center"/>
        <w:rPr>
          <w:rFonts w:ascii="宋体" w:hAnsi="宋体" w:eastAsia="宋体"/>
          <w:b/>
          <w:color w:val="000000" w:themeColor="text1"/>
          <w:sz w:val="32"/>
          <w:szCs w:val="32"/>
          <w14:textFill>
            <w14:solidFill>
              <w14:schemeClr w14:val="tx1"/>
            </w14:solidFill>
          </w14:textFill>
        </w:rPr>
      </w:pPr>
      <w:r>
        <w:rPr>
          <w:rFonts w:ascii="宋体" w:hAnsi="宋体" w:eastAsia="宋体"/>
          <w:b/>
          <w:color w:val="000000" w:themeColor="text1"/>
          <w:sz w:val="32"/>
          <w:szCs w:val="32"/>
          <w14:textFill>
            <w14:solidFill>
              <w14:schemeClr w14:val="tx1"/>
            </w14:solidFill>
          </w14:textFill>
        </w:rPr>
        <w:t>20</w:t>
      </w:r>
      <w:r>
        <w:rPr>
          <w:rFonts w:hint="eastAsia" w:ascii="宋体" w:hAnsi="宋体" w:eastAsia="宋体"/>
          <w:b/>
          <w:color w:val="000000" w:themeColor="text1"/>
          <w:sz w:val="32"/>
          <w:szCs w:val="32"/>
          <w14:textFill>
            <w14:solidFill>
              <w14:schemeClr w14:val="tx1"/>
            </w14:solidFill>
          </w14:textFill>
        </w:rPr>
        <w:t>21年</w:t>
      </w:r>
      <w:r>
        <w:rPr>
          <w:rFonts w:ascii="宋体" w:hAnsi="宋体" w:eastAsia="宋体"/>
          <w:b/>
          <w:color w:val="000000" w:themeColor="text1"/>
          <w:sz w:val="32"/>
          <w:szCs w:val="32"/>
          <w14:textFill>
            <w14:solidFill>
              <w14:schemeClr w14:val="tx1"/>
            </w14:solidFill>
          </w14:textFill>
        </w:rPr>
        <w:t>1</w:t>
      </w:r>
      <w:r>
        <w:rPr>
          <w:rFonts w:hint="eastAsia" w:ascii="宋体" w:hAnsi="宋体" w:eastAsia="宋体"/>
          <w:b/>
          <w:color w:val="000000" w:themeColor="text1"/>
          <w:sz w:val="32"/>
          <w:szCs w:val="32"/>
          <w:lang w:val="en-US" w:eastAsia="zh-CN"/>
          <w14:textFill>
            <w14:solidFill>
              <w14:schemeClr w14:val="tx1"/>
            </w14:solidFill>
          </w14:textFill>
        </w:rPr>
        <w:t>2</w:t>
      </w:r>
      <w:r>
        <w:rPr>
          <w:rFonts w:hint="eastAsia" w:ascii="宋体" w:hAnsi="宋体" w:eastAsia="宋体"/>
          <w:b/>
          <w:color w:val="000000" w:themeColor="text1"/>
          <w:sz w:val="32"/>
          <w:szCs w:val="32"/>
          <w14:textFill>
            <w14:solidFill>
              <w14:schemeClr w14:val="tx1"/>
            </w14:solidFill>
          </w14:textFill>
        </w:rPr>
        <w:t>月</w:t>
      </w:r>
    </w:p>
    <w:p/>
    <w:p>
      <w:pPr>
        <w:spacing w:after="312" w:afterLines="100" w:line="500" w:lineRule="exact"/>
        <w:jc w:val="center"/>
      </w:pPr>
      <w:r>
        <w:rPr>
          <w:rStyle w:val="24"/>
          <w:rFonts w:hint="eastAsia" w:eastAsia="黑体"/>
          <w:bCs/>
          <w:color w:val="000000" w:themeColor="text1"/>
          <w:sz w:val="48"/>
          <w:u w:val="none"/>
          <w14:textFill>
            <w14:solidFill>
              <w14:schemeClr w14:val="tx1"/>
            </w14:solidFill>
          </w14:textFill>
        </w:rPr>
        <w:t>目</w:t>
      </w:r>
      <w:r>
        <w:rPr>
          <w:rStyle w:val="24"/>
          <w:rFonts w:eastAsia="黑体"/>
          <w:bCs/>
          <w:color w:val="000000" w:themeColor="text1"/>
          <w:sz w:val="48"/>
          <w:u w:val="none"/>
          <w14:textFill>
            <w14:solidFill>
              <w14:schemeClr w14:val="tx1"/>
            </w14:solidFill>
          </w14:textFill>
        </w:rPr>
        <w:t xml:space="preserve">  </w:t>
      </w:r>
      <w:r>
        <w:rPr>
          <w:rStyle w:val="24"/>
          <w:rFonts w:hint="eastAsia" w:eastAsia="黑体"/>
          <w:bCs/>
          <w:color w:val="000000" w:themeColor="text1"/>
          <w:sz w:val="48"/>
          <w:u w:val="none"/>
          <w14:textFill>
            <w14:solidFill>
              <w14:schemeClr w14:val="tx1"/>
            </w14:solidFill>
          </w14:textFill>
        </w:rPr>
        <w:t>录</w:t>
      </w:r>
      <w:r>
        <w:rPr>
          <w:rStyle w:val="24"/>
          <w:rFonts w:eastAsia="黑体"/>
          <w:bCs/>
          <w:color w:val="000000" w:themeColor="text1"/>
          <w:sz w:val="24"/>
          <w:u w:val="none"/>
          <w14:textFill>
            <w14:solidFill>
              <w14:schemeClr w14:val="tx1"/>
            </w14:solidFill>
          </w14:textFill>
        </w:rPr>
        <w:fldChar w:fldCharType="begin"/>
      </w:r>
      <w:r>
        <w:rPr>
          <w:rStyle w:val="24"/>
          <w:rFonts w:eastAsia="黑体"/>
          <w:bCs/>
          <w:color w:val="000000" w:themeColor="text1"/>
          <w:sz w:val="24"/>
          <w:u w:val="none"/>
          <w14:textFill>
            <w14:solidFill>
              <w14:schemeClr w14:val="tx1"/>
            </w14:solidFill>
          </w14:textFill>
        </w:rPr>
        <w:instrText xml:space="preserve"> TOC \o "1-3" \h \z \u </w:instrText>
      </w:r>
      <w:r>
        <w:rPr>
          <w:rStyle w:val="24"/>
          <w:rFonts w:eastAsia="黑体"/>
          <w:bCs/>
          <w:color w:val="000000" w:themeColor="text1"/>
          <w:sz w:val="24"/>
          <w:u w:val="none"/>
          <w14:textFill>
            <w14:solidFill>
              <w14:schemeClr w14:val="tx1"/>
            </w14:solidFill>
          </w14:textFill>
        </w:rPr>
        <w:fldChar w:fldCharType="separate"/>
      </w:r>
    </w:p>
    <w:p>
      <w:pPr>
        <w:pStyle w:val="14"/>
        <w:tabs>
          <w:tab w:val="right" w:leader="dot" w:pos="8834"/>
        </w:tabs>
        <w:rPr>
          <w:rFonts w:asciiTheme="minorHAnsi" w:hAnsiTheme="minorHAnsi" w:eastAsiaTheme="minorEastAsia" w:cstheme="minorBidi"/>
          <w:szCs w:val="22"/>
        </w:rPr>
      </w:pPr>
      <w:r>
        <w:fldChar w:fldCharType="begin"/>
      </w:r>
      <w:r>
        <w:instrText xml:space="preserve"> HYPERLINK \l "_Toc80692419" </w:instrText>
      </w:r>
      <w:r>
        <w:fldChar w:fldCharType="separate"/>
      </w:r>
      <w:r>
        <w:rPr>
          <w:rStyle w:val="25"/>
        </w:rPr>
        <w:t>第一部分  竞争性磋商采购公告</w:t>
      </w:r>
      <w:r>
        <w:tab/>
      </w:r>
      <w:r>
        <w:fldChar w:fldCharType="begin"/>
      </w:r>
      <w:r>
        <w:instrText xml:space="preserve"> PAGEREF _Toc80692419 \h </w:instrText>
      </w:r>
      <w:r>
        <w:fldChar w:fldCharType="separate"/>
      </w:r>
      <w:r>
        <w:t>2</w:t>
      </w:r>
      <w:r>
        <w:fldChar w:fldCharType="end"/>
      </w:r>
      <w:r>
        <w:fldChar w:fldCharType="end"/>
      </w:r>
    </w:p>
    <w:p>
      <w:pPr>
        <w:pStyle w:val="14"/>
        <w:tabs>
          <w:tab w:val="right" w:leader="dot" w:pos="8834"/>
        </w:tabs>
        <w:rPr>
          <w:rFonts w:asciiTheme="minorHAnsi" w:hAnsiTheme="minorHAnsi" w:eastAsiaTheme="minorEastAsia" w:cstheme="minorBidi"/>
          <w:szCs w:val="22"/>
        </w:rPr>
      </w:pPr>
      <w:r>
        <w:fldChar w:fldCharType="begin"/>
      </w:r>
      <w:r>
        <w:instrText xml:space="preserve"> HYPERLINK \l "_Toc80692420" </w:instrText>
      </w:r>
      <w:r>
        <w:fldChar w:fldCharType="separate"/>
      </w:r>
      <w:r>
        <w:rPr>
          <w:rStyle w:val="25"/>
        </w:rPr>
        <w:t>第二部分  投标人须知</w:t>
      </w:r>
      <w:r>
        <w:tab/>
      </w:r>
      <w:r>
        <w:fldChar w:fldCharType="begin"/>
      </w:r>
      <w:r>
        <w:instrText xml:space="preserve"> PAGEREF _Toc80692420 \h </w:instrText>
      </w:r>
      <w:r>
        <w:fldChar w:fldCharType="separate"/>
      </w:r>
      <w:r>
        <w:t>4</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"_Toc80692421" </w:instrText>
      </w:r>
      <w:r>
        <w:fldChar w:fldCharType="separate"/>
      </w:r>
      <w:r>
        <w:rPr>
          <w:rStyle w:val="25"/>
        </w:rPr>
        <w:t>一、竞争性磋商文件</w:t>
      </w:r>
      <w:r>
        <w:tab/>
      </w:r>
      <w:r>
        <w:fldChar w:fldCharType="begin"/>
      </w:r>
      <w:r>
        <w:instrText xml:space="preserve"> PAGEREF _Toc80692421 \h </w:instrText>
      </w:r>
      <w:r>
        <w:fldChar w:fldCharType="separate"/>
      </w:r>
      <w:r>
        <w:t>4</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"_Toc80692422" </w:instrText>
      </w:r>
      <w:r>
        <w:fldChar w:fldCharType="separate"/>
      </w:r>
      <w:r>
        <w:rPr>
          <w:rStyle w:val="25"/>
        </w:rPr>
        <w:t>二、投标文件</w:t>
      </w:r>
      <w:r>
        <w:tab/>
      </w:r>
      <w:r>
        <w:fldChar w:fldCharType="begin"/>
      </w:r>
      <w:r>
        <w:instrText xml:space="preserve"> PAGEREF _Toc80692422 \h </w:instrText>
      </w:r>
      <w:r>
        <w:fldChar w:fldCharType="separate"/>
      </w:r>
      <w:r>
        <w:t>5</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"_Toc80692423" </w:instrText>
      </w:r>
      <w:r>
        <w:fldChar w:fldCharType="separate"/>
      </w:r>
      <w:r>
        <w:rPr>
          <w:rStyle w:val="25"/>
        </w:rPr>
        <w:t>三、投标细则</w:t>
      </w:r>
      <w:r>
        <w:tab/>
      </w:r>
      <w:r>
        <w:fldChar w:fldCharType="begin"/>
      </w:r>
      <w:r>
        <w:instrText xml:space="preserve"> PAGEREF _Toc80692423 \h </w:instrText>
      </w:r>
      <w:r>
        <w:fldChar w:fldCharType="separate"/>
      </w:r>
      <w:r>
        <w:t>6</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"_Toc80692424" </w:instrText>
      </w:r>
      <w:r>
        <w:fldChar w:fldCharType="separate"/>
      </w:r>
      <w:r>
        <w:rPr>
          <w:rStyle w:val="25"/>
        </w:rPr>
        <w:t>四、谈判</w:t>
      </w:r>
      <w:r>
        <w:tab/>
      </w:r>
      <w:r>
        <w:fldChar w:fldCharType="begin"/>
      </w:r>
      <w:r>
        <w:instrText xml:space="preserve"> PAGEREF _Toc80692424 \h </w:instrText>
      </w:r>
      <w:r>
        <w:fldChar w:fldCharType="separate"/>
      </w:r>
      <w:r>
        <w:t>7</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"_Toc80692425" </w:instrText>
      </w:r>
      <w:r>
        <w:fldChar w:fldCharType="separate"/>
      </w:r>
      <w:r>
        <w:rPr>
          <w:rStyle w:val="25"/>
        </w:rPr>
        <w:t>五、竞争性磋商方法及评判标准</w:t>
      </w:r>
      <w:r>
        <w:tab/>
      </w:r>
      <w:r>
        <w:fldChar w:fldCharType="begin"/>
      </w:r>
      <w:r>
        <w:instrText xml:space="preserve"> PAGEREF _Toc80692425 \h </w:instrText>
      </w:r>
      <w:r>
        <w:fldChar w:fldCharType="separate"/>
      </w:r>
      <w:r>
        <w:t>8</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"_Toc80692426" </w:instrText>
      </w:r>
      <w:r>
        <w:fldChar w:fldCharType="separate"/>
      </w:r>
      <w:r>
        <w:rPr>
          <w:rStyle w:val="25"/>
        </w:rPr>
        <w:t>六、定标</w:t>
      </w:r>
      <w:r>
        <w:tab/>
      </w:r>
      <w:r>
        <w:fldChar w:fldCharType="begin"/>
      </w:r>
      <w:r>
        <w:instrText xml:space="preserve"> PAGEREF _Toc80692426 \h </w:instrText>
      </w:r>
      <w:r>
        <w:fldChar w:fldCharType="separate"/>
      </w:r>
      <w:r>
        <w:t>12</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"_Toc80692427" </w:instrText>
      </w:r>
      <w:r>
        <w:fldChar w:fldCharType="separate"/>
      </w:r>
      <w:r>
        <w:rPr>
          <w:rStyle w:val="25"/>
        </w:rPr>
        <w:t>七、合同的签订</w:t>
      </w:r>
      <w:r>
        <w:tab/>
      </w:r>
      <w:r>
        <w:fldChar w:fldCharType="begin"/>
      </w:r>
      <w:r>
        <w:instrText xml:space="preserve"> PAGEREF _Toc80692427 \h </w:instrText>
      </w:r>
      <w:r>
        <w:fldChar w:fldCharType="separate"/>
      </w:r>
      <w:r>
        <w:t>12</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"_Toc80692428" </w:instrText>
      </w:r>
      <w:r>
        <w:fldChar w:fldCharType="separate"/>
      </w:r>
      <w:r>
        <w:rPr>
          <w:rStyle w:val="25"/>
          <w:rFonts w:ascii="宋体" w:hAnsi="宋体"/>
        </w:rPr>
        <w:t>八、其他</w:t>
      </w:r>
      <w:r>
        <w:tab/>
      </w:r>
      <w:r>
        <w:fldChar w:fldCharType="begin"/>
      </w:r>
      <w:r>
        <w:instrText xml:space="preserve"> PAGEREF _Toc80692428 \h </w:instrText>
      </w:r>
      <w:r>
        <w:fldChar w:fldCharType="separate"/>
      </w:r>
      <w:r>
        <w:t>12</w:t>
      </w:r>
      <w:r>
        <w:fldChar w:fldCharType="end"/>
      </w:r>
      <w:r>
        <w:fldChar w:fldCharType="end"/>
      </w:r>
    </w:p>
    <w:p>
      <w:pPr>
        <w:pStyle w:val="14"/>
        <w:tabs>
          <w:tab w:val="right" w:leader="dot" w:pos="8834"/>
        </w:tabs>
        <w:rPr>
          <w:rFonts w:asciiTheme="minorHAnsi" w:hAnsiTheme="minorHAnsi" w:eastAsiaTheme="minorEastAsia" w:cstheme="minorBidi"/>
          <w:szCs w:val="22"/>
        </w:rPr>
      </w:pPr>
      <w:r>
        <w:fldChar w:fldCharType="begin"/>
      </w:r>
      <w:r>
        <w:instrText xml:space="preserve"> HYPERLINK \l "_Toc80692429" </w:instrText>
      </w:r>
      <w:r>
        <w:fldChar w:fldCharType="separate"/>
      </w:r>
      <w:r>
        <w:rPr>
          <w:rStyle w:val="25"/>
        </w:rPr>
        <w:t>第三部分 采购货物要求及相关说明</w:t>
      </w:r>
      <w:r>
        <w:tab/>
      </w:r>
      <w:r>
        <w:fldChar w:fldCharType="begin"/>
      </w:r>
      <w:r>
        <w:instrText xml:space="preserve"> PAGEREF _Toc80692429 \h </w:instrText>
      </w:r>
      <w:r>
        <w:fldChar w:fldCharType="separate"/>
      </w:r>
      <w:r>
        <w:t>13</w:t>
      </w:r>
      <w:r>
        <w:fldChar w:fldCharType="end"/>
      </w:r>
      <w:r>
        <w:fldChar w:fldCharType="end"/>
      </w:r>
    </w:p>
    <w:p>
      <w:pPr>
        <w:pStyle w:val="14"/>
        <w:tabs>
          <w:tab w:val="right" w:leader="dot" w:pos="8834"/>
        </w:tabs>
      </w:pPr>
      <w:r>
        <w:fldChar w:fldCharType="begin"/>
      </w:r>
      <w:r>
        <w:instrText xml:space="preserve"> HYPERLINK \l "_Toc80692430" </w:instrText>
      </w:r>
      <w:r>
        <w:fldChar w:fldCharType="separate"/>
      </w:r>
      <w:r>
        <w:rPr>
          <w:rStyle w:val="25"/>
        </w:rPr>
        <w:t>第四部分 合同主要条款</w:t>
      </w:r>
      <w:r>
        <w:tab/>
      </w:r>
      <w:r>
        <w:fldChar w:fldCharType="begin"/>
      </w:r>
      <w:r>
        <w:instrText xml:space="preserve"> PAGEREF _Toc80692430 \h </w:instrText>
      </w:r>
      <w:r>
        <w:fldChar w:fldCharType="separate"/>
      </w:r>
      <w:r>
        <w:t>14</w:t>
      </w:r>
      <w:r>
        <w:fldChar w:fldCharType="end"/>
      </w:r>
      <w:r>
        <w:fldChar w:fldCharType="end"/>
      </w:r>
    </w:p>
    <w:p>
      <w:pPr>
        <w:pStyle w:val="14"/>
        <w:tabs>
          <w:tab w:val="right" w:leader="dot" w:pos="8820"/>
        </w:tabs>
        <w:rPr>
          <w:rFonts w:asciiTheme="minorHAnsi" w:hAnsiTheme="minorHAnsi" w:eastAsiaTheme="minorEastAsia" w:cstheme="minorBidi"/>
          <w:szCs w:val="22"/>
        </w:rPr>
      </w:pPr>
      <w:r>
        <w:fldChar w:fldCharType="begin"/>
      </w:r>
      <w:r>
        <w:instrText xml:space="preserve"> HYPERLINK \l "_Toc86092599" </w:instrText>
      </w:r>
      <w:r>
        <w:fldChar w:fldCharType="separate"/>
      </w:r>
      <w:r>
        <w:rPr>
          <w:rStyle w:val="25"/>
          <w:rFonts w:hint="eastAsia"/>
        </w:rPr>
        <w:t>第五部分</w:t>
      </w:r>
      <w:r>
        <w:rPr>
          <w:rStyle w:val="25"/>
          <w:rFonts w:hint="eastAsia"/>
          <w:lang w:val="en-US" w:eastAsia="zh-CN"/>
        </w:rPr>
        <w:t xml:space="preserve"> </w:t>
      </w:r>
      <w:r>
        <w:rPr>
          <w:rStyle w:val="25"/>
          <w:rFonts w:hint="eastAsia"/>
        </w:rPr>
        <w:t>附件</w:t>
      </w:r>
      <w:r>
        <w:fldChar w:fldCharType="end"/>
      </w:r>
      <w:r>
        <w:tab/>
      </w:r>
      <w:r>
        <w:fldChar w:fldCharType="begin"/>
      </w:r>
      <w:r>
        <w:instrText xml:space="preserve"> PAGEREF _Toc80692431 \h </w:instrText>
      </w:r>
      <w:r>
        <w:fldChar w:fldCharType="separate"/>
      </w:r>
      <w:r>
        <w:t>1</w:t>
      </w:r>
      <w:r>
        <w:rPr>
          <w:rFonts w:hint="eastAsia"/>
          <w:lang w:val="en-US" w:eastAsia="zh-CN"/>
        </w:rPr>
        <w:t>7</w:t>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"_Toc80692431" </w:instrText>
      </w:r>
      <w:r>
        <w:fldChar w:fldCharType="separate"/>
      </w:r>
      <w:r>
        <w:rPr>
          <w:rStyle w:val="25"/>
          <w:rFonts w:ascii="宋体" w:hAnsi="宋体"/>
        </w:rPr>
        <w:t>附件1：投标函</w:t>
      </w:r>
      <w:r>
        <w:tab/>
      </w:r>
      <w:r>
        <w:fldChar w:fldCharType="begin"/>
      </w:r>
      <w:r>
        <w:instrText xml:space="preserve"> PAGEREF _Toc80692431 \h </w:instrText>
      </w:r>
      <w:r>
        <w:fldChar w:fldCharType="separate"/>
      </w:r>
      <w:r>
        <w:t>18</w:t>
      </w:r>
      <w:r>
        <w:fldChar w:fldCharType="end"/>
      </w:r>
      <w:r>
        <w:fldChar w:fldCharType="end"/>
      </w:r>
    </w:p>
    <w:p>
      <w:pPr>
        <w:pStyle w:val="15"/>
        <w:tabs>
          <w:tab w:val="right" w:leader="dot" w:pos="8834"/>
        </w:tabs>
        <w:rPr>
          <w:rFonts w:hint="eastAsia" w:eastAsia="宋体" w:asciiTheme="minorHAnsi" w:hAnsiTheme="minorHAnsi" w:cstheme="minorBidi"/>
          <w:szCs w:val="22"/>
          <w:lang w:val="en-US" w:eastAsia="zh-CN"/>
        </w:rPr>
      </w:pPr>
      <w:r>
        <w:fldChar w:fldCharType="begin"/>
      </w:r>
      <w:r>
        <w:instrText xml:space="preserve"> HYPERLINK \l "_Toc80692432" </w:instrText>
      </w:r>
      <w:r>
        <w:fldChar w:fldCharType="separate"/>
      </w:r>
      <w:r>
        <w:rPr>
          <w:rStyle w:val="25"/>
          <w:rFonts w:ascii="宋体" w:hAnsi="宋体"/>
        </w:rPr>
        <w:t>附件2：投 标 报 价 总 表</w:t>
      </w:r>
      <w:r>
        <w:tab/>
      </w:r>
      <w:r>
        <w:rPr>
          <w:rFonts w:hint="eastAsia"/>
          <w:lang w:val="en-US" w:eastAsia="zh-CN"/>
        </w:rPr>
        <w:t>1</w:t>
      </w:r>
      <w:r>
        <w:fldChar w:fldCharType="end"/>
      </w:r>
      <w:r>
        <w:rPr>
          <w:rFonts w:hint="eastAsia"/>
          <w:lang w:val="en-US" w:eastAsia="zh-CN"/>
        </w:rPr>
        <w:t>9</w:t>
      </w:r>
    </w:p>
    <w:p>
      <w:pPr>
        <w:pStyle w:val="15"/>
        <w:tabs>
          <w:tab w:val="right" w:leader="dot" w:pos="8834"/>
        </w:tabs>
        <w:rPr>
          <w:rFonts w:hint="eastAsia" w:eastAsia="宋体" w:asciiTheme="minorHAnsi" w:hAnsiTheme="minorHAnsi" w:cstheme="minorBidi"/>
          <w:szCs w:val="22"/>
          <w:lang w:val="en-US" w:eastAsia="zh-CN"/>
        </w:rPr>
      </w:pPr>
      <w:r>
        <w:fldChar w:fldCharType="begin"/>
      </w:r>
      <w:r>
        <w:instrText xml:space="preserve"> HYPERLINK \l "_Toc80692436" </w:instrText>
      </w:r>
      <w:r>
        <w:fldChar w:fldCharType="separate"/>
      </w:r>
      <w:r>
        <w:rPr>
          <w:rStyle w:val="25"/>
          <w:rFonts w:ascii="宋体" w:hAnsi="宋体"/>
        </w:rPr>
        <w:t>附件</w:t>
      </w:r>
      <w:r>
        <w:rPr>
          <w:rStyle w:val="25"/>
          <w:rFonts w:hint="eastAsia" w:ascii="宋体" w:hAnsi="宋体"/>
          <w:lang w:val="en-US" w:eastAsia="zh-CN"/>
        </w:rPr>
        <w:t>3</w:t>
      </w:r>
      <w:r>
        <w:rPr>
          <w:rStyle w:val="25"/>
          <w:rFonts w:ascii="宋体" w:hAnsi="宋体"/>
        </w:rPr>
        <w:t>：法定代表人资格证明</w:t>
      </w:r>
      <w:r>
        <w:tab/>
      </w:r>
      <w:r>
        <w:rPr>
          <w:rFonts w:hint="eastAsia"/>
          <w:lang w:val="en-US" w:eastAsia="zh-CN"/>
        </w:rPr>
        <w:t>2</w:t>
      </w:r>
      <w:r>
        <w:fldChar w:fldCharType="end"/>
      </w:r>
      <w:r>
        <w:rPr>
          <w:rFonts w:hint="eastAsia"/>
          <w:lang w:val="en-US" w:eastAsia="zh-CN"/>
        </w:rPr>
        <w:t>0</w:t>
      </w:r>
    </w:p>
    <w:p>
      <w:pPr>
        <w:pStyle w:val="15"/>
        <w:tabs>
          <w:tab w:val="right" w:leader="dot" w:pos="8834"/>
        </w:tabs>
        <w:rPr>
          <w:rFonts w:hint="eastAsia" w:eastAsia="宋体" w:asciiTheme="minorHAnsi" w:hAnsiTheme="minorHAnsi" w:cstheme="minorBidi"/>
          <w:szCs w:val="22"/>
          <w:lang w:val="en-US" w:eastAsia="zh-CN"/>
        </w:rPr>
      </w:pPr>
      <w:r>
        <w:fldChar w:fldCharType="begin"/>
      </w:r>
      <w:r>
        <w:instrText xml:space="preserve"> HYPERLINK \l "_Toc80692437" </w:instrText>
      </w:r>
      <w:r>
        <w:fldChar w:fldCharType="separate"/>
      </w:r>
      <w:r>
        <w:rPr>
          <w:rStyle w:val="25"/>
          <w:rFonts w:ascii="宋体" w:hAnsi="宋体"/>
        </w:rPr>
        <w:t>附件</w:t>
      </w:r>
      <w:r>
        <w:rPr>
          <w:rStyle w:val="25"/>
          <w:rFonts w:hint="eastAsia" w:ascii="宋体" w:hAnsi="宋体"/>
          <w:lang w:val="en-US" w:eastAsia="zh-CN"/>
        </w:rPr>
        <w:t>4</w:t>
      </w:r>
      <w:r>
        <w:rPr>
          <w:rStyle w:val="25"/>
          <w:rFonts w:ascii="宋体" w:hAnsi="宋体"/>
        </w:rPr>
        <w:t>：法定代表人授权书</w:t>
      </w:r>
      <w:r>
        <w:tab/>
      </w:r>
      <w:r>
        <w:rPr>
          <w:rFonts w:hint="eastAsia"/>
          <w:lang w:val="en-US" w:eastAsia="zh-CN"/>
        </w:rPr>
        <w:t>2</w:t>
      </w:r>
      <w:r>
        <w:fldChar w:fldCharType="end"/>
      </w:r>
      <w:r>
        <w:rPr>
          <w:rFonts w:hint="eastAsia"/>
          <w:lang w:val="en-US" w:eastAsia="zh-CN"/>
        </w:rPr>
        <w:t>1</w:t>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"_Toc80692438" </w:instrText>
      </w:r>
      <w:r>
        <w:fldChar w:fldCharType="separate"/>
      </w:r>
      <w:r>
        <w:rPr>
          <w:rStyle w:val="25"/>
        </w:rPr>
        <w:t>附件</w:t>
      </w:r>
      <w:r>
        <w:rPr>
          <w:rStyle w:val="25"/>
          <w:rFonts w:hint="eastAsia"/>
          <w:lang w:val="en-US" w:eastAsia="zh-CN"/>
        </w:rPr>
        <w:t>5</w:t>
      </w:r>
      <w:r>
        <w:rPr>
          <w:rStyle w:val="25"/>
        </w:rPr>
        <w:t>：南通大学采购谈判二次报价单</w:t>
      </w:r>
      <w:r>
        <w:tab/>
      </w:r>
      <w:r>
        <w:fldChar w:fldCharType="begin"/>
      </w:r>
      <w:r>
        <w:instrText xml:space="preserve"> PAGEREF _Toc80692438 \h </w:instrText>
      </w:r>
      <w:r>
        <w:fldChar w:fldCharType="separate"/>
      </w:r>
      <w:r>
        <w:t>22</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"_Toc80692439" </w:instrText>
      </w:r>
      <w:r>
        <w:fldChar w:fldCharType="separate"/>
      </w:r>
      <w:r>
        <w:rPr>
          <w:rStyle w:val="25"/>
        </w:rPr>
        <w:t>附件</w:t>
      </w:r>
      <w:r>
        <w:rPr>
          <w:rStyle w:val="25"/>
          <w:rFonts w:hint="eastAsia"/>
          <w:lang w:val="en-US" w:eastAsia="zh-CN"/>
        </w:rPr>
        <w:t>6</w:t>
      </w:r>
      <w:r>
        <w:rPr>
          <w:rStyle w:val="25"/>
        </w:rPr>
        <w:t>：无重大违法记录声明</w:t>
      </w:r>
      <w:r>
        <w:tab/>
      </w:r>
      <w:r>
        <w:fldChar w:fldCharType="begin"/>
      </w:r>
      <w:r>
        <w:instrText xml:space="preserve"> PAGEREF _Toc80692439 \h </w:instrText>
      </w:r>
      <w:r>
        <w:fldChar w:fldCharType="separate"/>
      </w:r>
      <w:r>
        <w:t>23</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"_Toc80692440" </w:instrText>
      </w:r>
      <w:r>
        <w:fldChar w:fldCharType="separate"/>
      </w:r>
      <w:r>
        <w:rPr>
          <w:rStyle w:val="25"/>
        </w:rPr>
        <w:t>附件</w:t>
      </w:r>
      <w:r>
        <w:rPr>
          <w:rStyle w:val="25"/>
          <w:rFonts w:hint="eastAsia"/>
          <w:lang w:val="en-US" w:eastAsia="zh-CN"/>
        </w:rPr>
        <w:t>7</w:t>
      </w:r>
      <w:r>
        <w:rPr>
          <w:rStyle w:val="25"/>
        </w:rPr>
        <w:t>：诚信承诺书</w:t>
      </w:r>
      <w:r>
        <w:tab/>
      </w:r>
      <w:r>
        <w:fldChar w:fldCharType="begin"/>
      </w:r>
      <w:r>
        <w:instrText xml:space="preserve"> PAGEREF _Toc80692440 \h </w:instrText>
      </w:r>
      <w:r>
        <w:fldChar w:fldCharType="separate"/>
      </w:r>
      <w:r>
        <w:t>24</w:t>
      </w:r>
      <w:r>
        <w:fldChar w:fldCharType="end"/>
      </w:r>
      <w:r>
        <w:fldChar w:fldCharType="end"/>
      </w:r>
    </w:p>
    <w:p>
      <w:pPr>
        <w:spacing w:after="312" w:afterLines="100" w:line="500" w:lineRule="exact"/>
        <w:jc w:val="center"/>
        <w:rPr>
          <w:rFonts w:ascii="宋体"/>
          <w:bCs/>
          <w:color w:val="000000" w:themeColor="text1"/>
          <w:sz w:val="30"/>
          <w:szCs w:val="30"/>
          <w14:textFill>
            <w14:solidFill>
              <w14:schemeClr w14:val="tx1"/>
            </w14:solidFill>
          </w14:textFill>
        </w:rPr>
      </w:pPr>
      <w:r>
        <w:rPr>
          <w:rStyle w:val="24"/>
          <w:rFonts w:eastAsia="黑体"/>
          <w:bCs/>
          <w:color w:val="000000" w:themeColor="text1"/>
          <w:sz w:val="24"/>
          <w:u w:val="none"/>
          <w14:textFill>
            <w14:solidFill>
              <w14:schemeClr w14:val="tx1"/>
            </w14:solidFill>
          </w14:textFill>
        </w:rPr>
        <w:fldChar w:fldCharType="end"/>
      </w:r>
      <w:r>
        <w:rPr>
          <w:rFonts w:ascii="宋体"/>
          <w:bCs/>
          <w:color w:val="000000" w:themeColor="text1"/>
          <w:sz w:val="30"/>
          <w:szCs w:val="30"/>
          <w14:textFill>
            <w14:solidFill>
              <w14:schemeClr w14:val="tx1"/>
            </w14:solidFill>
          </w14:textFill>
        </w:rPr>
        <w:t xml:space="preserve"> </w:t>
      </w:r>
    </w:p>
    <w:p>
      <w:pPr>
        <w:pStyle w:val="3"/>
        <w:jc w:val="center"/>
        <w:rPr>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80692419"/>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竞争性磋商采购公告</w:t>
      </w:r>
      <w:bookmarkEnd w:id="0"/>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bCs/>
          <w:color w:val="000000" w:themeColor="text1"/>
          <w:spacing w:val="4"/>
          <w:sz w:val="24"/>
          <w14:textFill>
            <w14:solidFill>
              <w14:schemeClr w14:val="tx1"/>
            </w14:solidFill>
          </w14:textFill>
        </w:rPr>
        <w:t>啬园校区</w:t>
      </w:r>
      <w:r>
        <w:rPr>
          <w:rFonts w:hint="eastAsia" w:ascii="宋体" w:hAnsi="宋体"/>
          <w:b/>
          <w:bCs/>
          <w:color w:val="000000" w:themeColor="text1"/>
          <w:spacing w:val="4"/>
          <w:sz w:val="24"/>
          <w:lang w:val="en-US" w:eastAsia="zh-CN"/>
          <w14:textFill>
            <w14:solidFill>
              <w14:schemeClr w14:val="tx1"/>
            </w14:solidFill>
          </w14:textFill>
        </w:rPr>
        <w:t>部分</w:t>
      </w:r>
      <w:r>
        <w:rPr>
          <w:rFonts w:hint="eastAsia" w:ascii="宋体" w:hAnsi="宋体"/>
          <w:b/>
          <w:bCs/>
          <w:color w:val="000000" w:themeColor="text1"/>
          <w:spacing w:val="4"/>
          <w:sz w:val="24"/>
          <w14:textFill>
            <w14:solidFill>
              <w14:schemeClr w14:val="tx1"/>
            </w14:solidFill>
          </w14:textFill>
        </w:rPr>
        <w:t>中央空调维修保养服务</w:t>
      </w:r>
      <w:r>
        <w:rPr>
          <w:rFonts w:hint="eastAsia" w:ascii="宋体" w:hAnsi="宋体"/>
          <w:color w:val="000000" w:themeColor="text1"/>
          <w:spacing w:val="4"/>
          <w:sz w:val="24"/>
          <w14:textFill>
            <w14:solidFill>
              <w14:schemeClr w14:val="tx1"/>
            </w14:solidFill>
          </w14:textFill>
        </w:rPr>
        <w:t>，现就相关事宜公告如下：</w:t>
      </w:r>
    </w:p>
    <w:p>
      <w:pPr>
        <w:spacing w:line="360" w:lineRule="auto"/>
        <w:ind w:firstLine="498" w:firstLineChars="200"/>
        <w:rPr>
          <w:rFonts w:hint="default" w:ascii="宋体" w:eastAsia="宋体"/>
          <w:b/>
          <w:bCs/>
          <w:color w:val="000000" w:themeColor="text1"/>
          <w:spacing w:val="4"/>
          <w:sz w:val="24"/>
          <w:lang w:val="en-US" w:eastAsia="zh-CN"/>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w:t>
      </w:r>
      <w:r>
        <w:rPr>
          <w:rFonts w:hint="eastAsia" w:ascii="宋体" w:hAnsi="宋体"/>
          <w:b/>
          <w:color w:val="000000" w:themeColor="text1"/>
          <w:spacing w:val="4"/>
          <w:sz w:val="24"/>
          <w:lang w:val="en-US" w:eastAsia="zh-CN"/>
          <w14:textFill>
            <w14:solidFill>
              <w14:schemeClr w14:val="tx1"/>
            </w14:solidFill>
          </w14:textFill>
        </w:rPr>
        <w:t>南通大学啬园校区部分中央空调维修保养相关服务</w:t>
      </w:r>
    </w:p>
    <w:p>
      <w:pPr>
        <w:spacing w:line="360" w:lineRule="auto"/>
        <w:ind w:firstLine="498" w:firstLineChars="200"/>
        <w:rPr>
          <w:rFonts w:hint="default" w:ascii="宋体" w:hAnsi="宋体" w:eastAsia="宋体"/>
          <w:b/>
          <w:color w:val="000000" w:themeColor="text1"/>
          <w:spacing w:val="4"/>
          <w:sz w:val="24"/>
          <w:lang w:val="en-US" w:eastAsia="zh-CN"/>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w:t>
      </w:r>
      <w:r>
        <w:rPr>
          <w:rFonts w:ascii="宋体" w:hAnsi="宋体"/>
          <w:b/>
          <w:color w:val="000000" w:themeColor="text1"/>
          <w:spacing w:val="4"/>
          <w:sz w:val="24"/>
          <w14:textFill>
            <w14:solidFill>
              <w14:schemeClr w14:val="tx1"/>
            </w14:solidFill>
          </w14:textFill>
        </w:rPr>
        <w:t>TDHW(JC)2021-</w:t>
      </w:r>
      <w:r>
        <w:rPr>
          <w:rFonts w:hint="eastAsia" w:ascii="宋体" w:hAnsi="宋体"/>
          <w:b/>
          <w:color w:val="000000" w:themeColor="text1"/>
          <w:spacing w:val="4"/>
          <w:sz w:val="24"/>
          <w:lang w:val="en-US" w:eastAsia="zh-CN"/>
          <w14:textFill>
            <w14:solidFill>
              <w14:schemeClr w14:val="tx1"/>
            </w14:solidFill>
          </w14:textFill>
        </w:rPr>
        <w:t>197</w:t>
      </w:r>
    </w:p>
    <w:p>
      <w:pPr>
        <w:spacing w:line="360" w:lineRule="auto"/>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color w:val="000000" w:themeColor="text1"/>
          <w:spacing w:val="4"/>
          <w:sz w:val="24"/>
          <w14:textFill>
            <w14:solidFill>
              <w14:schemeClr w14:val="tx1"/>
            </w14:solidFill>
          </w14:textFill>
        </w:rPr>
        <w:t>详见本文件第三部分“采购项目要求及相关说明”。</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w:t>
      </w:r>
      <w:r>
        <w:rPr>
          <w:rFonts w:hint="eastAsia" w:ascii="宋体" w:hAnsi="宋体"/>
          <w:b/>
          <w:color w:val="000000" w:themeColor="text1"/>
          <w:spacing w:val="4"/>
          <w:sz w:val="24"/>
          <w:lang w:val="en-US" w:eastAsia="zh-CN"/>
          <w14:textFill>
            <w14:solidFill>
              <w14:schemeClr w14:val="tx1"/>
            </w14:solidFill>
          </w14:textFill>
        </w:rPr>
        <w:t>20</w:t>
      </w:r>
      <w:r>
        <w:rPr>
          <w:rFonts w:hint="eastAsia" w:ascii="宋体" w:hAnsi="宋体"/>
          <w:b/>
          <w:color w:val="000000" w:themeColor="text1"/>
          <w:sz w:val="24"/>
          <w14:textFill>
            <w14:solidFill>
              <w14:schemeClr w14:val="tx1"/>
            </w14:solidFill>
          </w14:textFill>
        </w:rPr>
        <w:t>万元。</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参加本次竞争性磋商活动的投标人除应当符合《中华人民共和国政府采购法》第二十二条的规定外，还必须具备以下条件：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、投标人不得存在下列情况之一：</w:t>
      </w:r>
    </w:p>
    <w:p>
      <w:pPr>
        <w:spacing w:line="360" w:lineRule="auto"/>
        <w:ind w:firstLine="480" w:firstLineChars="200"/>
        <w:rPr>
          <w:rFonts w:ascii="宋体" w:hAnsi="宋体"/>
          <w:sz w:val="24"/>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hint="eastAsia" w:ascii="宋体" w:hAnsi="宋体"/>
          <w:sz w:val="24"/>
        </w:rPr>
        <w:t>供应商最近三年内被“信用中国（</w:t>
      </w:r>
      <w:r>
        <w:rPr>
          <w:rFonts w:ascii="宋体" w:hAnsi="宋体"/>
          <w:sz w:val="24"/>
        </w:rPr>
        <w:t>www.creditchina.gov.cn</w:t>
      </w:r>
      <w:r>
        <w:rPr>
          <w:rFonts w:hint="eastAsia" w:ascii="宋体" w:hAnsi="宋体"/>
          <w:sz w:val="24"/>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七、竞争性磋商文件获取：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5"/>
          <w:rFonts w:hint="eastAsia"/>
          <w:color w:val="000000" w:themeColor="text1"/>
          <w:sz w:val="24"/>
          <w14:textFill>
            <w14:solidFill>
              <w14:schemeClr w14:val="tx1"/>
            </w14:solidFill>
          </w14:textFill>
        </w:rPr>
        <w:t>ztb</w:t>
      </w:r>
      <w:r>
        <w:rPr>
          <w:rStyle w:val="25"/>
          <w:color w:val="000000" w:themeColor="text1"/>
          <w:sz w:val="24"/>
          <w14:textFill>
            <w14:solidFill>
              <w14:schemeClr w14:val="tx1"/>
            </w14:solidFill>
          </w14:textFill>
        </w:rPr>
        <w:t>.ntu.edu.cn</w:t>
      </w:r>
      <w:r>
        <w:rPr>
          <w:rStyle w:val="25"/>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潜在投标人如确定参加投标，请务必在南通大学供应商库(https://ztb.ntu.edu.cn/gyszc.htm)注册登记。若未按上述要求操作，将自行承担所产生的风险。</w:t>
      </w:r>
    </w:p>
    <w:p>
      <w:pPr>
        <w:spacing w:line="360" w:lineRule="auto"/>
        <w:ind w:firstLine="482"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九、</w:t>
      </w:r>
      <w:r>
        <w:rPr>
          <w:rFonts w:hint="eastAsia" w:asciiTheme="minorEastAsia" w:hAnsiTheme="minorEastAsia" w:eastAsiaTheme="minorEastAsia"/>
          <w:b/>
          <w:color w:val="000000" w:themeColor="text1"/>
          <w:spacing w:val="4"/>
          <w:sz w:val="24"/>
          <w14:textFill>
            <w14:solidFill>
              <w14:schemeClr w14:val="tx1"/>
            </w14:solidFill>
          </w14:textFill>
        </w:rPr>
        <w:t>竞争性磋商文件</w:t>
      </w:r>
      <w:r>
        <w:rPr>
          <w:rFonts w:hint="eastAsia" w:asciiTheme="minorEastAsia" w:hAnsiTheme="minorEastAsia" w:eastAsiaTheme="minorEastAsia"/>
          <w:b/>
          <w:color w:val="000000" w:themeColor="text1"/>
          <w:sz w:val="24"/>
          <w14:textFill>
            <w14:solidFill>
              <w14:schemeClr w14:val="tx1"/>
            </w14:solidFill>
          </w14:textFill>
        </w:rPr>
        <w:t>售价：</w:t>
      </w:r>
      <w:r>
        <w:rPr>
          <w:rFonts w:hint="eastAsia" w:asciiTheme="minorEastAsia" w:hAnsiTheme="minorEastAsia" w:eastAsiaTheme="minorEastAsia"/>
          <w:color w:val="000000" w:themeColor="text1"/>
          <w:sz w:val="24"/>
          <w14:textFill>
            <w14:solidFill>
              <w14:schemeClr w14:val="tx1"/>
            </w14:solidFill>
          </w14:textFill>
        </w:rPr>
        <w:t>人民币</w:t>
      </w:r>
      <w:r>
        <w:rPr>
          <w:rFonts w:asciiTheme="minorEastAsia" w:hAnsiTheme="minorEastAsia" w:eastAsiaTheme="minorEastAsia"/>
          <w:color w:val="000000" w:themeColor="text1"/>
          <w:sz w:val="24"/>
          <w14:textFill>
            <w14:solidFill>
              <w14:schemeClr w14:val="tx1"/>
            </w14:solidFill>
          </w14:textFill>
        </w:rPr>
        <w:t>300</w:t>
      </w:r>
      <w:r>
        <w:rPr>
          <w:rFonts w:hint="eastAsia" w:asciiTheme="minorEastAsia" w:hAnsiTheme="minorEastAsia" w:eastAsiaTheme="minorEastAsia"/>
          <w:color w:val="000000" w:themeColor="text1"/>
          <w:sz w:val="24"/>
          <w14:textFill>
            <w14:solidFill>
              <w14:schemeClr w14:val="tx1"/>
            </w14:solidFill>
          </w14:textFill>
        </w:rPr>
        <w:t>元</w:t>
      </w:r>
    </w:p>
    <w:p>
      <w:pP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（通过</w:t>
      </w:r>
      <w:r>
        <w:rPr>
          <w:rFonts w:hint="eastAsia" w:asciiTheme="minorEastAsia" w:hAnsiTheme="minorEastAsia" w:eastAsiaTheme="minorEastAsia"/>
          <w:color w:val="000000" w:themeColor="text1"/>
          <w:spacing w:val="4"/>
          <w:sz w:val="24"/>
          <w14:textFill>
            <w14:solidFill>
              <w14:schemeClr w14:val="tx1"/>
            </w14:solidFill>
          </w14:textFill>
        </w:rPr>
        <w:t>https://ztb.ntu.edu.cn/gyszc.htm</w:t>
      </w:r>
      <w:r>
        <w:rPr>
          <w:rFonts w:hint="eastAsia" w:asciiTheme="minorEastAsia" w:hAnsiTheme="minorEastAsia" w:eastAsiaTheme="minorEastAsia"/>
          <w:color w:val="000000" w:themeColor="text1"/>
          <w:sz w:val="24"/>
          <w14:textFill>
            <w14:solidFill>
              <w14:schemeClr w14:val="tx1"/>
            </w14:solidFill>
          </w14:textFill>
        </w:rPr>
        <w:t>收取， 事后不退。递交投标文件时，出示</w:t>
      </w:r>
      <w:r>
        <w:rPr>
          <w:rFonts w:hint="eastAsia" w:asciiTheme="minorEastAsia" w:hAnsiTheme="minorEastAsia" w:eastAsiaTheme="minorEastAsia"/>
          <w:b/>
          <w:color w:val="000000" w:themeColor="text1"/>
          <w:sz w:val="24"/>
          <w14:textFill>
            <w14:solidFill>
              <w14:schemeClr w14:val="tx1"/>
            </w14:solidFill>
          </w14:textFill>
        </w:rPr>
        <w:t>回执单</w:t>
      </w:r>
      <w:r>
        <w:rPr>
          <w:rFonts w:hint="eastAsia" w:asciiTheme="minorEastAsia" w:hAnsiTheme="minorEastAsia" w:eastAsiaTheme="minorEastAsia"/>
          <w:color w:val="000000" w:themeColor="text1"/>
          <w:sz w:val="24"/>
          <w14:textFill>
            <w14:solidFill>
              <w14:schemeClr w14:val="tx1"/>
            </w14:solidFill>
          </w14:textFill>
        </w:rPr>
        <w:t>）。</w:t>
      </w:r>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十、因疫情防控，投标文件可采用快递邮寄方式或现场递交方式。</w:t>
      </w:r>
    </w:p>
    <w:p>
      <w:pPr>
        <w:widowControl/>
        <w:shd w:val="clear" w:color="auto" w:fill="FFFFFF"/>
        <w:spacing w:line="360" w:lineRule="auto"/>
        <w:ind w:left="315" w:firstLine="24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1、快递邮寄方式</w:t>
      </w:r>
    </w:p>
    <w:p>
      <w:pPr>
        <w:widowControl/>
        <w:shd w:val="clear" w:color="auto" w:fill="FFFFFF"/>
        <w:spacing w:line="360" w:lineRule="auto"/>
        <w:ind w:firstLine="36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（1）投标文件接收地址：</w:t>
      </w:r>
      <w:r>
        <w:rPr>
          <w:rFonts w:hint="eastAsia" w:cs="宋体" w:asciiTheme="minorEastAsia" w:hAnsiTheme="minorEastAsia" w:eastAsiaTheme="minorEastAsia"/>
          <w:color w:val="000000"/>
          <w:kern w:val="0"/>
          <w:sz w:val="24"/>
        </w:rPr>
        <w:t>南通大学啬园校区综合楼229室（招标管理科）</w:t>
      </w:r>
    </w:p>
    <w:p>
      <w:pPr>
        <w:widowControl/>
        <w:spacing w:line="360" w:lineRule="auto"/>
        <w:ind w:firstLine="37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（2）投标文件接收截止时间：</w:t>
      </w:r>
      <w:r>
        <w:rPr>
          <w:rFonts w:hint="eastAsia" w:cs="宋体" w:asciiTheme="minorEastAsia" w:hAnsiTheme="minorEastAsia" w:eastAsiaTheme="minorEastAsia"/>
          <w:color w:val="000000"/>
          <w:kern w:val="0"/>
          <w:sz w:val="24"/>
        </w:rPr>
        <w:t>2021年12月</w:t>
      </w:r>
      <w:r>
        <w:rPr>
          <w:rFonts w:hint="eastAsia" w:cs="宋体" w:asciiTheme="minorEastAsia" w:hAnsiTheme="minorEastAsia" w:eastAsiaTheme="minorEastAsia"/>
          <w:color w:val="000000"/>
          <w:kern w:val="0"/>
          <w:sz w:val="24"/>
          <w:lang w:val="en-US" w:eastAsia="zh-CN"/>
        </w:rPr>
        <w:t>24</w:t>
      </w:r>
      <w:r>
        <w:rPr>
          <w:rFonts w:hint="eastAsia" w:cs="宋体" w:asciiTheme="minorEastAsia" w:hAnsiTheme="minorEastAsia" w:eastAsiaTheme="minorEastAsia"/>
          <w:color w:val="000000"/>
          <w:kern w:val="0"/>
          <w:sz w:val="24"/>
        </w:rPr>
        <w:t>日</w:t>
      </w:r>
      <w:r>
        <w:rPr>
          <w:rFonts w:cs="宋体" w:asciiTheme="minorEastAsia" w:hAnsiTheme="minorEastAsia" w:eastAsiaTheme="minorEastAsia"/>
          <w:color w:val="000000"/>
          <w:kern w:val="0"/>
          <w:sz w:val="24"/>
        </w:rPr>
        <w:t>14</w:t>
      </w:r>
      <w:r>
        <w:rPr>
          <w:rFonts w:hint="eastAsia" w:cs="宋体" w:asciiTheme="minorEastAsia" w:hAnsiTheme="minorEastAsia" w:eastAsiaTheme="minorEastAsia"/>
          <w:color w:val="000000"/>
          <w:kern w:val="0"/>
          <w:sz w:val="24"/>
        </w:rPr>
        <w:t>时30分</w:t>
      </w:r>
    </w:p>
    <w:p>
      <w:pPr>
        <w:widowControl/>
        <w:shd w:val="clear" w:color="auto" w:fill="FFFFFF"/>
        <w:spacing w:line="360" w:lineRule="auto"/>
        <w:ind w:firstLine="36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（3）收件人及联系方式：</w:t>
      </w:r>
      <w:r>
        <w:rPr>
          <w:rFonts w:hint="eastAsia" w:cs="宋体" w:asciiTheme="minorEastAsia" w:hAnsiTheme="minorEastAsia" w:eastAsiaTheme="minorEastAsia"/>
          <w:color w:val="000000"/>
          <w:kern w:val="0"/>
          <w:sz w:val="24"/>
        </w:rPr>
        <w:t>牛老师 0513-85012891</w:t>
      </w:r>
    </w:p>
    <w:p>
      <w:pPr>
        <w:widowControl/>
        <w:spacing w:line="360" w:lineRule="auto"/>
        <w:ind w:firstLine="495"/>
        <w:jc w:val="left"/>
        <w:rPr>
          <w:rFonts w:ascii="微软雅黑" w:hAnsi="微软雅黑" w:eastAsia="微软雅黑" w:cs="宋体"/>
          <w:kern w:val="0"/>
          <w:szCs w:val="21"/>
        </w:rPr>
      </w:pPr>
      <w:r>
        <w:rPr>
          <w:rFonts w:hint="eastAsia" w:ascii="宋体" w:hAnsi="宋体" w:cs="宋体"/>
          <w:color w:val="000000"/>
          <w:kern w:val="0"/>
          <w:sz w:val="24"/>
        </w:rPr>
        <w:t>注：邮寄的投标文件必须密封且在外包装显著位置注明项目标识（项目编号、项目名称和投标人名称），无标识或标识模糊不清的，不予接收。投标文件须用</w:t>
      </w:r>
      <w:r>
        <w:rPr>
          <w:rFonts w:hint="eastAsia" w:ascii="黑体" w:hAnsi="黑体" w:eastAsia="黑体" w:cs="宋体"/>
          <w:b/>
          <w:bCs/>
          <w:color w:val="000000"/>
          <w:kern w:val="0"/>
          <w:sz w:val="24"/>
        </w:rPr>
        <w:t>顺丰快递</w:t>
      </w:r>
      <w:r>
        <w:rPr>
          <w:rFonts w:hint="eastAsia" w:ascii="宋体" w:hAnsi="宋体" w:cs="宋体"/>
          <w:color w:val="000000"/>
          <w:kern w:val="0"/>
          <w:sz w:val="24"/>
        </w:rPr>
        <w:t>在投标截止时间前送达并由接收人签收，超期送达或外包装破损的邮寄件不予接收。</w:t>
      </w:r>
      <w:r>
        <w:rPr>
          <w:rFonts w:hint="eastAsia" w:ascii="黑体" w:hAnsi="黑体" w:eastAsia="黑体" w:cs="宋体"/>
          <w:b/>
          <w:bCs/>
          <w:color w:val="000000"/>
          <w:kern w:val="0"/>
          <w:sz w:val="24"/>
        </w:rPr>
        <w:t>投标人应充分考虑并自行承担邮寄造成的一切风险。</w:t>
      </w:r>
    </w:p>
    <w:p>
      <w:pPr>
        <w:widowControl/>
        <w:shd w:val="clear" w:color="auto" w:fill="FFFFFF"/>
        <w:spacing w:line="360" w:lineRule="auto"/>
        <w:ind w:firstLine="48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2、现场递交方式</w:t>
      </w:r>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（1）投标文件接收开始时间：</w:t>
      </w:r>
      <w:r>
        <w:rPr>
          <w:rFonts w:hint="eastAsia" w:cs="宋体" w:asciiTheme="minorEastAsia" w:hAnsiTheme="minorEastAsia" w:eastAsiaTheme="minorEastAsia"/>
          <w:color w:val="000000"/>
          <w:kern w:val="0"/>
          <w:sz w:val="24"/>
        </w:rPr>
        <w:t>2021年</w:t>
      </w: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2月</w:t>
      </w:r>
      <w:r>
        <w:rPr>
          <w:rFonts w:hint="eastAsia" w:cs="宋体" w:asciiTheme="minorEastAsia" w:hAnsiTheme="minorEastAsia" w:eastAsiaTheme="minorEastAsia"/>
          <w:color w:val="000000"/>
          <w:kern w:val="0"/>
          <w:sz w:val="24"/>
          <w:lang w:val="en-US" w:eastAsia="zh-CN"/>
        </w:rPr>
        <w:t>24</w:t>
      </w:r>
      <w:r>
        <w:rPr>
          <w:rFonts w:hint="eastAsia" w:cs="宋体" w:asciiTheme="minorEastAsia" w:hAnsiTheme="minorEastAsia" w:eastAsiaTheme="minorEastAsia"/>
          <w:color w:val="000000"/>
          <w:kern w:val="0"/>
          <w:sz w:val="24"/>
        </w:rPr>
        <w:t>日</w:t>
      </w:r>
      <w:r>
        <w:rPr>
          <w:rFonts w:cs="宋体" w:asciiTheme="minorEastAsia" w:hAnsiTheme="minorEastAsia" w:eastAsiaTheme="minorEastAsia"/>
          <w:color w:val="000000"/>
          <w:kern w:val="0"/>
          <w:sz w:val="24"/>
        </w:rPr>
        <w:t>14</w:t>
      </w:r>
      <w:r>
        <w:rPr>
          <w:rFonts w:hint="eastAsia" w:cs="宋体" w:asciiTheme="minorEastAsia" w:hAnsiTheme="minorEastAsia" w:eastAsiaTheme="minorEastAsia"/>
          <w:color w:val="000000"/>
          <w:kern w:val="0"/>
          <w:sz w:val="24"/>
        </w:rPr>
        <w:t>时00分</w:t>
      </w:r>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（2）投标文件接收截止时间及开标时间：</w:t>
      </w:r>
      <w:r>
        <w:rPr>
          <w:rFonts w:hint="eastAsia" w:cs="宋体" w:asciiTheme="minorEastAsia" w:hAnsiTheme="minorEastAsia" w:eastAsiaTheme="minorEastAsia"/>
          <w:color w:val="000000"/>
          <w:kern w:val="0"/>
          <w:sz w:val="24"/>
        </w:rPr>
        <w:t>2021年</w:t>
      </w:r>
      <w:r>
        <w:rPr>
          <w:rFonts w:cs="宋体" w:asciiTheme="minorEastAsia" w:hAnsiTheme="minorEastAsia" w:eastAsiaTheme="minorEastAsia"/>
          <w:color w:val="000000"/>
          <w:kern w:val="0"/>
          <w:sz w:val="24"/>
        </w:rPr>
        <w:t>1</w:t>
      </w:r>
      <w:r>
        <w:rPr>
          <w:rFonts w:hint="eastAsia" w:cs="宋体" w:asciiTheme="minorEastAsia" w:hAnsiTheme="minorEastAsia" w:eastAsiaTheme="minorEastAsia"/>
          <w:color w:val="000000"/>
          <w:kern w:val="0"/>
          <w:sz w:val="24"/>
        </w:rPr>
        <w:t>2月</w:t>
      </w:r>
      <w:r>
        <w:rPr>
          <w:rFonts w:hint="eastAsia" w:cs="宋体" w:asciiTheme="minorEastAsia" w:hAnsiTheme="minorEastAsia" w:eastAsiaTheme="minorEastAsia"/>
          <w:color w:val="000000"/>
          <w:kern w:val="0"/>
          <w:sz w:val="24"/>
          <w:lang w:val="en-US" w:eastAsia="zh-CN"/>
        </w:rPr>
        <w:t>24</w:t>
      </w:r>
      <w:r>
        <w:rPr>
          <w:rFonts w:hint="eastAsia" w:cs="宋体" w:asciiTheme="minorEastAsia" w:hAnsiTheme="minorEastAsia" w:eastAsiaTheme="minorEastAsia"/>
          <w:color w:val="000000"/>
          <w:kern w:val="0"/>
          <w:sz w:val="24"/>
        </w:rPr>
        <w:t>日</w:t>
      </w:r>
      <w:r>
        <w:rPr>
          <w:rFonts w:cs="宋体" w:asciiTheme="minorEastAsia" w:hAnsiTheme="minorEastAsia" w:eastAsiaTheme="minorEastAsia"/>
          <w:color w:val="000000"/>
          <w:kern w:val="0"/>
          <w:sz w:val="24"/>
        </w:rPr>
        <w:t>14</w:t>
      </w:r>
      <w:r>
        <w:rPr>
          <w:rFonts w:hint="eastAsia" w:cs="宋体" w:asciiTheme="minorEastAsia" w:hAnsiTheme="minorEastAsia" w:eastAsiaTheme="minorEastAsia"/>
          <w:color w:val="000000"/>
          <w:kern w:val="0"/>
          <w:sz w:val="24"/>
        </w:rPr>
        <w:t xml:space="preserve">时30分 </w:t>
      </w:r>
      <w:bookmarkStart w:id="36" w:name="_GoBack"/>
      <w:bookmarkEnd w:id="36"/>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（3）投标文件接收地点：</w:t>
      </w:r>
      <w:r>
        <w:rPr>
          <w:rFonts w:hint="eastAsia" w:cs="宋体" w:asciiTheme="minorEastAsia" w:hAnsiTheme="minorEastAsia" w:eastAsiaTheme="minorEastAsia"/>
          <w:color w:val="000000"/>
          <w:kern w:val="0"/>
          <w:sz w:val="24"/>
        </w:rPr>
        <w:t>南通大学啬园校区北一门东传达室</w:t>
      </w:r>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 w:val="24"/>
        </w:rPr>
        <w:t>（4）</w:t>
      </w:r>
      <w:r>
        <w:rPr>
          <w:rFonts w:hint="eastAsia" w:cs="宋体" w:asciiTheme="minorEastAsia" w:hAnsiTheme="minorEastAsia" w:eastAsiaTheme="minorEastAsia"/>
          <w:b/>
          <w:bCs/>
          <w:color w:val="000000"/>
          <w:kern w:val="0"/>
          <w:sz w:val="24"/>
        </w:rPr>
        <w:t>联系人及联系方式：</w:t>
      </w:r>
      <w:r>
        <w:rPr>
          <w:rFonts w:hint="eastAsia" w:cs="宋体" w:asciiTheme="minorEastAsia" w:hAnsiTheme="minorEastAsia" w:eastAsiaTheme="minorEastAsia"/>
          <w:color w:val="000000"/>
          <w:kern w:val="0"/>
          <w:sz w:val="24"/>
        </w:rPr>
        <w:t>邹老师0513-85012720</w:t>
      </w:r>
    </w:p>
    <w:p>
      <w:pPr>
        <w:spacing w:line="360" w:lineRule="auto"/>
        <w:ind w:firstLine="498" w:firstLineChars="200"/>
        <w:rPr>
          <w:rFonts w:asciiTheme="minorEastAsia" w:hAnsiTheme="minorEastAsia" w:eastAsiaTheme="minorEastAsia"/>
          <w:color w:val="000000" w:themeColor="text1"/>
          <w:spacing w:val="2"/>
          <w:kern w:val="0"/>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十一、开评标地点：</w:t>
      </w:r>
      <w:r>
        <w:rPr>
          <w:rFonts w:hint="eastAsia" w:asciiTheme="minorEastAsia" w:hAnsiTheme="minorEastAsia" w:eastAsiaTheme="minorEastAsia"/>
          <w:color w:val="000000" w:themeColor="text1"/>
          <w:spacing w:val="2"/>
          <w:kern w:val="0"/>
          <w:sz w:val="24"/>
          <w14:textFill>
            <w14:solidFill>
              <w14:schemeClr w14:val="tx1"/>
            </w14:solidFill>
          </w14:textFill>
        </w:rPr>
        <w:t>南通大学啬园校区综合楼231室</w:t>
      </w:r>
    </w:p>
    <w:p>
      <w:pPr>
        <w:spacing w:line="360" w:lineRule="auto"/>
        <w:ind w:firstLine="490" w:firstLineChars="200"/>
        <w:rPr>
          <w:rFonts w:asciiTheme="minorEastAsia" w:hAnsiTheme="minorEastAsia" w:eastAsiaTheme="minorEastAsia"/>
          <w:b/>
          <w:color w:val="000000" w:themeColor="text1"/>
          <w:spacing w:val="2"/>
          <w:kern w:val="0"/>
          <w:sz w:val="24"/>
          <w14:textFill>
            <w14:solidFill>
              <w14:schemeClr w14:val="tx1"/>
            </w14:solidFill>
          </w14:textFill>
        </w:rPr>
      </w:pPr>
      <w:r>
        <w:rPr>
          <w:rFonts w:hint="eastAsia" w:asciiTheme="minorEastAsia" w:hAnsiTheme="minorEastAsia" w:eastAsiaTheme="minorEastAsia"/>
          <w:b/>
          <w:color w:val="000000" w:themeColor="text1"/>
          <w:spacing w:val="2"/>
          <w:kern w:val="0"/>
          <w:sz w:val="24"/>
          <w14:textFill>
            <w14:solidFill>
              <w14:schemeClr w14:val="tx1"/>
            </w14:solidFill>
          </w14:textFill>
        </w:rPr>
        <w:t>十二、与本次谈判有关的事宜请按下列通讯方式联系</w:t>
      </w:r>
    </w:p>
    <w:p>
      <w:pPr>
        <w:spacing w:line="360" w:lineRule="auto"/>
        <w:ind w:firstLine="488" w:firstLineChars="200"/>
        <w:rPr>
          <w:rFonts w:asciiTheme="minorEastAsia" w:hAnsiTheme="minorEastAsia" w:eastAsiaTheme="minorEastAsia"/>
          <w:color w:val="000000" w:themeColor="text1"/>
          <w:spacing w:val="2"/>
          <w:kern w:val="0"/>
          <w:sz w:val="24"/>
          <w14:textFill>
            <w14:solidFill>
              <w14:schemeClr w14:val="tx1"/>
            </w14:solidFill>
          </w14:textFill>
        </w:rPr>
      </w:pPr>
      <w:r>
        <w:rPr>
          <w:rFonts w:hint="eastAsia" w:asciiTheme="minorEastAsia" w:hAnsiTheme="minorEastAsia" w:eastAsiaTheme="minorEastAsia"/>
          <w:color w:val="000000" w:themeColor="text1"/>
          <w:spacing w:val="2"/>
          <w:kern w:val="0"/>
          <w:sz w:val="24"/>
          <w14:textFill>
            <w14:solidFill>
              <w14:schemeClr w14:val="tx1"/>
            </w14:solidFill>
          </w14:textFill>
        </w:rPr>
        <w:t>如对技术条款及评判标准有疑问请咨询项目联系人；如对商务条款、采购程序及结果有疑义请咨询招标联系人。</w:t>
      </w:r>
    </w:p>
    <w:p>
      <w:pPr>
        <w:spacing w:line="360" w:lineRule="auto"/>
        <w:ind w:firstLine="490" w:firstLineChars="200"/>
        <w:rPr>
          <w:rFonts w:hint="eastAsia" w:ascii="宋体" w:hAnsi="宋体"/>
          <w:b w:val="0"/>
          <w:bCs/>
          <w:color w:val="000000"/>
          <w:spacing w:val="2"/>
          <w:kern w:val="0"/>
          <w:sz w:val="24"/>
          <w:lang w:val="en-US" w:eastAsia="zh-CN"/>
        </w:rPr>
      </w:pPr>
      <w:r>
        <w:rPr>
          <w:rFonts w:hint="eastAsia" w:asciiTheme="minorEastAsia" w:hAnsiTheme="minorEastAsia" w:eastAsiaTheme="minorEastAsia"/>
          <w:b/>
          <w:color w:val="000000" w:themeColor="text1"/>
          <w:spacing w:val="2"/>
          <w:kern w:val="0"/>
          <w:sz w:val="24"/>
          <w14:textFill>
            <w14:solidFill>
              <w14:schemeClr w14:val="tx1"/>
            </w14:solidFill>
          </w14:textFill>
        </w:rPr>
        <w:t>项目联系人及联系方式：</w:t>
      </w:r>
      <w:r>
        <w:rPr>
          <w:rFonts w:hint="eastAsia" w:ascii="宋体" w:hAnsi="宋体"/>
          <w:b w:val="0"/>
          <w:bCs/>
          <w:color w:val="000000"/>
          <w:spacing w:val="2"/>
          <w:kern w:val="0"/>
          <w:sz w:val="24"/>
          <w:lang w:val="en-US" w:eastAsia="zh-CN"/>
        </w:rPr>
        <w:t>赵老师0513-85012648</w:t>
      </w:r>
    </w:p>
    <w:p>
      <w:pPr>
        <w:spacing w:line="360" w:lineRule="auto"/>
        <w:ind w:firstLine="490" w:firstLineChars="200"/>
        <w:rPr>
          <w:rFonts w:asciiTheme="minorEastAsia" w:hAnsiTheme="minorEastAsia" w:eastAsiaTheme="minorEastAsia"/>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pacing w:val="2"/>
          <w:kern w:val="0"/>
          <w:sz w:val="24"/>
          <w14:textFill>
            <w14:solidFill>
              <w14:schemeClr w14:val="tx1"/>
            </w14:solidFill>
          </w14:textFill>
        </w:rPr>
        <w:t>招标联系人及联系方式：</w:t>
      </w:r>
      <w:r>
        <w:rPr>
          <w:rFonts w:hint="eastAsia" w:asciiTheme="minorEastAsia" w:hAnsiTheme="minorEastAsia" w:eastAsiaTheme="minorEastAsia"/>
          <w:color w:val="000000" w:themeColor="text1"/>
          <w:spacing w:val="2"/>
          <w:kern w:val="0"/>
          <w:sz w:val="24"/>
          <w14:textFill>
            <w14:solidFill>
              <w14:schemeClr w14:val="tx1"/>
            </w14:solidFill>
          </w14:textFill>
        </w:rPr>
        <w:t>李韦华</w:t>
      </w:r>
      <w:r>
        <w:rPr>
          <w:rFonts w:asciiTheme="minorEastAsia" w:hAnsiTheme="minorEastAsia" w:eastAsiaTheme="minorEastAsia"/>
          <w:color w:val="000000" w:themeColor="text1"/>
          <w:spacing w:val="2"/>
          <w:kern w:val="0"/>
          <w:sz w:val="24"/>
          <w14:textFill>
            <w14:solidFill>
              <w14:schemeClr w14:val="tx1"/>
            </w14:solidFill>
          </w14:textFill>
        </w:rPr>
        <w:t>0513-85012138</w:t>
      </w:r>
      <w:r>
        <w:rPr>
          <w:rFonts w:hint="eastAsia" w:asciiTheme="minorEastAsia" w:hAnsiTheme="minorEastAsia" w:eastAsiaTheme="minorEastAsia"/>
          <w:color w:val="000000" w:themeColor="text1"/>
          <w:spacing w:val="2"/>
          <w:kern w:val="0"/>
          <w:sz w:val="24"/>
          <w14:textFill>
            <w14:solidFill>
              <w14:schemeClr w14:val="tx1"/>
            </w14:solidFill>
          </w14:textFill>
        </w:rPr>
        <w:t>，牛书花0513-85012891。</w:t>
      </w:r>
    </w:p>
    <w:p>
      <w:pPr>
        <w:widowControl/>
        <w:spacing w:line="338" w:lineRule="atLeast"/>
        <w:ind w:left="142" w:firstLine="422"/>
        <w:jc w:val="left"/>
        <w:rPr>
          <w:rFonts w:ascii="宋体" w:hAnsi="宋体" w:cs="宋体"/>
          <w:color w:val="000000" w:themeColor="text1"/>
          <w:spacing w:val="4"/>
          <w:kern w:val="0"/>
          <w:sz w:val="24"/>
          <w14:textFill>
            <w14:solidFill>
              <w14:schemeClr w14:val="tx1"/>
            </w14:solidFill>
          </w14:textFill>
        </w:rPr>
      </w:pPr>
    </w:p>
    <w:p>
      <w:pPr>
        <w:widowControl/>
        <w:spacing w:line="338" w:lineRule="atLeast"/>
        <w:ind w:left="142" w:firstLine="42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r>
        <w:rPr>
          <w:rFonts w:hint="eastAsia" w:ascii="宋体" w:hAnsi="宋体" w:cs="宋体"/>
          <w:color w:val="000000" w:themeColor="text1"/>
          <w:kern w:val="0"/>
          <w:sz w:val="23"/>
          <w:szCs w:val="23"/>
          <w14:textFill>
            <w14:solidFill>
              <w14:schemeClr w14:val="tx1"/>
            </w14:solidFill>
          </w14:textFill>
        </w:rPr>
        <w:t>    </w:t>
      </w: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微软雅黑" w:hAnsi="微软雅黑" w:eastAsia="微软雅黑" w:cs="宋体"/>
          <w:b/>
          <w:bCs/>
          <w:color w:val="000000" w:themeColor="text1"/>
          <w:kern w:val="0"/>
          <w:sz w:val="28"/>
          <w:szCs w:val="28"/>
          <w14:textFill>
            <w14:solidFill>
              <w14:schemeClr w14:val="tx1"/>
            </w14:solidFill>
          </w14:textFill>
        </w:rPr>
        <w:t>      </w:t>
      </w:r>
    </w:p>
    <w:p>
      <w:pPr>
        <w:spacing w:line="360" w:lineRule="auto"/>
        <w:ind w:firstLine="498" w:firstLineChars="200"/>
        <w:rPr>
          <w:rFonts w:ascii="宋体"/>
          <w:b/>
          <w:color w:val="000000" w:themeColor="text1"/>
          <w:spacing w:val="4"/>
          <w:sz w:val="24"/>
          <w14:textFill>
            <w14:solidFill>
              <w14:schemeClr w14:val="tx1"/>
            </w14:solidFill>
          </w14:textFill>
        </w:rPr>
      </w:pPr>
    </w:p>
    <w:p>
      <w:pPr>
        <w:spacing w:line="440" w:lineRule="exact"/>
        <w:ind w:firstLine="496" w:firstLineChars="200"/>
        <w:rPr>
          <w:rFonts w:ascii="宋体" w:hAnsi="宋体"/>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rFonts w:ascii="宋体"/>
          <w:b w:val="0"/>
          <w:color w:val="000000" w:themeColor="text1"/>
          <w14:textFill>
            <w14:solidFill>
              <w14:schemeClr w14:val="tx1"/>
            </w14:solidFill>
          </w14:textFill>
        </w:rPr>
      </w:pPr>
      <w:bookmarkStart w:id="1" w:name="_Toc80692420"/>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4"/>
        <w:rPr>
          <w:color w:val="000000" w:themeColor="text1"/>
          <w14:textFill>
            <w14:solidFill>
              <w14:schemeClr w14:val="tx1"/>
            </w14:solidFill>
          </w14:textFill>
        </w:rPr>
      </w:pPr>
      <w:bookmarkStart w:id="2" w:name="_Toc80692421"/>
      <w:r>
        <w:rPr>
          <w:rFonts w:hint="eastAsia"/>
          <w:color w:val="000000" w:themeColor="text1"/>
          <w14:textFill>
            <w14:solidFill>
              <w14:schemeClr w14:val="tx1"/>
            </w14:solidFill>
          </w14:textFill>
        </w:rPr>
        <w:t>一、竞争性磋商文件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本竞争性磋商文件中的采购人、投标人、中标人分别指：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）投标人指响应竞争性磋商并具备相应资质的参与谈判的制造（厂）商、代理商。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竞争性磋商文件的组成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）竞争性磋商采购公告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）商务条款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竞争性磋商文件的澄清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如投标人对竞争性磋商文件的某些内容有疑问，应在投标截止时间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日前以书面形式</w:t>
      </w:r>
      <w:r>
        <w:rPr>
          <w:rFonts w:hint="eastAsia" w:ascii="宋体" w:hAnsi="宋体"/>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14:textFill>
            <w14:solidFill>
              <w14:schemeClr w14:val="tx1"/>
            </w14:solidFill>
          </w14:textFill>
        </w:rPr>
        <w:t>。采购人认为有必要时，可将答复内容（包括疑问内容，但不包括疑问来源）在南通大学招投标信息网站上公开发布。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竞争性磋商文件的补充和修改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）如竞争性磋商文件的补充和修改对投标人准备投标的时间有影响，采购人有权决定推迟投标截止时间和开标时间。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8069242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商务文件、技术文件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资格证明文件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keepNext w:val="0"/>
        <w:keepLines w:val="0"/>
        <w:pageBreakBefore w:val="0"/>
        <w:widowControl w:val="0"/>
        <w:kinsoku/>
        <w:wordWrap/>
        <w:overflowPunct/>
        <w:topLinePunct w:val="0"/>
        <w:bidi w:val="0"/>
        <w:snapToGrid/>
        <w:spacing w:line="360" w:lineRule="auto"/>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360" w:lineRule="auto"/>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43"/>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pStyle w:val="2"/>
        <w:keepNext w:val="0"/>
        <w:keepLines w:val="0"/>
        <w:pageBreakBefore w:val="0"/>
        <w:widowControl w:val="0"/>
        <w:kinsoku/>
        <w:wordWrap/>
        <w:overflowPunct/>
        <w:topLinePunct w:val="0"/>
        <w:bidi w:val="0"/>
        <w:snapToGrid/>
        <w:spacing w:line="360" w:lineRule="auto"/>
        <w:ind w:firstLine="48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技术方案；</w:t>
      </w:r>
    </w:p>
    <w:p>
      <w:pPr>
        <w:pStyle w:val="2"/>
        <w:keepNext w:val="0"/>
        <w:keepLines w:val="0"/>
        <w:pageBreakBefore w:val="0"/>
        <w:widowControl w:val="0"/>
        <w:kinsoku/>
        <w:wordWrap/>
        <w:overflowPunct/>
        <w:topLinePunct w:val="0"/>
        <w:bidi w:val="0"/>
        <w:snapToGrid/>
        <w:spacing w:line="360" w:lineRule="auto"/>
        <w:ind w:firstLine="48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2、服务承诺；</w:t>
      </w:r>
    </w:p>
    <w:p>
      <w:pPr>
        <w:pStyle w:val="2"/>
        <w:keepNext w:val="0"/>
        <w:keepLines w:val="0"/>
        <w:pageBreakBefore w:val="0"/>
        <w:widowControl w:val="0"/>
        <w:kinsoku/>
        <w:wordWrap/>
        <w:overflowPunct/>
        <w:topLinePunct w:val="0"/>
        <w:bidi w:val="0"/>
        <w:snapToGrid/>
        <w:spacing w:line="360" w:lineRule="auto"/>
        <w:ind w:firstLine="480" w:firstLineChars="200"/>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rFonts w:hint="eastAsia"/>
          <w:color w:val="000000" w:themeColor="text1"/>
          <w:lang w:val="en-US" w:eastAsia="zh-CN"/>
          <w14:textFill>
            <w14:solidFill>
              <w14:schemeClr w14:val="tx1"/>
            </w14:solidFill>
          </w14:textFill>
        </w:rPr>
        <w:t>2019年1月以来的</w:t>
      </w:r>
      <w:r>
        <w:rPr>
          <w:rFonts w:hint="eastAsia"/>
          <w:color w:val="000000" w:themeColor="text1"/>
          <w14:textFill>
            <w14:solidFill>
              <w14:schemeClr w14:val="tx1"/>
            </w14:solidFill>
          </w14:textFill>
        </w:rPr>
        <w:t>相似维保案例业绩。</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pStyle w:val="43"/>
        <w:keepNext w:val="0"/>
        <w:keepLines w:val="0"/>
        <w:pageBreakBefore w:val="0"/>
        <w:widowControl w:val="0"/>
        <w:kinsoku/>
        <w:wordWrap/>
        <w:overflowPunct/>
        <w:topLinePunct w:val="0"/>
        <w:bidi w:val="0"/>
        <w:snapToGrid/>
        <w:spacing w:line="360" w:lineRule="auto"/>
        <w:ind w:left="48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（1）营业执照复印件（复印件加盖单位公章）</w:t>
      </w:r>
    </w:p>
    <w:p>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法定代表人</w:t>
      </w:r>
      <w:r>
        <w:rPr>
          <w:rFonts w:hint="eastAsia" w:ascii="宋体" w:hAnsi="宋体"/>
          <w:color w:val="000000" w:themeColor="text1"/>
          <w:sz w:val="24"/>
          <w14:textFill>
            <w14:solidFill>
              <w14:schemeClr w14:val="tx1"/>
            </w14:solidFill>
          </w14:textFill>
        </w:rPr>
        <w:t>资格证明（格式见附件3）</w:t>
      </w:r>
    </w:p>
    <w:p>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（3）法定代表人授权书（格式见附件4）</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（4）被授权人自</w:t>
      </w:r>
      <w:r>
        <w:rPr>
          <w:rFonts w:hint="eastAsia"/>
          <w:b/>
          <w:bCs/>
          <w:color w:val="000000" w:themeColor="text1"/>
          <w:sz w:val="24"/>
          <w14:textFill>
            <w14:solidFill>
              <w14:schemeClr w14:val="tx1"/>
            </w14:solidFill>
          </w14:textFill>
        </w:rPr>
        <w:t>2</w:t>
      </w:r>
      <w:r>
        <w:rPr>
          <w:b/>
          <w:bCs/>
          <w:color w:val="000000" w:themeColor="text1"/>
          <w:sz w:val="24"/>
          <w14:textFill>
            <w14:solidFill>
              <w14:schemeClr w14:val="tx1"/>
            </w14:solidFill>
          </w14:textFill>
        </w:rPr>
        <w:t>02</w:t>
      </w:r>
      <w:r>
        <w:rPr>
          <w:rFonts w:hint="eastAsia"/>
          <w:b/>
          <w:bCs/>
          <w:color w:val="000000" w:themeColor="text1"/>
          <w:sz w:val="24"/>
          <w:lang w:val="en-US" w:eastAsia="zh-CN"/>
          <w14:textFill>
            <w14:solidFill>
              <w14:schemeClr w14:val="tx1"/>
            </w14:solidFill>
          </w14:textFill>
        </w:rPr>
        <w:t>1</w:t>
      </w:r>
      <w:r>
        <w:rPr>
          <w:rFonts w:hint="eastAsia"/>
          <w:b/>
          <w:bCs/>
          <w:color w:val="000000" w:themeColor="text1"/>
          <w:sz w:val="24"/>
          <w14:textFill>
            <w14:solidFill>
              <w14:schemeClr w14:val="tx1"/>
            </w14:solidFill>
          </w14:textFill>
        </w:rPr>
        <w:t>年</w:t>
      </w:r>
      <w:r>
        <w:rPr>
          <w:rFonts w:hint="eastAsia"/>
          <w:b/>
          <w:bCs/>
          <w:color w:val="000000" w:themeColor="text1"/>
          <w:sz w:val="24"/>
          <w:lang w:val="en-US" w:eastAsia="zh-CN"/>
          <w14:textFill>
            <w14:solidFill>
              <w14:schemeClr w14:val="tx1"/>
            </w14:solidFill>
          </w14:textFill>
        </w:rPr>
        <w:t>1</w:t>
      </w:r>
      <w:r>
        <w:rPr>
          <w:rFonts w:hint="eastAsia"/>
          <w:b/>
          <w:bCs/>
          <w:color w:val="000000" w:themeColor="text1"/>
          <w:sz w:val="24"/>
          <w14:textFill>
            <w14:solidFill>
              <w14:schemeClr w14:val="tx1"/>
            </w14:solidFill>
          </w14:textFill>
        </w:rPr>
        <w:t>月</w:t>
      </w:r>
      <w:r>
        <w:rPr>
          <w:rFonts w:hint="eastAsia"/>
          <w:color w:val="000000" w:themeColor="text1"/>
          <w:sz w:val="24"/>
          <w14:textFill>
            <w14:solidFill>
              <w14:schemeClr w14:val="tx1"/>
            </w14:solidFill>
          </w14:textFill>
        </w:rPr>
        <w:t>以来任意一个月依法缴纳社会保障金的相关证明材料（税务、银行或社会保险基金管理部门出具）</w:t>
      </w:r>
    </w:p>
    <w:p>
      <w:pPr>
        <w:pStyle w:val="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lang w:val="en-US" w:eastAsia="zh-CN" w:bidi="ar-SA"/>
          <w14:textFill>
            <w14:solidFill>
              <w14:schemeClr w14:val="tx1"/>
            </w14:solidFill>
          </w14:textFill>
        </w:rPr>
        <w:t>（5）</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投标人</w:t>
      </w:r>
      <w:r>
        <w:rPr>
          <w:rFonts w:hint="eastAsia" w:ascii="Times New Roman" w:hAnsi="Times New Roman" w:eastAsia="宋体" w:cs="Times New Roman"/>
          <w:b/>
          <w:bCs/>
          <w:color w:val="000000" w:themeColor="text1"/>
          <w:kern w:val="2"/>
          <w:sz w:val="24"/>
          <w:szCs w:val="24"/>
          <w:lang w:val="en-US" w:eastAsia="zh-CN" w:bidi="ar-SA"/>
          <w14:textFill>
            <w14:solidFill>
              <w14:schemeClr w14:val="tx1"/>
            </w14:solidFill>
          </w14:textFill>
        </w:rPr>
        <w:t>202</w:t>
      </w:r>
      <w:r>
        <w:rPr>
          <w:rFonts w:hint="eastAsia" w:ascii="Times New Roman" w:hAnsi="Times New Roman" w:cs="Times New Roman"/>
          <w:b/>
          <w:bCs/>
          <w:color w:val="000000" w:themeColor="text1"/>
          <w:kern w:val="2"/>
          <w:sz w:val="24"/>
          <w:szCs w:val="24"/>
          <w:lang w:val="en-US" w:eastAsia="zh-CN" w:bidi="ar-SA"/>
          <w14:textFill>
            <w14:solidFill>
              <w14:schemeClr w14:val="tx1"/>
            </w14:solidFill>
          </w14:textFill>
        </w:rPr>
        <w:t>1</w:t>
      </w:r>
      <w:r>
        <w:rPr>
          <w:rFonts w:hint="eastAsia" w:ascii="Times New Roman" w:hAnsi="Times New Roman" w:eastAsia="宋体" w:cs="Times New Roman"/>
          <w:b/>
          <w:bCs/>
          <w:color w:val="000000" w:themeColor="text1"/>
          <w:kern w:val="2"/>
          <w:sz w:val="24"/>
          <w:szCs w:val="24"/>
          <w:lang w:val="en-US" w:eastAsia="zh-CN" w:bidi="ar-SA"/>
          <w14:textFill>
            <w14:solidFill>
              <w14:schemeClr w14:val="tx1"/>
            </w14:solidFill>
          </w14:textFill>
        </w:rPr>
        <w:t>年</w:t>
      </w:r>
      <w:r>
        <w:rPr>
          <w:rFonts w:hint="eastAsia" w:ascii="Times New Roman" w:hAnsi="Times New Roman" w:cs="Times New Roman"/>
          <w:b/>
          <w:bCs/>
          <w:color w:val="000000" w:themeColor="text1"/>
          <w:kern w:val="2"/>
          <w:sz w:val="24"/>
          <w:szCs w:val="24"/>
          <w:lang w:val="en-US" w:eastAsia="zh-CN" w:bidi="ar-SA"/>
          <w14:textFill>
            <w14:solidFill>
              <w14:schemeClr w14:val="tx1"/>
            </w14:solidFill>
          </w14:textFill>
        </w:rPr>
        <w:t>1</w:t>
      </w:r>
      <w:r>
        <w:rPr>
          <w:rFonts w:hint="eastAsia" w:ascii="Times New Roman" w:hAnsi="Times New Roman" w:eastAsia="宋体" w:cs="Times New Roman"/>
          <w:b/>
          <w:bCs/>
          <w:color w:val="000000" w:themeColor="text1"/>
          <w:kern w:val="2"/>
          <w:sz w:val="24"/>
          <w:szCs w:val="24"/>
          <w:lang w:val="en-US" w:eastAsia="zh-CN" w:bidi="ar-SA"/>
          <w14:textFill>
            <w14:solidFill>
              <w14:schemeClr w14:val="tx1"/>
            </w14:solidFill>
          </w14:textFill>
        </w:rPr>
        <w:t>月</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以来任意一个月依法缴纳税收的相关证明材料</w:t>
      </w:r>
    </w:p>
    <w:p>
      <w:pPr>
        <w:keepNext w:val="0"/>
        <w:keepLines w:val="0"/>
        <w:pageBreakBefore w:val="0"/>
        <w:widowControl w:val="0"/>
        <w:kinsoku/>
        <w:wordWrap/>
        <w:overflowPunct/>
        <w:topLinePunct w:val="0"/>
        <w:bidi w:val="0"/>
        <w:snapToGrid/>
        <w:spacing w:line="360" w:lineRule="auto"/>
        <w:ind w:firstLine="480" w:firstLineChars="200"/>
        <w:textAlignment w:val="auto"/>
        <w:rPr>
          <w:rFonts w:cs="宋体"/>
          <w:color w:val="auto"/>
          <w:sz w:val="24"/>
        </w:rPr>
      </w:pPr>
      <w:r>
        <w:rPr>
          <w:rFonts w:hint="eastAsia" w:cs="宋体"/>
          <w:color w:val="000000" w:themeColor="text1"/>
          <w:sz w:val="24"/>
          <w14:textFill>
            <w14:solidFill>
              <w14:schemeClr w14:val="tx1"/>
            </w14:solidFill>
          </w14:textFill>
        </w:rPr>
        <w:t>（</w:t>
      </w:r>
      <w:r>
        <w:rPr>
          <w:rFonts w:hint="eastAsia" w:cs="宋体"/>
          <w:color w:val="000000" w:themeColor="text1"/>
          <w:sz w:val="24"/>
          <w:lang w:val="en-US" w:eastAsia="zh-CN"/>
          <w14:textFill>
            <w14:solidFill>
              <w14:schemeClr w14:val="tx1"/>
            </w14:solidFill>
          </w14:textFill>
        </w:rPr>
        <w:t>6</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w:t>
      </w:r>
      <w:r>
        <w:rPr>
          <w:rFonts w:cs="宋体"/>
          <w:color w:val="auto"/>
          <w:sz w:val="24"/>
        </w:rPr>
        <w:t>记录声明（见附件</w:t>
      </w:r>
      <w:r>
        <w:rPr>
          <w:rFonts w:hint="eastAsia" w:cs="宋体"/>
          <w:color w:val="auto"/>
          <w:sz w:val="24"/>
          <w:lang w:val="en-US" w:eastAsia="zh-CN"/>
        </w:rPr>
        <w:t>6</w:t>
      </w:r>
      <w:r>
        <w:rPr>
          <w:rFonts w:cs="宋体"/>
          <w:color w:val="auto"/>
          <w:sz w:val="24"/>
        </w:rPr>
        <w:t>）</w:t>
      </w:r>
    </w:p>
    <w:p>
      <w:pPr>
        <w:keepNext w:val="0"/>
        <w:keepLines w:val="0"/>
        <w:pageBreakBefore w:val="0"/>
        <w:widowControl w:val="0"/>
        <w:kinsoku/>
        <w:wordWrap/>
        <w:overflowPunct/>
        <w:topLinePunct w:val="0"/>
        <w:bidi w:val="0"/>
        <w:snapToGrid/>
        <w:spacing w:line="360" w:lineRule="auto"/>
        <w:ind w:firstLine="480" w:firstLineChars="200"/>
        <w:textAlignment w:val="auto"/>
        <w:rPr>
          <w:color w:val="auto"/>
          <w:sz w:val="24"/>
        </w:rPr>
      </w:pPr>
      <w:r>
        <w:rPr>
          <w:rFonts w:hint="eastAsia" w:cs="宋体"/>
          <w:color w:val="auto"/>
          <w:sz w:val="24"/>
        </w:rPr>
        <w:t>（</w:t>
      </w:r>
      <w:r>
        <w:rPr>
          <w:rFonts w:hint="eastAsia" w:cs="宋体"/>
          <w:color w:val="auto"/>
          <w:sz w:val="24"/>
          <w:lang w:val="en-US" w:eastAsia="zh-CN"/>
        </w:rPr>
        <w:t>7</w:t>
      </w:r>
      <w:r>
        <w:rPr>
          <w:rFonts w:hint="eastAsia" w:cs="宋体"/>
          <w:color w:val="auto"/>
          <w:sz w:val="24"/>
        </w:rPr>
        <w:t>）诚信承诺书（见附件</w:t>
      </w:r>
      <w:r>
        <w:rPr>
          <w:rFonts w:hint="eastAsia" w:cs="宋体"/>
          <w:color w:val="auto"/>
          <w:sz w:val="24"/>
          <w:lang w:val="en-US" w:eastAsia="zh-CN"/>
        </w:rPr>
        <w:t>7</w:t>
      </w:r>
      <w:r>
        <w:rPr>
          <w:rFonts w:hint="eastAsia" w:cs="宋体"/>
          <w:color w:val="auto"/>
          <w:sz w:val="24"/>
        </w:rPr>
        <w:t>）</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胶印装订，不得</w:t>
      </w:r>
      <w:r>
        <w:rPr>
          <w:rFonts w:ascii="黑体" w:hAnsi="黑体" w:eastAsia="黑体"/>
          <w:b/>
          <w:color w:val="000000" w:themeColor="text1"/>
          <w:sz w:val="24"/>
          <w14:textFill>
            <w14:solidFill>
              <w14:schemeClr w14:val="tx1"/>
            </w14:solidFill>
          </w14:textFill>
        </w:rPr>
        <w:t>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）竞争性磋商项目编号：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）竞争性磋商项目名称：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没有按上述规定密封和标记的投标文件，采购人将不承担投标文件错放或提前开启的责任。</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4" w:name="_Toc80692423"/>
      <w:r>
        <w:rPr>
          <w:rFonts w:hint="eastAsia"/>
          <w:color w:val="000000" w:themeColor="text1"/>
          <w14:textFill>
            <w14:solidFill>
              <w14:schemeClr w14:val="tx1"/>
            </w14:solidFill>
          </w14:textFill>
        </w:rPr>
        <w:t>三、投标细则</w:t>
      </w:r>
      <w:bookmarkEnd w:id="4"/>
    </w:p>
    <w:p>
      <w:pPr>
        <w:widowControl/>
        <w:spacing w:line="440" w:lineRule="exact"/>
        <w:ind w:firstLine="42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质量要求</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lang w:val="zh-CN"/>
          <w14:textFill>
            <w14:solidFill>
              <w14:schemeClr w14:val="tx1"/>
            </w14:solidFill>
          </w14:textFill>
        </w:rPr>
        <w:t>确保整个空调系统运行正常，制冷制热效果良好。设备及装置在良好的状态下运行；发生故障</w:t>
      </w:r>
      <w:r>
        <w:rPr>
          <w:rFonts w:hint="eastAsia"/>
          <w:color w:val="000000" w:themeColor="text1"/>
          <w:sz w:val="24"/>
          <w14:textFill>
            <w14:solidFill>
              <w14:schemeClr w14:val="tx1"/>
            </w14:solidFill>
          </w14:textFill>
        </w:rPr>
        <w:t>1小时内响应。</w:t>
      </w:r>
    </w:p>
    <w:p>
      <w:pPr>
        <w:spacing w:line="460" w:lineRule="exact"/>
        <w:ind w:firstLine="472" w:firstLineChars="196"/>
        <w:rPr>
          <w:sz w:val="24"/>
        </w:rPr>
      </w:pPr>
      <w:r>
        <w:rPr>
          <w:b/>
          <w:sz w:val="24"/>
        </w:rPr>
        <w:t>3.2.</w:t>
      </w:r>
      <w:r>
        <w:rPr>
          <w:sz w:val="24"/>
        </w:rPr>
        <w:t xml:space="preserve"> </w:t>
      </w:r>
      <w:r>
        <w:rPr>
          <w:rFonts w:hint="eastAsia"/>
          <w:sz w:val="24"/>
        </w:rPr>
        <w:t>投标报价</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本次招标总控制价</w:t>
      </w: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万元，以人民币报价，超过者一律作废标处理。</w:t>
      </w:r>
    </w:p>
    <w:p>
      <w:pPr>
        <w:widowControl/>
        <w:spacing w:line="360" w:lineRule="auto"/>
        <w:ind w:firstLine="420"/>
        <w:rPr>
          <w:sz w:val="24"/>
        </w:rPr>
      </w:pPr>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pPr>
        <w:spacing w:line="360" w:lineRule="auto"/>
        <w:ind w:firstLine="480" w:firstLineChars="200"/>
        <w:rPr>
          <w:sz w:val="24"/>
        </w:rPr>
      </w:pPr>
      <w:r>
        <w:rPr>
          <w:rFonts w:hint="eastAsia"/>
          <w:sz w:val="24"/>
        </w:rPr>
        <w:t>招标人不接受投标人的任何低于成本报价的不正当竞争方式。</w:t>
      </w:r>
      <w:bookmarkStart w:id="7" w:name="OLE_LINK36"/>
      <w:bookmarkStart w:id="8" w:name="OLE_LINK35"/>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）投标人应仔细阅读竞争性磋商文件的所有内容并做出实质性的响应，同时按竞争性磋商文件规定的要求和格式，提交完整的投标文件。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逾期送达或未送达指定地点以及未按标书文件要求密封的投标文件，投标人须自行承担相应风险。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80692424"/>
      <w:r>
        <w:rPr>
          <w:rFonts w:hint="eastAsia"/>
          <w:color w:val="000000" w:themeColor="text1"/>
          <w14:textFill>
            <w14:solidFill>
              <w14:schemeClr w14:val="tx1"/>
            </w14:solidFill>
          </w14:textFill>
        </w:rPr>
        <w:t>四、谈判</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招标人按规定的时间和地点进行开评标，投标人可派一名代表（持授权代表身份证明）参加。</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color w:val="000000" w:themeColor="text1"/>
          <w:sz w:val="24"/>
          <w14:textFill>
            <w14:solidFill>
              <w14:schemeClr w14:val="tx1"/>
            </w14:solidFill>
          </w14:textFill>
        </w:rPr>
        <w:t>授权代表填写“南通大学采购谈判二次报价单”（格式见附件8）</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由采购人的代表和</w:t>
      </w:r>
      <w:r>
        <w:rPr>
          <w:rFonts w:hint="eastAsia" w:ascii="宋体"/>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投标文件出现（但不限于）下列情况之一的，由竞争性磋商小组评审后作无效投标或废标处理：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不具备竞争性磋商文件规定的资格条件及未按竞争性磋商文件规定的要求提供资格证明文件；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）重要技术指标和参数不满足竞争性磋商要求的；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）未对竞争性磋商文件实质性要求和条件做出响应的；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竞争性磋商小组认为有必要时，将要求投标人述标或对投标文件中某些内容做出澄清或说明，但不接受投标人主动提出的澄清和说明。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竞争性磋商小组将从投标人的投标报价、产品质量、技术方案、售后服务、企业状况等经济、技术和商务及其他优惠条件等方面，依据评判标准，对所有投标文件进行综合评分。</w:t>
      </w:r>
    </w:p>
    <w:p>
      <w:pPr>
        <w:pStyle w:val="4"/>
        <w:rPr>
          <w:color w:val="000000" w:themeColor="text1"/>
          <w14:textFill>
            <w14:solidFill>
              <w14:schemeClr w14:val="tx1"/>
            </w14:solidFill>
          </w14:textFill>
        </w:rPr>
      </w:pPr>
      <w:bookmarkStart w:id="10" w:name="_Toc80692425"/>
      <w:r>
        <w:rPr>
          <w:rFonts w:hint="eastAsia"/>
          <w:color w:val="000000" w:themeColor="text1"/>
          <w14:textFill>
            <w14:solidFill>
              <w14:schemeClr w14:val="tx1"/>
            </w14:solidFill>
          </w14:textFill>
        </w:rPr>
        <w:t>五、竞争性磋商方法及评判标准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spacing w:line="353" w:lineRule="auto"/>
        <w:ind w:firstLine="482" w:firstLineChars="200"/>
        <w:rPr>
          <w:rFonts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评判标准</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sz w:val="24"/>
          <w:szCs w:val="24"/>
        </w:rPr>
        <w:t>满分100分。其中技术标</w:t>
      </w:r>
      <w:r>
        <w:rPr>
          <w:rFonts w:hint="eastAsia" w:ascii="宋体" w:hAnsi="宋体" w:eastAsia="宋体" w:cs="宋体"/>
          <w:sz w:val="24"/>
          <w:szCs w:val="24"/>
        </w:rPr>
        <w:t>70分，商务标30分</w:t>
      </w:r>
      <w:r>
        <w:rPr>
          <w:rFonts w:hint="eastAsia" w:ascii="宋体" w:hAnsi="宋体" w:eastAsia="宋体" w:cs="宋体"/>
          <w:sz w:val="24"/>
          <w:szCs w:val="24"/>
          <w:lang w:eastAsia="zh-CN"/>
        </w:rPr>
        <w:t>）</w:t>
      </w:r>
    </w:p>
    <w:tbl>
      <w:tblPr>
        <w:tblStyle w:val="19"/>
        <w:tblW w:w="10114" w:type="dxa"/>
        <w:tblInd w:w="-533" w:type="dxa"/>
        <w:tblLayout w:type="fixed"/>
        <w:tblCellMar>
          <w:top w:w="0" w:type="dxa"/>
          <w:left w:w="0" w:type="dxa"/>
          <w:bottom w:w="0" w:type="dxa"/>
          <w:right w:w="0" w:type="dxa"/>
        </w:tblCellMar>
      </w:tblPr>
      <w:tblGrid>
        <w:gridCol w:w="780"/>
        <w:gridCol w:w="1170"/>
        <w:gridCol w:w="689"/>
        <w:gridCol w:w="7475"/>
      </w:tblGrid>
      <w:tr>
        <w:tblPrEx>
          <w:tblCellMar>
            <w:top w:w="0" w:type="dxa"/>
            <w:left w:w="0" w:type="dxa"/>
            <w:bottom w:w="0" w:type="dxa"/>
            <w:right w:w="0" w:type="dxa"/>
          </w:tblCellMar>
        </w:tblPrEx>
        <w:trPr>
          <w:trHeight w:val="495" w:hRule="atLeast"/>
        </w:trPr>
        <w:tc>
          <w:tcPr>
            <w:tcW w:w="1950" w:type="dxa"/>
            <w:gridSpan w:val="2"/>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Style w:val="22"/>
                <w:rFonts w:hint="eastAsia" w:ascii="宋体" w:hAnsi="宋体" w:cs="宋体"/>
                <w:color w:val="333333"/>
                <w:sz w:val="21"/>
                <w:szCs w:val="21"/>
              </w:rPr>
              <w:t>评审因素</w:t>
            </w:r>
          </w:p>
        </w:tc>
        <w:tc>
          <w:tcPr>
            <w:tcW w:w="689"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Style w:val="22"/>
                <w:rFonts w:hint="eastAsia" w:ascii="宋体" w:hAnsi="宋体" w:cs="宋体"/>
                <w:color w:val="333333"/>
                <w:sz w:val="21"/>
                <w:szCs w:val="21"/>
              </w:rPr>
              <w:t>分值</w:t>
            </w:r>
          </w:p>
        </w:tc>
        <w:tc>
          <w:tcPr>
            <w:tcW w:w="747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Style w:val="22"/>
                <w:rFonts w:hint="eastAsia" w:ascii="宋体" w:hAnsi="宋体" w:cs="宋体"/>
                <w:color w:val="333333"/>
                <w:sz w:val="21"/>
                <w:szCs w:val="21"/>
              </w:rPr>
              <w:t>评分细则</w:t>
            </w:r>
          </w:p>
        </w:tc>
      </w:tr>
      <w:tr>
        <w:tblPrEx>
          <w:tblCellMar>
            <w:top w:w="0" w:type="dxa"/>
            <w:left w:w="0" w:type="dxa"/>
            <w:bottom w:w="0" w:type="dxa"/>
            <w:right w:w="0" w:type="dxa"/>
          </w:tblCellMar>
        </w:tblPrEx>
        <w:trPr>
          <w:trHeight w:val="1071" w:hRule="atLeast"/>
        </w:trPr>
        <w:tc>
          <w:tcPr>
            <w:tcW w:w="1950"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投标</w:t>
            </w:r>
          </w:p>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报价</w:t>
            </w:r>
          </w:p>
        </w:tc>
        <w:tc>
          <w:tcPr>
            <w:tcW w:w="689"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30</w:t>
            </w:r>
          </w:p>
        </w:tc>
        <w:tc>
          <w:tcPr>
            <w:tcW w:w="74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firstLineChars="200"/>
              <w:jc w:val="both"/>
              <w:rPr>
                <w:rFonts w:ascii="宋体" w:hAnsi="宋体" w:cs="宋体"/>
                <w:color w:val="333333"/>
                <w:sz w:val="21"/>
                <w:szCs w:val="21"/>
              </w:rPr>
            </w:pPr>
            <w:r>
              <w:rPr>
                <w:rFonts w:hint="eastAsia" w:ascii="宋体" w:hAnsi="宋体" w:cs="宋体"/>
                <w:color w:val="333333"/>
                <w:sz w:val="21"/>
                <w:szCs w:val="21"/>
              </w:rPr>
              <w:t>满足招标文件要求且投标价格最低的投标报价为评标基准价，其价格分为满分，其他投标人的价格分按下列公式计算：</w:t>
            </w:r>
          </w:p>
          <w:p>
            <w:pPr>
              <w:pStyle w:val="17"/>
              <w:widowControl/>
              <w:spacing w:beforeAutospacing="0" w:afterAutospacing="0"/>
              <w:ind w:right="135" w:firstLine="420" w:firstLineChars="200"/>
              <w:jc w:val="both"/>
              <w:rPr>
                <w:rFonts w:ascii="宋体" w:hAnsi="宋体" w:cs="宋体"/>
                <w:color w:val="333333"/>
                <w:sz w:val="21"/>
                <w:szCs w:val="21"/>
              </w:rPr>
            </w:pPr>
            <w:r>
              <w:rPr>
                <w:rFonts w:hint="eastAsia" w:ascii="宋体" w:hAnsi="宋体" w:cs="宋体"/>
                <w:color w:val="333333"/>
                <w:sz w:val="21"/>
                <w:szCs w:val="21"/>
              </w:rPr>
              <w:t>投标报价得分=（投标基准价/投标报价）×30</w:t>
            </w:r>
          </w:p>
        </w:tc>
      </w:tr>
      <w:tr>
        <w:tblPrEx>
          <w:tblCellMar>
            <w:top w:w="0" w:type="dxa"/>
            <w:left w:w="0" w:type="dxa"/>
            <w:bottom w:w="0" w:type="dxa"/>
            <w:right w:w="0" w:type="dxa"/>
          </w:tblCellMar>
        </w:tblPrEx>
        <w:trPr>
          <w:trHeight w:val="1321" w:hRule="atLeast"/>
        </w:trPr>
        <w:tc>
          <w:tcPr>
            <w:tcW w:w="780" w:type="dxa"/>
            <w:vMerge w:val="restart"/>
            <w:tcBorders>
              <w:top w:val="nil"/>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hint="eastAsia" w:ascii="宋体" w:hAnsi="宋体" w:cs="宋体"/>
                <w:color w:val="333333"/>
                <w:sz w:val="21"/>
                <w:szCs w:val="21"/>
              </w:rPr>
            </w:pPr>
            <w:r>
              <w:rPr>
                <w:rFonts w:hint="eastAsia" w:ascii="宋体" w:hAnsi="宋体" w:cs="宋体"/>
                <w:color w:val="333333"/>
                <w:sz w:val="21"/>
                <w:szCs w:val="21"/>
              </w:rPr>
              <w:t>技</w:t>
            </w:r>
          </w:p>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术</w:t>
            </w:r>
          </w:p>
        </w:tc>
        <w:tc>
          <w:tcPr>
            <w:tcW w:w="1170" w:type="dxa"/>
            <w:tcBorders>
              <w:top w:val="nil"/>
              <w:left w:val="single" w:color="auto" w:sz="4" w:space="0"/>
              <w:bottom w:val="single" w:color="000000" w:sz="6" w:space="0"/>
              <w:right w:val="single" w:color="000000" w:sz="6" w:space="0"/>
            </w:tcBorders>
            <w:shd w:val="clear" w:color="auto" w:fill="auto"/>
            <w:vAlign w:val="center"/>
          </w:tcPr>
          <w:p>
            <w:pPr>
              <w:pStyle w:val="17"/>
              <w:widowControl/>
              <w:spacing w:beforeAutospacing="0" w:afterAutospacing="0"/>
              <w:ind w:right="135"/>
              <w:jc w:val="center"/>
              <w:rPr>
                <w:rFonts w:ascii="宋体" w:hAnsi="宋体" w:cs="宋体"/>
                <w:color w:val="333333"/>
                <w:sz w:val="21"/>
                <w:szCs w:val="21"/>
              </w:rPr>
            </w:pPr>
            <w:r>
              <w:rPr>
                <w:rFonts w:hint="eastAsia" w:cs="宋体"/>
                <w:color w:val="333333"/>
                <w:sz w:val="21"/>
                <w:szCs w:val="21"/>
                <w:lang w:val="en-US" w:eastAsia="zh-CN"/>
              </w:rPr>
              <w:t>维保</w:t>
            </w:r>
            <w:r>
              <w:rPr>
                <w:rFonts w:hint="eastAsia" w:ascii="宋体" w:hAnsi="宋体" w:cs="宋体"/>
                <w:color w:val="333333"/>
                <w:sz w:val="21"/>
                <w:szCs w:val="21"/>
              </w:rPr>
              <w:t>方案</w:t>
            </w:r>
          </w:p>
        </w:tc>
        <w:tc>
          <w:tcPr>
            <w:tcW w:w="689"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hint="default" w:ascii="宋体" w:hAnsi="宋体" w:eastAsia="宋体" w:cs="宋体"/>
                <w:color w:val="333333"/>
                <w:sz w:val="21"/>
                <w:szCs w:val="21"/>
                <w:lang w:val="en-US" w:eastAsia="zh-CN"/>
              </w:rPr>
            </w:pPr>
            <w:r>
              <w:rPr>
                <w:rFonts w:hint="eastAsia" w:cs="宋体"/>
                <w:color w:val="333333"/>
                <w:sz w:val="21"/>
                <w:szCs w:val="21"/>
                <w:lang w:val="en-US" w:eastAsia="zh-CN"/>
              </w:rPr>
              <w:t>30</w:t>
            </w:r>
          </w:p>
        </w:tc>
        <w:tc>
          <w:tcPr>
            <w:tcW w:w="74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jc w:val="both"/>
              <w:rPr>
                <w:rFonts w:ascii="宋体" w:hAnsi="宋体" w:cs="宋体"/>
                <w:color w:val="333333"/>
                <w:sz w:val="21"/>
                <w:szCs w:val="21"/>
              </w:rPr>
            </w:pPr>
            <w:r>
              <w:rPr>
                <w:rFonts w:hint="eastAsia" w:ascii="宋体" w:hAnsi="宋体"/>
                <w:kern w:val="28"/>
                <w:sz w:val="21"/>
                <w:szCs w:val="21"/>
              </w:rPr>
              <w:t>维保方案科学合理、可靠可行，不仅完全满足学校维保需求，而且对学校的</w:t>
            </w:r>
            <w:r>
              <w:rPr>
                <w:rFonts w:hint="eastAsia"/>
                <w:kern w:val="28"/>
                <w:sz w:val="21"/>
                <w:szCs w:val="21"/>
                <w:lang w:val="en-US" w:eastAsia="zh-CN"/>
              </w:rPr>
              <w:t>中央空调</w:t>
            </w:r>
            <w:r>
              <w:rPr>
                <w:rFonts w:hint="eastAsia" w:ascii="宋体" w:hAnsi="宋体"/>
                <w:kern w:val="28"/>
                <w:sz w:val="21"/>
                <w:szCs w:val="21"/>
              </w:rPr>
              <w:t>设备设施维护管理提出详实的合理化建议。本项由评标委员会根据各投标文件内容进行比对评分。评分标准分为：优秀、良好、一般、差，四个等级。优秀得</w:t>
            </w:r>
            <w:r>
              <w:rPr>
                <w:rFonts w:hint="eastAsia"/>
                <w:kern w:val="28"/>
                <w:sz w:val="21"/>
                <w:szCs w:val="21"/>
                <w:lang w:val="en-US" w:eastAsia="zh-CN"/>
              </w:rPr>
              <w:t>21</w:t>
            </w:r>
            <w:r>
              <w:rPr>
                <w:rFonts w:hint="eastAsia" w:ascii="宋体" w:hAnsi="宋体"/>
                <w:kern w:val="28"/>
                <w:sz w:val="21"/>
                <w:szCs w:val="21"/>
                <w:lang w:val="en-US" w:eastAsia="zh-CN"/>
              </w:rPr>
              <w:t>-</w:t>
            </w:r>
            <w:r>
              <w:rPr>
                <w:rFonts w:hint="eastAsia"/>
                <w:kern w:val="28"/>
                <w:sz w:val="21"/>
                <w:szCs w:val="21"/>
                <w:lang w:val="en-US" w:eastAsia="zh-CN"/>
              </w:rPr>
              <w:t>30</w:t>
            </w:r>
            <w:r>
              <w:rPr>
                <w:rFonts w:hint="eastAsia" w:ascii="宋体" w:hAnsi="宋体"/>
                <w:kern w:val="28"/>
                <w:sz w:val="21"/>
                <w:szCs w:val="21"/>
              </w:rPr>
              <w:t>分；良好得</w:t>
            </w:r>
            <w:r>
              <w:rPr>
                <w:rFonts w:hint="eastAsia"/>
                <w:kern w:val="28"/>
                <w:sz w:val="21"/>
                <w:szCs w:val="21"/>
                <w:lang w:val="en-US" w:eastAsia="zh-CN"/>
              </w:rPr>
              <w:t>11</w:t>
            </w:r>
            <w:r>
              <w:rPr>
                <w:rFonts w:hint="eastAsia" w:ascii="宋体" w:hAnsi="宋体"/>
                <w:kern w:val="28"/>
                <w:sz w:val="21"/>
                <w:szCs w:val="21"/>
                <w:lang w:val="en-US" w:eastAsia="zh-CN"/>
              </w:rPr>
              <w:t>-</w:t>
            </w:r>
            <w:r>
              <w:rPr>
                <w:rFonts w:hint="eastAsia"/>
                <w:kern w:val="28"/>
                <w:sz w:val="21"/>
                <w:szCs w:val="21"/>
                <w:lang w:val="en-US" w:eastAsia="zh-CN"/>
              </w:rPr>
              <w:t>20</w:t>
            </w:r>
            <w:r>
              <w:rPr>
                <w:rFonts w:hint="eastAsia" w:ascii="宋体" w:hAnsi="宋体"/>
                <w:kern w:val="28"/>
                <w:sz w:val="21"/>
                <w:szCs w:val="21"/>
              </w:rPr>
              <w:t>分；一般得</w:t>
            </w:r>
            <w:r>
              <w:rPr>
                <w:rFonts w:hint="eastAsia"/>
                <w:kern w:val="28"/>
                <w:sz w:val="21"/>
                <w:szCs w:val="21"/>
                <w:lang w:val="en-US" w:eastAsia="zh-CN"/>
              </w:rPr>
              <w:t>1</w:t>
            </w:r>
            <w:r>
              <w:rPr>
                <w:rFonts w:hint="eastAsia" w:ascii="宋体" w:hAnsi="宋体"/>
                <w:kern w:val="28"/>
                <w:sz w:val="21"/>
                <w:szCs w:val="21"/>
                <w:lang w:val="en-US" w:eastAsia="zh-CN"/>
              </w:rPr>
              <w:t>-</w:t>
            </w:r>
            <w:r>
              <w:rPr>
                <w:rFonts w:hint="eastAsia"/>
                <w:kern w:val="28"/>
                <w:sz w:val="21"/>
                <w:szCs w:val="21"/>
                <w:lang w:val="en-US" w:eastAsia="zh-CN"/>
              </w:rPr>
              <w:t>10</w:t>
            </w:r>
            <w:r>
              <w:rPr>
                <w:rFonts w:hint="eastAsia" w:ascii="宋体" w:hAnsi="宋体"/>
                <w:kern w:val="28"/>
                <w:sz w:val="21"/>
                <w:szCs w:val="21"/>
              </w:rPr>
              <w:t>分；差</w:t>
            </w:r>
            <w:r>
              <w:rPr>
                <w:rFonts w:hint="eastAsia"/>
                <w:kern w:val="28"/>
                <w:sz w:val="21"/>
                <w:szCs w:val="21"/>
                <w:lang w:val="en-US" w:eastAsia="zh-CN"/>
              </w:rPr>
              <w:t>不得分</w:t>
            </w:r>
            <w:r>
              <w:rPr>
                <w:rFonts w:hint="eastAsia" w:ascii="宋体" w:hAnsi="宋体"/>
                <w:kern w:val="28"/>
                <w:sz w:val="21"/>
                <w:szCs w:val="21"/>
              </w:rPr>
              <w:t>。</w:t>
            </w:r>
          </w:p>
        </w:tc>
      </w:tr>
      <w:tr>
        <w:tblPrEx>
          <w:tblCellMar>
            <w:top w:w="0" w:type="dxa"/>
            <w:left w:w="0" w:type="dxa"/>
            <w:bottom w:w="0" w:type="dxa"/>
            <w:right w:w="0" w:type="dxa"/>
          </w:tblCellMar>
        </w:tblPrEx>
        <w:trPr>
          <w:trHeight w:val="90"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nil"/>
              <w:left w:val="single" w:color="auto" w:sz="4" w:space="0"/>
              <w:bottom w:val="single" w:color="auto" w:sz="4" w:space="0"/>
              <w:right w:val="single" w:color="000000" w:sz="6" w:space="0"/>
            </w:tcBorders>
            <w:shd w:val="clear" w:color="auto" w:fill="auto"/>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服务承诺</w:t>
            </w:r>
          </w:p>
        </w:tc>
        <w:tc>
          <w:tcPr>
            <w:tcW w:w="689"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hint="default" w:ascii="宋体" w:hAnsi="宋体" w:eastAsia="宋体" w:cs="宋体"/>
                <w:color w:val="333333"/>
                <w:sz w:val="21"/>
                <w:szCs w:val="21"/>
                <w:lang w:val="en-US" w:eastAsia="zh-CN"/>
              </w:rPr>
            </w:pPr>
            <w:r>
              <w:rPr>
                <w:rFonts w:hint="eastAsia" w:cs="宋体"/>
                <w:color w:val="333333"/>
                <w:sz w:val="21"/>
                <w:szCs w:val="21"/>
                <w:lang w:val="en-US" w:eastAsia="zh-CN"/>
              </w:rPr>
              <w:t>10</w:t>
            </w:r>
          </w:p>
        </w:tc>
        <w:tc>
          <w:tcPr>
            <w:tcW w:w="7475"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按照竞争性磋商文件要求，对投标人的服务承诺进行评价。</w:t>
            </w:r>
          </w:p>
          <w:p>
            <w:pPr>
              <w:pStyle w:val="17"/>
              <w:widowControl/>
              <w:spacing w:beforeAutospacing="0" w:afterAutospacing="0"/>
              <w:ind w:right="135" w:firstLine="42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1、安全服务承诺：承诺承揽的维保服务项目每一个环节安全运行，无隐患。</w:t>
            </w:r>
          </w:p>
          <w:p>
            <w:pPr>
              <w:pStyle w:val="17"/>
              <w:widowControl/>
              <w:spacing w:beforeAutospacing="0" w:afterAutospacing="0"/>
              <w:ind w:right="135" w:firstLine="42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2、及时服务承诺：除遵守竞争性磋商文件要求外，对一切突发事件能够做到及时、快捷处置</w:t>
            </w:r>
            <w:r>
              <w:rPr>
                <w:rFonts w:hint="eastAsia" w:cs="宋体"/>
                <w:color w:val="000000"/>
                <w:kern w:val="2"/>
                <w:sz w:val="21"/>
                <w:szCs w:val="21"/>
                <w:lang w:val="en-US" w:eastAsia="zh-CN" w:bidi="ar-SA"/>
              </w:rPr>
              <w:t>并定期巡检</w:t>
            </w:r>
            <w:r>
              <w:rPr>
                <w:rFonts w:hint="eastAsia" w:ascii="宋体" w:hAnsi="宋体" w:eastAsia="宋体" w:cs="宋体"/>
                <w:color w:val="000000"/>
                <w:kern w:val="2"/>
                <w:sz w:val="21"/>
                <w:szCs w:val="21"/>
                <w:lang w:val="en-US" w:eastAsia="zh-CN" w:bidi="ar-SA"/>
              </w:rPr>
              <w:t>。</w:t>
            </w:r>
          </w:p>
          <w:p>
            <w:pPr>
              <w:pStyle w:val="17"/>
              <w:widowControl/>
              <w:spacing w:beforeAutospacing="0" w:afterAutospacing="0"/>
              <w:ind w:right="135" w:firstLine="42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3、规范服务承诺：承诺每一个技术动作符合设施技术规范等相关承诺。</w:t>
            </w:r>
          </w:p>
          <w:p>
            <w:pPr>
              <w:pStyle w:val="17"/>
              <w:widowControl/>
              <w:spacing w:beforeAutospacing="0" w:afterAutospacing="0"/>
              <w:ind w:right="135" w:firstLine="42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4、其他服务承诺。</w:t>
            </w:r>
          </w:p>
          <w:p>
            <w:pPr>
              <w:pStyle w:val="17"/>
              <w:widowControl/>
              <w:spacing w:beforeAutospacing="0" w:afterAutospacing="0"/>
              <w:ind w:right="135" w:firstLine="420"/>
              <w:jc w:val="both"/>
              <w:rPr>
                <w:rFonts w:hint="eastAsia" w:ascii="宋体" w:hAnsi="宋体" w:eastAsia="宋体" w:cs="Times New Roman"/>
                <w:kern w:val="28"/>
                <w:sz w:val="21"/>
                <w:szCs w:val="21"/>
                <w:lang w:val="en-US" w:eastAsia="zh-CN" w:bidi="ar-SA"/>
              </w:rPr>
            </w:pPr>
            <w:r>
              <w:rPr>
                <w:rFonts w:hint="eastAsia" w:ascii="宋体" w:hAnsi="宋体" w:eastAsia="宋体" w:cs="宋体"/>
                <w:color w:val="000000"/>
                <w:kern w:val="2"/>
                <w:sz w:val="21"/>
                <w:szCs w:val="21"/>
                <w:lang w:val="en-US" w:eastAsia="zh-CN" w:bidi="ar-SA"/>
              </w:rPr>
              <w:t>5、评估分为：优秀、良好、一般、差，四个等级。优秀得</w:t>
            </w:r>
            <w:r>
              <w:rPr>
                <w:rFonts w:hint="eastAsia" w:cs="宋体"/>
                <w:color w:val="000000"/>
                <w:kern w:val="2"/>
                <w:sz w:val="21"/>
                <w:szCs w:val="21"/>
                <w:lang w:val="en-US" w:eastAsia="zh-CN" w:bidi="ar-SA"/>
              </w:rPr>
              <w:t>8</w:t>
            </w:r>
            <w:r>
              <w:rPr>
                <w:rFonts w:hint="eastAsia" w:ascii="宋体" w:hAnsi="宋体" w:eastAsia="宋体" w:cs="宋体"/>
                <w:color w:val="000000"/>
                <w:kern w:val="2"/>
                <w:sz w:val="21"/>
                <w:szCs w:val="21"/>
                <w:lang w:val="en-US" w:eastAsia="zh-CN" w:bidi="ar-SA"/>
              </w:rPr>
              <w:t>-</w:t>
            </w:r>
            <w:r>
              <w:rPr>
                <w:rFonts w:hint="eastAsia" w:cs="宋体"/>
                <w:color w:val="000000"/>
                <w:kern w:val="2"/>
                <w:sz w:val="21"/>
                <w:szCs w:val="21"/>
                <w:lang w:val="en-US" w:eastAsia="zh-CN" w:bidi="ar-SA"/>
              </w:rPr>
              <w:t>10</w:t>
            </w:r>
            <w:r>
              <w:rPr>
                <w:rFonts w:hint="eastAsia" w:ascii="宋体" w:hAnsi="宋体" w:eastAsia="宋体" w:cs="宋体"/>
                <w:color w:val="000000"/>
                <w:kern w:val="2"/>
                <w:sz w:val="21"/>
                <w:szCs w:val="21"/>
                <w:lang w:val="en-US" w:eastAsia="zh-CN" w:bidi="ar-SA"/>
              </w:rPr>
              <w:t>分；良好得</w:t>
            </w:r>
            <w:r>
              <w:rPr>
                <w:rFonts w:hint="eastAsia" w:cs="宋体"/>
                <w:color w:val="000000"/>
                <w:kern w:val="2"/>
                <w:sz w:val="21"/>
                <w:szCs w:val="21"/>
                <w:lang w:val="en-US" w:eastAsia="zh-CN" w:bidi="ar-SA"/>
              </w:rPr>
              <w:t>5</w:t>
            </w:r>
            <w:r>
              <w:rPr>
                <w:rFonts w:hint="eastAsia" w:ascii="宋体" w:hAnsi="宋体" w:eastAsia="宋体" w:cs="宋体"/>
                <w:color w:val="000000"/>
                <w:kern w:val="2"/>
                <w:sz w:val="21"/>
                <w:szCs w:val="21"/>
                <w:lang w:val="en-US" w:eastAsia="zh-CN" w:bidi="ar-SA"/>
              </w:rPr>
              <w:t>-</w:t>
            </w:r>
            <w:r>
              <w:rPr>
                <w:rFonts w:hint="eastAsia" w:cs="宋体"/>
                <w:color w:val="000000"/>
                <w:kern w:val="2"/>
                <w:sz w:val="21"/>
                <w:szCs w:val="21"/>
                <w:lang w:val="en-US" w:eastAsia="zh-CN" w:bidi="ar-SA"/>
              </w:rPr>
              <w:t>7</w:t>
            </w:r>
            <w:r>
              <w:rPr>
                <w:rFonts w:hint="eastAsia" w:ascii="宋体" w:hAnsi="宋体" w:eastAsia="宋体" w:cs="宋体"/>
                <w:color w:val="000000"/>
                <w:kern w:val="2"/>
                <w:sz w:val="21"/>
                <w:szCs w:val="21"/>
                <w:lang w:val="en-US" w:eastAsia="zh-CN" w:bidi="ar-SA"/>
              </w:rPr>
              <w:t>分；一般得</w:t>
            </w:r>
            <w:r>
              <w:rPr>
                <w:rFonts w:hint="eastAsia" w:cs="宋体"/>
                <w:color w:val="000000"/>
                <w:kern w:val="2"/>
                <w:sz w:val="21"/>
                <w:szCs w:val="21"/>
                <w:lang w:val="en-US" w:eastAsia="zh-CN" w:bidi="ar-SA"/>
              </w:rPr>
              <w:t>1-4</w:t>
            </w:r>
            <w:r>
              <w:rPr>
                <w:rFonts w:hint="eastAsia" w:ascii="宋体" w:hAnsi="宋体" w:eastAsia="宋体" w:cs="宋体"/>
                <w:color w:val="000000"/>
                <w:kern w:val="2"/>
                <w:sz w:val="21"/>
                <w:szCs w:val="21"/>
                <w:lang w:val="en-US" w:eastAsia="zh-CN" w:bidi="ar-SA"/>
              </w:rPr>
              <w:t>分；差</w:t>
            </w:r>
            <w:r>
              <w:rPr>
                <w:rFonts w:hint="eastAsia" w:cs="宋体"/>
                <w:color w:val="000000"/>
                <w:kern w:val="2"/>
                <w:sz w:val="21"/>
                <w:szCs w:val="21"/>
                <w:lang w:val="en-US" w:eastAsia="zh-CN" w:bidi="ar-SA"/>
              </w:rPr>
              <w:t>不得分</w:t>
            </w:r>
            <w:r>
              <w:rPr>
                <w:rFonts w:hint="eastAsia" w:ascii="宋体" w:hAnsi="宋体" w:eastAsia="宋体" w:cs="宋体"/>
                <w:color w:val="000000"/>
                <w:kern w:val="2"/>
                <w:sz w:val="21"/>
                <w:szCs w:val="21"/>
                <w:lang w:val="en-US" w:eastAsia="zh-CN" w:bidi="ar-SA"/>
              </w:rPr>
              <w:t>。</w:t>
            </w:r>
          </w:p>
        </w:tc>
      </w:tr>
      <w:tr>
        <w:tblPrEx>
          <w:tblCellMar>
            <w:top w:w="0" w:type="dxa"/>
            <w:left w:w="0" w:type="dxa"/>
            <w:bottom w:w="0" w:type="dxa"/>
            <w:right w:w="0" w:type="dxa"/>
          </w:tblCellMar>
        </w:tblPrEx>
        <w:trPr>
          <w:trHeight w:val="3050"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single" w:color="auto" w:sz="4" w:space="0"/>
              <w:left w:val="single" w:color="auto" w:sz="4" w:space="0"/>
              <w:bottom w:val="single" w:color="auto" w:sz="4" w:space="0"/>
              <w:right w:val="single" w:color="000000" w:sz="6" w:space="0"/>
            </w:tcBorders>
            <w:shd w:val="clear" w:color="auto" w:fill="auto"/>
            <w:vAlign w:val="center"/>
          </w:tcPr>
          <w:p>
            <w:pPr>
              <w:spacing w:line="400" w:lineRule="exact"/>
              <w:jc w:val="center"/>
              <w:rPr>
                <w:rFonts w:hint="eastAsia" w:ascii="仿宋_GB2312" w:hAnsi="宋体" w:eastAsia="仿宋_GB2312" w:cs="宋体"/>
                <w:kern w:val="2"/>
                <w:sz w:val="28"/>
                <w:szCs w:val="28"/>
                <w:lang w:val="en-US" w:eastAsia="zh-CN" w:bidi="ar-SA"/>
              </w:rPr>
            </w:pPr>
            <w:r>
              <w:rPr>
                <w:rFonts w:hint="eastAsia" w:ascii="宋体" w:hAnsi="宋体" w:eastAsia="宋体" w:cs="宋体"/>
                <w:sz w:val="21"/>
                <w:szCs w:val="21"/>
              </w:rPr>
              <w:t>维保服务安全防范措施</w:t>
            </w:r>
          </w:p>
        </w:tc>
        <w:tc>
          <w:tcPr>
            <w:tcW w:w="68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jc w:val="center"/>
              <w:rPr>
                <w:rFonts w:hint="default" w:ascii="仿宋_GB2312" w:hAnsi="宋体" w:eastAsia="仿宋_GB2312" w:cs="宋体"/>
                <w:kern w:val="2"/>
                <w:sz w:val="28"/>
                <w:szCs w:val="28"/>
                <w:lang w:val="en-US" w:eastAsia="zh-CN" w:bidi="ar-SA"/>
              </w:rPr>
            </w:pPr>
            <w:r>
              <w:rPr>
                <w:rFonts w:hint="eastAsia" w:ascii="仿宋_GB2312" w:hAnsi="宋体" w:eastAsia="仿宋_GB2312" w:cs="宋体"/>
                <w:sz w:val="21"/>
                <w:szCs w:val="21"/>
                <w:lang w:val="en-US" w:eastAsia="zh-CN"/>
              </w:rPr>
              <w:t>10</w:t>
            </w:r>
          </w:p>
        </w:tc>
        <w:tc>
          <w:tcPr>
            <w:tcW w:w="7475"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ind w:firstLine="420" w:firstLineChars="200"/>
              <w:jc w:val="left"/>
              <w:rPr>
                <w:rFonts w:ascii="宋体" w:hAnsi="宋体"/>
                <w:kern w:val="28"/>
                <w:szCs w:val="21"/>
              </w:rPr>
            </w:pPr>
            <w:r>
              <w:rPr>
                <w:rFonts w:hint="eastAsia" w:ascii="宋体" w:hAnsi="宋体"/>
                <w:kern w:val="28"/>
                <w:szCs w:val="21"/>
              </w:rPr>
              <w:t>维保人员对</w:t>
            </w:r>
            <w:r>
              <w:rPr>
                <w:rFonts w:hint="eastAsia" w:ascii="宋体" w:hAnsi="宋体"/>
                <w:kern w:val="28"/>
                <w:szCs w:val="21"/>
                <w:lang w:val="en-US" w:eastAsia="zh-CN"/>
              </w:rPr>
              <w:t>空调</w:t>
            </w:r>
            <w:r>
              <w:rPr>
                <w:rFonts w:hint="eastAsia" w:ascii="宋体" w:hAnsi="宋体"/>
                <w:kern w:val="28"/>
                <w:szCs w:val="21"/>
              </w:rPr>
              <w:t>进行检测、维保过程中要有维保服务的安全防范措施。</w:t>
            </w:r>
          </w:p>
          <w:p>
            <w:pPr>
              <w:spacing w:line="400" w:lineRule="exact"/>
              <w:ind w:firstLine="420" w:firstLineChars="200"/>
              <w:jc w:val="left"/>
              <w:rPr>
                <w:rFonts w:ascii="宋体" w:hAnsi="宋体"/>
                <w:kern w:val="28"/>
                <w:szCs w:val="21"/>
              </w:rPr>
            </w:pPr>
            <w:r>
              <w:rPr>
                <w:rFonts w:hint="eastAsia" w:ascii="宋体" w:hAnsi="宋体"/>
                <w:kern w:val="28"/>
                <w:szCs w:val="21"/>
              </w:rPr>
              <w:t>1、维保作业时需要穿工作装，防护鞋</w:t>
            </w:r>
            <w:r>
              <w:rPr>
                <w:rFonts w:hint="eastAsia" w:ascii="宋体" w:hAnsi="宋体"/>
                <w:kern w:val="28"/>
                <w:szCs w:val="21"/>
                <w:lang w:val="en-US" w:eastAsia="zh-CN"/>
              </w:rPr>
              <w:t>及</w:t>
            </w:r>
            <w:r>
              <w:rPr>
                <w:rFonts w:hint="eastAsia" w:ascii="宋体" w:hAnsi="宋体"/>
                <w:kern w:val="28"/>
                <w:szCs w:val="21"/>
              </w:rPr>
              <w:t>防护口罩，避免灰尘吸入</w:t>
            </w:r>
            <w:r>
              <w:rPr>
                <w:rFonts w:hint="eastAsia" w:ascii="宋体" w:hAnsi="宋体"/>
                <w:kern w:val="28"/>
                <w:szCs w:val="21"/>
                <w:lang w:val="en-US" w:eastAsia="zh-CN"/>
              </w:rPr>
              <w:t>等</w:t>
            </w:r>
            <w:r>
              <w:rPr>
                <w:rFonts w:hint="eastAsia" w:ascii="宋体" w:hAnsi="宋体"/>
                <w:kern w:val="28"/>
                <w:szCs w:val="21"/>
              </w:rPr>
              <w:t>。</w:t>
            </w:r>
          </w:p>
          <w:p>
            <w:pPr>
              <w:spacing w:line="400" w:lineRule="exact"/>
              <w:ind w:firstLine="420" w:firstLineChars="200"/>
              <w:jc w:val="left"/>
              <w:rPr>
                <w:rFonts w:ascii="宋体" w:hAnsi="宋体"/>
                <w:kern w:val="28"/>
                <w:szCs w:val="21"/>
              </w:rPr>
            </w:pPr>
            <w:r>
              <w:rPr>
                <w:rFonts w:hint="eastAsia" w:ascii="宋体" w:hAnsi="宋体"/>
                <w:kern w:val="28"/>
                <w:szCs w:val="21"/>
              </w:rPr>
              <w:t>2、高处作业必须戴安全帽，不得投掷材料、工具。</w:t>
            </w:r>
          </w:p>
          <w:p>
            <w:pPr>
              <w:spacing w:line="400" w:lineRule="exact"/>
              <w:ind w:firstLine="420" w:firstLineChars="200"/>
              <w:jc w:val="left"/>
              <w:rPr>
                <w:rFonts w:ascii="宋体" w:hAnsi="宋体"/>
                <w:kern w:val="28"/>
                <w:szCs w:val="21"/>
              </w:rPr>
            </w:pPr>
            <w:r>
              <w:rPr>
                <w:rFonts w:hint="eastAsia" w:ascii="宋体" w:hAnsi="宋体"/>
                <w:kern w:val="28"/>
                <w:szCs w:val="21"/>
              </w:rPr>
              <w:t>3、作业前要有统一部署，指定负责人对现场作业进行分工，并协调指挥。</w:t>
            </w:r>
          </w:p>
          <w:p>
            <w:pPr>
              <w:spacing w:line="400" w:lineRule="exact"/>
              <w:ind w:firstLine="420" w:firstLineChars="200"/>
              <w:jc w:val="left"/>
              <w:rPr>
                <w:rFonts w:ascii="宋体" w:hAnsi="宋体"/>
                <w:kern w:val="28"/>
                <w:szCs w:val="21"/>
              </w:rPr>
            </w:pPr>
            <w:r>
              <w:rPr>
                <w:rFonts w:hint="eastAsia" w:ascii="宋体" w:hAnsi="宋体"/>
                <w:kern w:val="28"/>
                <w:szCs w:val="21"/>
              </w:rPr>
              <w:t>4、其它安全防范措施。</w:t>
            </w:r>
          </w:p>
          <w:p>
            <w:pPr>
              <w:spacing w:line="400" w:lineRule="exact"/>
              <w:ind w:firstLine="420" w:firstLineChars="200"/>
              <w:rPr>
                <w:rFonts w:hint="eastAsia" w:ascii="宋体" w:hAnsi="宋体" w:eastAsia="宋体" w:cs="Times New Roman"/>
                <w:kern w:val="28"/>
                <w:sz w:val="21"/>
                <w:szCs w:val="21"/>
                <w:lang w:val="en-US" w:eastAsia="zh-CN" w:bidi="ar-SA"/>
              </w:rPr>
            </w:pPr>
            <w:r>
              <w:rPr>
                <w:rFonts w:hint="eastAsia" w:ascii="宋体" w:hAnsi="宋体"/>
                <w:kern w:val="28"/>
                <w:szCs w:val="21"/>
              </w:rPr>
              <w:t>5、安全防范措施评估分为：优秀、良好、一般、差，四个等级，优秀得</w:t>
            </w:r>
            <w:r>
              <w:rPr>
                <w:rFonts w:hint="eastAsia" w:ascii="宋体" w:hAnsi="宋体"/>
                <w:kern w:val="28"/>
                <w:szCs w:val="21"/>
                <w:lang w:val="en-US" w:eastAsia="zh-CN"/>
              </w:rPr>
              <w:t>8-10</w:t>
            </w:r>
            <w:r>
              <w:rPr>
                <w:rFonts w:hint="eastAsia" w:ascii="宋体" w:hAnsi="宋体"/>
                <w:kern w:val="28"/>
                <w:szCs w:val="21"/>
              </w:rPr>
              <w:t>分；良好得</w:t>
            </w:r>
            <w:r>
              <w:rPr>
                <w:rFonts w:hint="eastAsia" w:ascii="宋体" w:hAnsi="宋体"/>
                <w:kern w:val="28"/>
                <w:szCs w:val="21"/>
                <w:lang w:val="en-US" w:eastAsia="zh-CN"/>
              </w:rPr>
              <w:t>5-7</w:t>
            </w:r>
            <w:r>
              <w:rPr>
                <w:rFonts w:hint="eastAsia" w:ascii="宋体" w:hAnsi="宋体"/>
                <w:kern w:val="28"/>
                <w:szCs w:val="21"/>
              </w:rPr>
              <w:t>分；一般得</w:t>
            </w:r>
            <w:r>
              <w:rPr>
                <w:rFonts w:hint="eastAsia" w:ascii="宋体" w:hAnsi="宋体"/>
                <w:kern w:val="28"/>
                <w:szCs w:val="21"/>
                <w:lang w:val="en-US" w:eastAsia="zh-CN"/>
              </w:rPr>
              <w:t>1-4</w:t>
            </w:r>
            <w:r>
              <w:rPr>
                <w:rFonts w:hint="eastAsia" w:ascii="宋体" w:hAnsi="宋体"/>
                <w:kern w:val="28"/>
                <w:szCs w:val="21"/>
              </w:rPr>
              <w:t>分；差</w:t>
            </w:r>
            <w:r>
              <w:rPr>
                <w:rFonts w:hint="eastAsia" w:ascii="宋体" w:hAnsi="宋体"/>
                <w:kern w:val="28"/>
                <w:szCs w:val="21"/>
                <w:lang w:val="en-US" w:eastAsia="zh-CN"/>
              </w:rPr>
              <w:t>不得分</w:t>
            </w:r>
            <w:r>
              <w:rPr>
                <w:rFonts w:hint="eastAsia" w:ascii="宋体" w:hAnsi="宋体"/>
                <w:kern w:val="28"/>
                <w:szCs w:val="21"/>
              </w:rPr>
              <w:t>。</w:t>
            </w:r>
          </w:p>
        </w:tc>
      </w:tr>
      <w:tr>
        <w:tblPrEx>
          <w:tblCellMar>
            <w:top w:w="0" w:type="dxa"/>
            <w:left w:w="0" w:type="dxa"/>
            <w:bottom w:w="0" w:type="dxa"/>
            <w:right w:w="0" w:type="dxa"/>
          </w:tblCellMar>
        </w:tblPrEx>
        <w:trPr>
          <w:trHeight w:val="1288"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single" w:color="auto" w:sz="4" w:space="0"/>
              <w:left w:val="single" w:color="auto" w:sz="4" w:space="0"/>
              <w:bottom w:val="single" w:color="auto" w:sz="4" w:space="0"/>
              <w:right w:val="single" w:color="000000" w:sz="6" w:space="0"/>
            </w:tcBorders>
            <w:shd w:val="clear" w:color="auto" w:fill="auto"/>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备品备件承诺</w:t>
            </w:r>
          </w:p>
        </w:tc>
        <w:tc>
          <w:tcPr>
            <w:tcW w:w="68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4</w:t>
            </w:r>
          </w:p>
        </w:tc>
        <w:tc>
          <w:tcPr>
            <w:tcW w:w="7475"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ind w:firstLine="420" w:firstLineChars="200"/>
              <w:jc w:val="left"/>
              <w:rPr>
                <w:rFonts w:hint="eastAsia" w:ascii="宋体" w:hAnsi="宋体" w:eastAsia="宋体" w:cs="Times New Roman"/>
                <w:kern w:val="28"/>
                <w:sz w:val="21"/>
                <w:szCs w:val="21"/>
                <w:lang w:val="en-US" w:eastAsia="zh-CN" w:bidi="ar-SA"/>
              </w:rPr>
            </w:pPr>
            <w:r>
              <w:rPr>
                <w:rFonts w:hint="eastAsia" w:ascii="宋体" w:hAnsi="宋体"/>
                <w:kern w:val="28"/>
                <w:szCs w:val="21"/>
              </w:rPr>
              <w:t>承诺维保过程中使用同品牌型号产品进行替换维修，如有停产产品维修需提供不得低于校园目前使用同类型参数产品，提供承诺的得</w:t>
            </w:r>
            <w:r>
              <w:rPr>
                <w:rFonts w:hint="eastAsia" w:ascii="宋体" w:hAnsi="宋体"/>
                <w:kern w:val="28"/>
                <w:szCs w:val="21"/>
                <w:lang w:val="en-US" w:eastAsia="zh-CN"/>
              </w:rPr>
              <w:t>4</w:t>
            </w:r>
            <w:r>
              <w:rPr>
                <w:rFonts w:hint="eastAsia" w:ascii="宋体" w:hAnsi="宋体"/>
                <w:kern w:val="28"/>
                <w:szCs w:val="21"/>
              </w:rPr>
              <w:t>分，不提供不得分。</w:t>
            </w:r>
          </w:p>
        </w:tc>
      </w:tr>
      <w:tr>
        <w:tblPrEx>
          <w:tblCellMar>
            <w:top w:w="0" w:type="dxa"/>
            <w:left w:w="0" w:type="dxa"/>
            <w:bottom w:w="0" w:type="dxa"/>
            <w:right w:w="0" w:type="dxa"/>
          </w:tblCellMar>
        </w:tblPrEx>
        <w:trPr>
          <w:trHeight w:val="1035"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single" w:color="auto" w:sz="4" w:space="0"/>
              <w:left w:val="single" w:color="auto" w:sz="4" w:space="0"/>
              <w:bottom w:val="single" w:color="000000" w:sz="6" w:space="0"/>
              <w:right w:val="single" w:color="000000" w:sz="6" w:space="0"/>
            </w:tcBorders>
            <w:shd w:val="clear" w:color="auto" w:fill="auto"/>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规章制度与考核依据</w:t>
            </w:r>
          </w:p>
        </w:tc>
        <w:tc>
          <w:tcPr>
            <w:tcW w:w="689"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5</w:t>
            </w:r>
          </w:p>
        </w:tc>
        <w:tc>
          <w:tcPr>
            <w:tcW w:w="7475"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spacing w:line="400" w:lineRule="exact"/>
              <w:ind w:firstLine="420" w:firstLineChars="200"/>
              <w:jc w:val="left"/>
              <w:rPr>
                <w:rFonts w:hint="eastAsia" w:ascii="宋体" w:hAnsi="宋体" w:eastAsia="宋体" w:cs="Times New Roman"/>
                <w:kern w:val="28"/>
                <w:sz w:val="21"/>
                <w:szCs w:val="21"/>
                <w:lang w:val="en-US" w:eastAsia="zh-CN" w:bidi="ar-SA"/>
              </w:rPr>
            </w:pPr>
            <w:r>
              <w:rPr>
                <w:rFonts w:ascii="宋体" w:hAnsi="宋体"/>
                <w:kern w:val="28"/>
                <w:szCs w:val="21"/>
              </w:rPr>
              <w:t>各类管理规章制度健全规范，实际操作性强；维保服务标准明确，检查验收有据可依。优</w:t>
            </w:r>
            <w:r>
              <w:rPr>
                <w:rFonts w:hint="eastAsia" w:ascii="宋体" w:hAnsi="宋体"/>
                <w:kern w:val="28"/>
                <w:szCs w:val="21"/>
                <w:lang w:val="en-US" w:eastAsia="zh-CN"/>
              </w:rPr>
              <w:t>秀</w:t>
            </w:r>
            <w:r>
              <w:rPr>
                <w:rFonts w:ascii="宋体" w:hAnsi="宋体"/>
                <w:kern w:val="28"/>
                <w:szCs w:val="21"/>
              </w:rPr>
              <w:t>得</w:t>
            </w:r>
            <w:r>
              <w:rPr>
                <w:rFonts w:hint="eastAsia" w:ascii="宋体" w:hAnsi="宋体"/>
                <w:kern w:val="28"/>
                <w:szCs w:val="21"/>
                <w:lang w:val="en-US" w:eastAsia="zh-CN"/>
              </w:rPr>
              <w:t>4-5</w:t>
            </w:r>
            <w:r>
              <w:rPr>
                <w:rFonts w:ascii="宋体" w:hAnsi="宋体"/>
                <w:kern w:val="28"/>
                <w:szCs w:val="21"/>
              </w:rPr>
              <w:t>分、良</w:t>
            </w:r>
            <w:r>
              <w:rPr>
                <w:rFonts w:hint="eastAsia" w:ascii="宋体" w:hAnsi="宋体"/>
                <w:kern w:val="28"/>
                <w:szCs w:val="21"/>
                <w:lang w:val="en-US" w:eastAsia="zh-CN"/>
              </w:rPr>
              <w:t>好</w:t>
            </w:r>
            <w:r>
              <w:rPr>
                <w:rFonts w:hint="eastAsia" w:ascii="宋体" w:hAnsi="宋体"/>
                <w:kern w:val="28"/>
                <w:szCs w:val="21"/>
              </w:rPr>
              <w:t>得</w:t>
            </w:r>
            <w:r>
              <w:rPr>
                <w:rFonts w:hint="eastAsia" w:ascii="宋体" w:hAnsi="宋体"/>
                <w:kern w:val="28"/>
                <w:szCs w:val="21"/>
                <w:lang w:val="en-US" w:eastAsia="zh-CN"/>
              </w:rPr>
              <w:t>2-3</w:t>
            </w:r>
            <w:r>
              <w:rPr>
                <w:rFonts w:ascii="宋体" w:hAnsi="宋体"/>
                <w:kern w:val="28"/>
                <w:szCs w:val="21"/>
              </w:rPr>
              <w:t>分、一般</w:t>
            </w:r>
            <w:r>
              <w:rPr>
                <w:rFonts w:hint="eastAsia" w:ascii="宋体" w:hAnsi="宋体"/>
                <w:kern w:val="28"/>
                <w:szCs w:val="21"/>
              </w:rPr>
              <w:t>得</w:t>
            </w:r>
            <w:r>
              <w:rPr>
                <w:rFonts w:ascii="宋体" w:hAnsi="宋体"/>
                <w:kern w:val="28"/>
                <w:szCs w:val="21"/>
              </w:rPr>
              <w:t>1分</w:t>
            </w:r>
            <w:r>
              <w:rPr>
                <w:rFonts w:hint="eastAsia" w:ascii="宋体" w:hAnsi="宋体"/>
                <w:kern w:val="28"/>
                <w:szCs w:val="21"/>
                <w:lang w:eastAsia="zh-CN"/>
              </w:rPr>
              <w:t>，</w:t>
            </w:r>
            <w:r>
              <w:rPr>
                <w:rFonts w:hint="eastAsia" w:ascii="宋体" w:hAnsi="宋体"/>
                <w:kern w:val="28"/>
                <w:szCs w:val="21"/>
                <w:lang w:val="en-US" w:eastAsia="zh-CN"/>
              </w:rPr>
              <w:t>差不得分</w:t>
            </w:r>
            <w:r>
              <w:rPr>
                <w:rFonts w:ascii="宋体" w:hAnsi="宋体"/>
                <w:kern w:val="28"/>
                <w:szCs w:val="21"/>
              </w:rPr>
              <w:t>。</w:t>
            </w:r>
          </w:p>
        </w:tc>
      </w:tr>
      <w:tr>
        <w:tblPrEx>
          <w:tblCellMar>
            <w:top w:w="0" w:type="dxa"/>
            <w:left w:w="0" w:type="dxa"/>
            <w:bottom w:w="0" w:type="dxa"/>
            <w:right w:w="0" w:type="dxa"/>
          </w:tblCellMar>
        </w:tblPrEx>
        <w:trPr>
          <w:trHeight w:val="210"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nil"/>
              <w:left w:val="single" w:color="auto" w:sz="4" w:space="0"/>
              <w:bottom w:val="single" w:color="auto" w:sz="4" w:space="0"/>
              <w:right w:val="single" w:color="000000" w:sz="6" w:space="0"/>
            </w:tcBorders>
            <w:shd w:val="clear" w:color="auto" w:fill="auto"/>
            <w:vAlign w:val="center"/>
          </w:tcPr>
          <w:p>
            <w:pPr>
              <w:pStyle w:val="17"/>
              <w:widowControl/>
              <w:spacing w:beforeAutospacing="0" w:afterAutospacing="0"/>
              <w:ind w:right="135"/>
              <w:jc w:val="center"/>
              <w:rPr>
                <w:rFonts w:ascii="宋体" w:hAnsi="宋体" w:cs="宋体"/>
                <w:color w:val="333333"/>
                <w:sz w:val="21"/>
                <w:szCs w:val="21"/>
              </w:rPr>
            </w:pPr>
            <w:r>
              <w:rPr>
                <w:rFonts w:hint="eastAsia" w:cs="宋体"/>
                <w:color w:val="333333"/>
                <w:sz w:val="21"/>
                <w:szCs w:val="21"/>
                <w:lang w:val="en-US" w:eastAsia="zh-CN"/>
              </w:rPr>
              <w:t>维保</w:t>
            </w:r>
            <w:r>
              <w:rPr>
                <w:rFonts w:hint="eastAsia" w:ascii="宋体" w:hAnsi="宋体" w:cs="宋体"/>
                <w:color w:val="333333"/>
                <w:sz w:val="21"/>
                <w:szCs w:val="21"/>
              </w:rPr>
              <w:t>业绩</w:t>
            </w:r>
          </w:p>
        </w:tc>
        <w:tc>
          <w:tcPr>
            <w:tcW w:w="689"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hint="default" w:ascii="宋体" w:hAnsi="宋体" w:eastAsia="宋体" w:cs="宋体"/>
                <w:color w:val="333333"/>
                <w:sz w:val="21"/>
                <w:szCs w:val="21"/>
                <w:lang w:val="en-US" w:eastAsia="zh-CN"/>
              </w:rPr>
            </w:pPr>
            <w:r>
              <w:rPr>
                <w:rFonts w:hint="eastAsia" w:cs="宋体"/>
                <w:sz w:val="21"/>
                <w:szCs w:val="21"/>
                <w:lang w:val="en-US" w:eastAsia="zh-CN"/>
              </w:rPr>
              <w:t xml:space="preserve"> </w:t>
            </w:r>
            <w:r>
              <w:rPr>
                <w:rFonts w:hint="eastAsia" w:ascii="宋体" w:hAnsi="宋体" w:cs="宋体"/>
                <w:sz w:val="21"/>
                <w:szCs w:val="21"/>
                <w:lang w:val="en-US" w:eastAsia="zh-CN"/>
              </w:rPr>
              <w:t>5</w:t>
            </w:r>
          </w:p>
        </w:tc>
        <w:tc>
          <w:tcPr>
            <w:tcW w:w="7475"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jc w:val="both"/>
              <w:rPr>
                <w:rFonts w:ascii="宋体" w:hAnsi="宋体" w:cs="宋体"/>
                <w:color w:val="333333"/>
                <w:sz w:val="21"/>
                <w:szCs w:val="21"/>
              </w:rPr>
            </w:pPr>
            <w:r>
              <w:rPr>
                <w:rFonts w:hint="eastAsia" w:ascii="宋体" w:hAnsi="宋体" w:eastAsia="宋体" w:cs="Times New Roman"/>
                <w:kern w:val="28"/>
                <w:sz w:val="21"/>
                <w:szCs w:val="21"/>
                <w:lang w:val="en-US" w:eastAsia="zh-CN" w:bidi="ar-SA"/>
              </w:rPr>
              <w:t>提供201</w:t>
            </w:r>
            <w:r>
              <w:rPr>
                <w:rFonts w:hint="eastAsia" w:cs="Times New Roman"/>
                <w:kern w:val="28"/>
                <w:sz w:val="21"/>
                <w:szCs w:val="21"/>
                <w:lang w:val="en-US" w:eastAsia="zh-CN" w:bidi="ar-SA"/>
              </w:rPr>
              <w:t>9</w:t>
            </w:r>
            <w:r>
              <w:rPr>
                <w:rFonts w:hint="eastAsia" w:ascii="宋体" w:hAnsi="宋体" w:eastAsia="宋体" w:cs="Times New Roman"/>
                <w:kern w:val="28"/>
                <w:sz w:val="21"/>
                <w:szCs w:val="21"/>
                <w:lang w:val="en-US" w:eastAsia="zh-CN" w:bidi="ar-SA"/>
              </w:rPr>
              <w:t>年</w:t>
            </w:r>
            <w:r>
              <w:rPr>
                <w:rFonts w:hint="eastAsia" w:cs="Times New Roman"/>
                <w:kern w:val="28"/>
                <w:sz w:val="21"/>
                <w:szCs w:val="21"/>
                <w:lang w:val="en-US" w:eastAsia="zh-CN" w:bidi="ar-SA"/>
              </w:rPr>
              <w:t>1</w:t>
            </w:r>
            <w:r>
              <w:rPr>
                <w:rFonts w:hint="eastAsia" w:ascii="宋体" w:hAnsi="宋体" w:eastAsia="宋体" w:cs="Times New Roman"/>
                <w:kern w:val="28"/>
                <w:sz w:val="21"/>
                <w:szCs w:val="21"/>
                <w:lang w:val="en-US" w:eastAsia="zh-CN" w:bidi="ar-SA"/>
              </w:rPr>
              <w:t>月至今已完成或者正在实施的类似规模</w:t>
            </w:r>
            <w:r>
              <w:rPr>
                <w:rFonts w:hint="eastAsia" w:cs="Times New Roman"/>
                <w:kern w:val="28"/>
                <w:sz w:val="21"/>
                <w:szCs w:val="21"/>
                <w:lang w:val="en-US" w:eastAsia="zh-CN" w:bidi="ar-SA"/>
              </w:rPr>
              <w:t>的</w:t>
            </w:r>
            <w:r>
              <w:rPr>
                <w:rFonts w:hint="eastAsia" w:ascii="宋体" w:hAnsi="宋体" w:eastAsia="宋体" w:cs="Times New Roman"/>
                <w:kern w:val="28"/>
                <w:sz w:val="21"/>
                <w:szCs w:val="21"/>
                <w:lang w:val="en-US" w:eastAsia="zh-CN" w:bidi="ar-SA"/>
              </w:rPr>
              <w:t>维护保养及检测类项目业绩，每提供一项业绩得</w:t>
            </w:r>
            <w:r>
              <w:rPr>
                <w:rFonts w:hint="eastAsia" w:cs="Times New Roman"/>
                <w:kern w:val="28"/>
                <w:sz w:val="21"/>
                <w:szCs w:val="21"/>
                <w:lang w:val="en-US" w:eastAsia="zh-CN" w:bidi="ar-SA"/>
              </w:rPr>
              <w:t>1</w:t>
            </w:r>
            <w:r>
              <w:rPr>
                <w:rFonts w:hint="eastAsia" w:ascii="宋体" w:hAnsi="宋体" w:eastAsia="宋体" w:cs="Times New Roman"/>
                <w:kern w:val="28"/>
                <w:sz w:val="21"/>
                <w:szCs w:val="21"/>
                <w:lang w:val="en-US" w:eastAsia="zh-CN" w:bidi="ar-SA"/>
              </w:rPr>
              <w:t>分，最多不超过</w:t>
            </w:r>
            <w:r>
              <w:rPr>
                <w:rFonts w:hint="eastAsia" w:cs="Times New Roman"/>
                <w:kern w:val="28"/>
                <w:sz w:val="21"/>
                <w:szCs w:val="21"/>
                <w:lang w:val="en-US" w:eastAsia="zh-CN" w:bidi="ar-SA"/>
              </w:rPr>
              <w:t>5</w:t>
            </w:r>
            <w:r>
              <w:rPr>
                <w:rFonts w:hint="eastAsia" w:ascii="宋体" w:hAnsi="宋体" w:eastAsia="宋体" w:cs="Times New Roman"/>
                <w:kern w:val="28"/>
                <w:sz w:val="21"/>
                <w:szCs w:val="21"/>
                <w:lang w:val="en-US" w:eastAsia="zh-CN" w:bidi="ar-SA"/>
              </w:rPr>
              <w:t>分。（业绩以合同为准）</w:t>
            </w:r>
          </w:p>
        </w:tc>
      </w:tr>
      <w:tr>
        <w:tblPrEx>
          <w:tblCellMar>
            <w:top w:w="0" w:type="dxa"/>
            <w:left w:w="0" w:type="dxa"/>
            <w:bottom w:w="0" w:type="dxa"/>
            <w:right w:w="0" w:type="dxa"/>
          </w:tblCellMar>
        </w:tblPrEx>
        <w:trPr>
          <w:trHeight w:val="883" w:hRule="atLeast"/>
        </w:trPr>
        <w:tc>
          <w:tcPr>
            <w:tcW w:w="780" w:type="dxa"/>
            <w:vMerge w:val="continue"/>
            <w:tcBorders>
              <w:left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single" w:color="auto" w:sz="4" w:space="0"/>
              <w:left w:val="single" w:color="auto" w:sz="4" w:space="0"/>
              <w:bottom w:val="single" w:color="auto" w:sz="4" w:space="0"/>
              <w:right w:val="single" w:color="000000" w:sz="6" w:space="0"/>
            </w:tcBorders>
            <w:shd w:val="clear" w:color="auto" w:fill="auto"/>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应急方案</w:t>
            </w:r>
          </w:p>
        </w:tc>
        <w:tc>
          <w:tcPr>
            <w:tcW w:w="68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5</w:t>
            </w:r>
          </w:p>
        </w:tc>
        <w:tc>
          <w:tcPr>
            <w:tcW w:w="7475"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spacing w:line="400" w:lineRule="exact"/>
              <w:ind w:firstLine="420" w:firstLineChars="200"/>
              <w:jc w:val="left"/>
              <w:rPr>
                <w:rFonts w:hint="eastAsia" w:ascii="宋体" w:hAnsi="宋体" w:eastAsia="宋体" w:cs="Times New Roman"/>
                <w:b/>
                <w:bCs/>
                <w:kern w:val="28"/>
                <w:sz w:val="21"/>
                <w:szCs w:val="21"/>
                <w:lang w:val="en-US" w:eastAsia="zh-CN" w:bidi="ar-SA"/>
              </w:rPr>
            </w:pPr>
            <w:r>
              <w:rPr>
                <w:rFonts w:hint="eastAsia" w:ascii="宋体" w:hAnsi="宋体"/>
                <w:kern w:val="28"/>
                <w:szCs w:val="21"/>
              </w:rPr>
              <w:t>根据提供的维</w:t>
            </w:r>
            <w:r>
              <w:rPr>
                <w:rFonts w:hint="eastAsia" w:ascii="宋体" w:hAnsi="宋体"/>
                <w:kern w:val="28"/>
                <w:szCs w:val="21"/>
                <w:lang w:val="en-US" w:eastAsia="zh-CN"/>
              </w:rPr>
              <w:t>保</w:t>
            </w:r>
            <w:r>
              <w:rPr>
                <w:rFonts w:hint="eastAsia" w:ascii="宋体" w:hAnsi="宋体"/>
                <w:kern w:val="28"/>
                <w:szCs w:val="21"/>
              </w:rPr>
              <w:t>应急方案完整性、合理性</w:t>
            </w:r>
            <w:r>
              <w:rPr>
                <w:rFonts w:hint="eastAsia" w:ascii="宋体" w:hAnsi="宋体"/>
                <w:kern w:val="28"/>
                <w:szCs w:val="21"/>
                <w:lang w:eastAsia="zh-CN"/>
              </w:rPr>
              <w:t>、</w:t>
            </w:r>
            <w:r>
              <w:rPr>
                <w:rFonts w:hint="eastAsia" w:ascii="宋体" w:hAnsi="宋体"/>
                <w:kern w:val="28"/>
                <w:szCs w:val="21"/>
              </w:rPr>
              <w:t>可行性情况进行打分，</w:t>
            </w:r>
            <w:r>
              <w:rPr>
                <w:rFonts w:ascii="宋体" w:hAnsi="宋体"/>
                <w:kern w:val="28"/>
                <w:szCs w:val="21"/>
              </w:rPr>
              <w:t>优</w:t>
            </w:r>
            <w:r>
              <w:rPr>
                <w:rFonts w:hint="eastAsia" w:ascii="宋体" w:hAnsi="宋体"/>
                <w:kern w:val="28"/>
                <w:szCs w:val="21"/>
                <w:lang w:val="en-US" w:eastAsia="zh-CN"/>
              </w:rPr>
              <w:t>秀</w:t>
            </w:r>
            <w:r>
              <w:rPr>
                <w:rFonts w:ascii="宋体" w:hAnsi="宋体"/>
                <w:kern w:val="28"/>
                <w:szCs w:val="21"/>
              </w:rPr>
              <w:t>得</w:t>
            </w:r>
            <w:r>
              <w:rPr>
                <w:rFonts w:hint="eastAsia" w:ascii="宋体" w:hAnsi="宋体"/>
                <w:kern w:val="28"/>
                <w:szCs w:val="21"/>
                <w:lang w:val="en-US" w:eastAsia="zh-CN"/>
              </w:rPr>
              <w:t>4-5</w:t>
            </w:r>
            <w:r>
              <w:rPr>
                <w:rFonts w:ascii="宋体" w:hAnsi="宋体"/>
                <w:kern w:val="28"/>
                <w:szCs w:val="21"/>
              </w:rPr>
              <w:t>分、良</w:t>
            </w:r>
            <w:r>
              <w:rPr>
                <w:rFonts w:hint="eastAsia" w:ascii="宋体" w:hAnsi="宋体"/>
                <w:kern w:val="28"/>
                <w:szCs w:val="21"/>
                <w:lang w:val="en-US" w:eastAsia="zh-CN"/>
              </w:rPr>
              <w:t>好</w:t>
            </w:r>
            <w:r>
              <w:rPr>
                <w:rFonts w:hint="eastAsia" w:ascii="宋体" w:hAnsi="宋体"/>
                <w:kern w:val="28"/>
                <w:szCs w:val="21"/>
              </w:rPr>
              <w:t>得</w:t>
            </w:r>
            <w:r>
              <w:rPr>
                <w:rFonts w:hint="eastAsia" w:ascii="宋体" w:hAnsi="宋体"/>
                <w:kern w:val="28"/>
                <w:szCs w:val="21"/>
                <w:lang w:val="en-US" w:eastAsia="zh-CN"/>
              </w:rPr>
              <w:t>2-3</w:t>
            </w:r>
            <w:r>
              <w:rPr>
                <w:rFonts w:ascii="宋体" w:hAnsi="宋体"/>
                <w:kern w:val="28"/>
                <w:szCs w:val="21"/>
              </w:rPr>
              <w:t>分、一般</w:t>
            </w:r>
            <w:r>
              <w:rPr>
                <w:rFonts w:hint="eastAsia" w:ascii="宋体" w:hAnsi="宋体"/>
                <w:kern w:val="28"/>
                <w:szCs w:val="21"/>
              </w:rPr>
              <w:t>得</w:t>
            </w:r>
            <w:r>
              <w:rPr>
                <w:rFonts w:ascii="宋体" w:hAnsi="宋体"/>
                <w:kern w:val="28"/>
                <w:szCs w:val="21"/>
              </w:rPr>
              <w:t>1分</w:t>
            </w:r>
            <w:r>
              <w:rPr>
                <w:rFonts w:hint="eastAsia" w:ascii="宋体" w:hAnsi="宋体"/>
                <w:kern w:val="28"/>
                <w:szCs w:val="21"/>
                <w:lang w:eastAsia="zh-CN"/>
              </w:rPr>
              <w:t>，</w:t>
            </w:r>
            <w:r>
              <w:rPr>
                <w:rFonts w:hint="eastAsia" w:ascii="宋体" w:hAnsi="宋体"/>
                <w:kern w:val="28"/>
                <w:szCs w:val="21"/>
                <w:lang w:val="en-US" w:eastAsia="zh-CN"/>
              </w:rPr>
              <w:t>差不得分</w:t>
            </w:r>
            <w:r>
              <w:rPr>
                <w:rFonts w:ascii="宋体" w:hAnsi="宋体"/>
                <w:kern w:val="28"/>
                <w:szCs w:val="21"/>
              </w:rPr>
              <w:t>。</w:t>
            </w:r>
          </w:p>
        </w:tc>
      </w:tr>
      <w:tr>
        <w:tblPrEx>
          <w:tblCellMar>
            <w:top w:w="0" w:type="dxa"/>
            <w:left w:w="0" w:type="dxa"/>
            <w:bottom w:w="0" w:type="dxa"/>
            <w:right w:w="0" w:type="dxa"/>
          </w:tblCellMar>
        </w:tblPrEx>
        <w:trPr>
          <w:trHeight w:val="90" w:hRule="atLeast"/>
        </w:trPr>
        <w:tc>
          <w:tcPr>
            <w:tcW w:w="780" w:type="dxa"/>
            <w:vMerge w:val="continue"/>
            <w:tcBorders>
              <w:left w:val="single" w:color="000000" w:sz="6" w:space="0"/>
              <w:bottom w:val="single" w:color="000000" w:sz="6" w:space="0"/>
              <w:right w:val="single" w:color="auto" w:sz="4"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p>
        </w:tc>
        <w:tc>
          <w:tcPr>
            <w:tcW w:w="1170" w:type="dxa"/>
            <w:tcBorders>
              <w:top w:val="nil"/>
              <w:left w:val="single" w:color="auto" w:sz="4" w:space="0"/>
              <w:bottom w:val="single" w:color="000000" w:sz="6" w:space="0"/>
              <w:right w:val="single" w:color="000000" w:sz="6" w:space="0"/>
            </w:tcBorders>
            <w:shd w:val="clear" w:color="auto" w:fill="auto"/>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投标文件</w:t>
            </w:r>
          </w:p>
        </w:tc>
        <w:tc>
          <w:tcPr>
            <w:tcW w:w="689"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hint="eastAsia" w:ascii="宋体" w:hAnsi="宋体" w:eastAsia="宋体" w:cs="宋体"/>
                <w:color w:val="333333"/>
                <w:sz w:val="21"/>
                <w:szCs w:val="21"/>
                <w:lang w:eastAsia="zh-CN"/>
              </w:rPr>
            </w:pPr>
            <w:r>
              <w:rPr>
                <w:rFonts w:hint="eastAsia" w:cs="宋体"/>
                <w:color w:val="333333"/>
                <w:sz w:val="21"/>
                <w:szCs w:val="21"/>
                <w:lang w:val="en-US" w:eastAsia="zh-CN"/>
              </w:rPr>
              <w:t xml:space="preserve"> 1</w:t>
            </w:r>
          </w:p>
        </w:tc>
        <w:tc>
          <w:tcPr>
            <w:tcW w:w="74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jc w:val="both"/>
              <w:rPr>
                <w:rFonts w:ascii="宋体" w:hAnsi="宋体" w:cs="宋体"/>
                <w:color w:val="333333"/>
                <w:sz w:val="21"/>
                <w:szCs w:val="21"/>
              </w:rPr>
            </w:pPr>
            <w:r>
              <w:rPr>
                <w:rFonts w:hint="eastAsia" w:ascii="宋体" w:hAnsi="宋体" w:cs="宋体"/>
                <w:color w:val="333333"/>
                <w:sz w:val="21"/>
                <w:szCs w:val="21"/>
              </w:rPr>
              <w:t>根据对投标文件的响应情况、表述清晰程度、规范性等评分，满分</w:t>
            </w:r>
            <w:r>
              <w:rPr>
                <w:rFonts w:hint="eastAsia" w:cs="宋体"/>
                <w:color w:val="333333"/>
                <w:sz w:val="21"/>
                <w:szCs w:val="21"/>
                <w:lang w:val="en-US" w:eastAsia="zh-CN"/>
              </w:rPr>
              <w:t>1</w:t>
            </w:r>
            <w:r>
              <w:rPr>
                <w:rFonts w:hint="eastAsia" w:ascii="宋体" w:hAnsi="宋体" w:cs="宋体"/>
                <w:color w:val="333333"/>
                <w:sz w:val="21"/>
                <w:szCs w:val="21"/>
              </w:rPr>
              <w:t>分。</w:t>
            </w:r>
          </w:p>
        </w:tc>
      </w:tr>
      <w:tr>
        <w:tblPrEx>
          <w:tblCellMar>
            <w:top w:w="0" w:type="dxa"/>
            <w:left w:w="0" w:type="dxa"/>
            <w:bottom w:w="0" w:type="dxa"/>
            <w:right w:w="0" w:type="dxa"/>
          </w:tblCellMar>
        </w:tblPrEx>
        <w:trPr>
          <w:trHeight w:val="615" w:hRule="atLeast"/>
        </w:trPr>
        <w:tc>
          <w:tcPr>
            <w:tcW w:w="1950" w:type="dxa"/>
            <w:gridSpan w:val="2"/>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合计</w:t>
            </w:r>
          </w:p>
        </w:tc>
        <w:tc>
          <w:tcPr>
            <w:tcW w:w="689"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jc w:val="center"/>
              <w:rPr>
                <w:rFonts w:ascii="宋体" w:hAnsi="宋体" w:cs="宋体"/>
                <w:color w:val="333333"/>
                <w:sz w:val="21"/>
                <w:szCs w:val="21"/>
              </w:rPr>
            </w:pPr>
            <w:r>
              <w:rPr>
                <w:rFonts w:hint="eastAsia" w:ascii="宋体" w:hAnsi="宋体" w:cs="宋体"/>
                <w:color w:val="333333"/>
                <w:sz w:val="21"/>
                <w:szCs w:val="21"/>
              </w:rPr>
              <w:t>100</w:t>
            </w:r>
          </w:p>
        </w:tc>
        <w:tc>
          <w:tcPr>
            <w:tcW w:w="7475" w:type="dxa"/>
            <w:tcBorders>
              <w:top w:val="nil"/>
              <w:left w:val="nil"/>
              <w:bottom w:val="single" w:color="000000" w:sz="6" w:space="0"/>
              <w:right w:val="single" w:color="000000" w:sz="6" w:space="0"/>
            </w:tcBorders>
            <w:shd w:val="clear" w:color="auto" w:fill="auto"/>
            <w:tcMar>
              <w:left w:w="105" w:type="dxa"/>
              <w:right w:w="105" w:type="dxa"/>
            </w:tcMar>
            <w:vAlign w:val="center"/>
          </w:tcPr>
          <w:p>
            <w:pPr>
              <w:pStyle w:val="17"/>
              <w:widowControl/>
              <w:spacing w:beforeAutospacing="0" w:afterAutospacing="0"/>
              <w:ind w:right="135" w:firstLine="420"/>
              <w:jc w:val="both"/>
              <w:rPr>
                <w:rFonts w:ascii="宋体" w:hAnsi="宋体" w:cs="宋体"/>
                <w:color w:val="333333"/>
                <w:sz w:val="21"/>
                <w:szCs w:val="21"/>
              </w:rPr>
            </w:pPr>
            <w:r>
              <w:rPr>
                <w:rFonts w:hint="eastAsia" w:ascii="宋体" w:hAnsi="宋体" w:cs="宋体"/>
                <w:color w:val="333333"/>
                <w:sz w:val="21"/>
                <w:szCs w:val="21"/>
              </w:rPr>
              <w:t>投标人最后得分保留两位小数</w:t>
            </w:r>
          </w:p>
        </w:tc>
      </w:tr>
    </w:tbl>
    <w:p>
      <w:pPr>
        <w:widowControl/>
        <w:jc w:val="left"/>
        <w:rPr>
          <w:rFonts w:ascii="宋体" w:hAnsi="宋体"/>
          <w:bCs/>
          <w:color w:val="000000" w:themeColor="text1"/>
          <w:sz w:val="24"/>
          <w14:textFill>
            <w14:solidFill>
              <w14:schemeClr w14:val="tx1"/>
            </w14:solidFill>
          </w14:textFill>
        </w:rPr>
      </w:pPr>
    </w:p>
    <w:p>
      <w:pPr>
        <w:spacing w:line="353"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pStyle w:val="4"/>
        <w:rPr>
          <w:rFonts w:ascii="宋体"/>
          <w:b w:val="0"/>
          <w:color w:val="000000" w:themeColor="text1"/>
          <w:sz w:val="24"/>
          <w14:textFill>
            <w14:solidFill>
              <w14:schemeClr w14:val="tx1"/>
            </w14:solidFill>
          </w14:textFill>
        </w:rPr>
      </w:pPr>
      <w:bookmarkStart w:id="11" w:name="_Toc80692426"/>
      <w:r>
        <w:rPr>
          <w:rFonts w:hint="eastAsia"/>
          <w:color w:val="000000" w:themeColor="text1"/>
          <w14:textFill>
            <w14:solidFill>
              <w14:schemeClr w14:val="tx1"/>
            </w14:solidFill>
          </w14:textFill>
        </w:rPr>
        <w:t>六、</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排序相同的，按最后磋商价格由低到高顺序排列。排名第一的投标人将被推荐为中标候选人或者直接被确定为中标人。</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6.2. </w:t>
      </w:r>
      <w:r>
        <w:rPr>
          <w:rFonts w:hint="eastAsia" w:ascii="宋体" w:hAnsi="宋体" w:cs="Arial"/>
          <w:color w:val="000000" w:themeColor="text1"/>
          <w:sz w:val="24"/>
          <w14:textFill>
            <w14:solidFill>
              <w14:schemeClr w14:val="tx1"/>
            </w14:solidFill>
          </w14:textFill>
        </w:rPr>
        <w:t>出现下列情形之一的，采购人有权决定本次竞争性磋商作废标处理：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发生影响竞争性磋商公平、公正的违法、违规行为的；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投标人的最后磋商报价均超过了采购预算，学校不能支付的；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对未中标的投标人，采购人不做未中标解释。</w:t>
      </w:r>
    </w:p>
    <w:p>
      <w:pPr>
        <w:pStyle w:val="4"/>
        <w:rPr>
          <w:color w:val="000000" w:themeColor="text1"/>
          <w14:textFill>
            <w14:solidFill>
              <w14:schemeClr w14:val="tx1"/>
            </w14:solidFill>
          </w14:textFill>
        </w:rPr>
      </w:pPr>
      <w:bookmarkStart w:id="12" w:name="_Toc8069242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中标人确定后，采购人将通过学校招标网公示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天，公示期满无异议，中标人应在30日内与采购人签订采购合同，过期视为放弃中标。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hint="eastAsia"/>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如投标人中标后悔标，采购人将取消该投标人本次中标资格及今后</w:t>
      </w:r>
      <w:r>
        <w:rPr>
          <w:rFonts w:hint="eastAsia"/>
          <w:color w:val="000000" w:themeColor="text1"/>
          <w:sz w:val="24"/>
          <w:lang w:val="en-US" w:eastAsia="zh-CN"/>
          <w14:textFill>
            <w14:solidFill>
              <w14:schemeClr w14:val="tx1"/>
            </w14:solidFill>
          </w14:textFill>
        </w:rPr>
        <w:t>三</w:t>
      </w:r>
      <w:r>
        <w:rPr>
          <w:rFonts w:hint="eastAsia"/>
          <w:color w:val="000000" w:themeColor="text1"/>
          <w:sz w:val="24"/>
          <w14:textFill>
            <w14:solidFill>
              <w14:schemeClr w14:val="tx1"/>
            </w14:solidFill>
          </w14:textFill>
        </w:rPr>
        <w:t>年内的投标资格。</w:t>
      </w:r>
    </w:p>
    <w:p>
      <w:pPr>
        <w:pStyle w:val="4"/>
        <w:rPr>
          <w:rFonts w:ascii="宋体"/>
          <w:b w:val="0"/>
          <w:color w:val="000000" w:themeColor="text1"/>
          <w:sz w:val="24"/>
          <w14:textFill>
            <w14:solidFill>
              <w14:schemeClr w14:val="tx1"/>
            </w14:solidFill>
          </w14:textFill>
        </w:rPr>
      </w:pPr>
      <w:bookmarkStart w:id="13" w:name="_Toc80692428"/>
      <w:r>
        <w:rPr>
          <w:rFonts w:hint="eastAsia" w:ascii="宋体" w:hAnsi="宋体"/>
          <w:color w:val="000000" w:themeColor="text1"/>
          <w:sz w:val="24"/>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ascii="黑体" w:eastAsia="黑体"/>
          <w:b/>
          <w:color w:val="000000" w:themeColor="text1"/>
          <w:sz w:val="24"/>
          <w14:textFill>
            <w14:solidFill>
              <w14:schemeClr w14:val="tx1"/>
            </w14:solidFill>
          </w14:textFill>
        </w:rPr>
        <w:t xml:space="preserve">8.1. </w:t>
      </w:r>
      <w:r>
        <w:rPr>
          <w:rFonts w:hint="eastAsia" w:ascii="黑体" w:eastAsia="黑体"/>
          <w:b/>
          <w:color w:val="000000" w:themeColor="text1"/>
          <w:sz w:val="24"/>
          <w14:textFill>
            <w14:solidFill>
              <w14:schemeClr w14:val="tx1"/>
            </w14:solidFill>
          </w14:textFill>
        </w:rPr>
        <w:t>投标人无论中标与否，采购人不承担投标人参加投标的任何费用。</w:t>
      </w:r>
    </w:p>
    <w:p>
      <w:pPr>
        <w:pStyle w:val="3"/>
        <w:jc w:val="center"/>
        <w:rPr>
          <w:rFonts w:hint="eastAsia" w:ascii="宋体" w:hAnsi="宋体"/>
          <w:color w:val="FF0000"/>
          <w:sz w:val="28"/>
          <w:szCs w:val="28"/>
        </w:rPr>
      </w:pPr>
      <w:r>
        <w:rPr>
          <w:rFonts w:ascii="宋体"/>
          <w:color w:val="000000" w:themeColor="text1"/>
          <w:spacing w:val="4"/>
          <w14:textFill>
            <w14:solidFill>
              <w14:schemeClr w14:val="tx1"/>
            </w14:solidFill>
          </w14:textFill>
        </w:rPr>
        <w:br w:type="page"/>
      </w:r>
      <w:bookmarkStart w:id="14" w:name="_Toc80692429"/>
      <w:r>
        <w:rPr>
          <w:rFonts w:hint="eastAsia"/>
          <w:color w:val="000000" w:themeColor="text1"/>
          <w14:textFill>
            <w14:solidFill>
              <w14:schemeClr w14:val="tx1"/>
            </w14:solidFill>
          </w14:textFill>
        </w:rPr>
        <w:t>第三部分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采购货物要求及相关说明</w:t>
      </w:r>
      <w:bookmarkEnd w:id="14"/>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default" w:ascii="宋体" w:hAnsi="宋体" w:cs="宋体"/>
          <w:color w:val="000000" w:themeColor="text1"/>
          <w:kern w:val="2"/>
          <w:sz w:val="28"/>
          <w:szCs w:val="28"/>
          <w:lang w:val="en-US" w:eastAsia="zh-CN" w:bidi="ar-SA"/>
          <w14:textFill>
            <w14:solidFill>
              <w14:schemeClr w14:val="tx1"/>
            </w14:solidFill>
          </w14:textFill>
        </w:rPr>
        <w:t>1</w:t>
      </w:r>
      <w:r>
        <w:rPr>
          <w:rFonts w:hint="eastAsia" w:ascii="宋体" w:hAnsi="宋体" w:cs="宋体"/>
          <w:color w:val="000000" w:themeColor="text1"/>
          <w:kern w:val="2"/>
          <w:sz w:val="28"/>
          <w:szCs w:val="28"/>
          <w:lang w:val="en-US" w:eastAsia="zh-CN" w:bidi="ar-SA"/>
          <w14:textFill>
            <w14:solidFill>
              <w14:schemeClr w14:val="tx1"/>
            </w14:solidFill>
          </w14:textFill>
        </w:rPr>
        <w:t>、啬园校区</w:t>
      </w:r>
      <w:r>
        <w:rPr>
          <w:rFonts w:hint="eastAsia" w:ascii="宋体" w:hAnsi="宋体" w:eastAsia="宋体" w:cs="宋体"/>
          <w:color w:val="000000" w:themeColor="text1"/>
          <w:kern w:val="2"/>
          <w:sz w:val="28"/>
          <w:szCs w:val="28"/>
          <w:lang w:val="en-US" w:eastAsia="zh-CN" w:bidi="ar-SA"/>
          <w14:textFill>
            <w14:solidFill>
              <w14:schemeClr w14:val="tx1"/>
            </w14:solidFill>
          </w14:textFill>
        </w:rPr>
        <w:t>10#11#12#教学楼与东食堂、大金VRV与</w:t>
      </w:r>
      <w:r>
        <w:rPr>
          <w:rFonts w:hint="eastAsia" w:ascii="宋体" w:hAnsi="宋体" w:cs="宋体"/>
          <w:color w:val="000000" w:themeColor="text1"/>
          <w:kern w:val="2"/>
          <w:sz w:val="28"/>
          <w:szCs w:val="28"/>
          <w:lang w:val="en-US" w:eastAsia="zh-CN" w:bidi="ar-SA"/>
          <w14:textFill>
            <w14:solidFill>
              <w14:schemeClr w14:val="tx1"/>
            </w14:solidFill>
          </w14:textFill>
        </w:rPr>
        <w:t>东食堂</w:t>
      </w:r>
      <w:r>
        <w:rPr>
          <w:rFonts w:hint="eastAsia" w:ascii="宋体" w:hAnsi="宋体" w:eastAsia="宋体" w:cs="宋体"/>
          <w:color w:val="000000" w:themeColor="text1"/>
          <w:kern w:val="2"/>
          <w:sz w:val="28"/>
          <w:szCs w:val="28"/>
          <w:lang w:val="en-US" w:eastAsia="zh-CN" w:bidi="ar-SA"/>
          <w14:textFill>
            <w14:solidFill>
              <w14:schemeClr w14:val="tx1"/>
            </w14:solidFill>
          </w14:textFill>
        </w:rPr>
        <w:t>三洋多联机组。</w:t>
      </w:r>
      <w:r>
        <w:rPr>
          <w:rFonts w:hint="eastAsia" w:ascii="宋体" w:hAnsi="宋体" w:cs="宋体"/>
          <w:color w:val="000000" w:themeColor="text1"/>
          <w:kern w:val="2"/>
          <w:sz w:val="28"/>
          <w:szCs w:val="28"/>
          <w:lang w:val="en-US" w:eastAsia="zh-CN" w:bidi="ar-SA"/>
          <w14:textFill>
            <w14:solidFill>
              <w14:schemeClr w14:val="tx1"/>
            </w14:solidFill>
          </w14:textFill>
        </w:rPr>
        <w:t>计大金室外机78台，室内机270台；三洋室外机19台，室内机101台。</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cs="宋体"/>
          <w:color w:val="000000" w:themeColor="text1"/>
          <w:kern w:val="2"/>
          <w:sz w:val="28"/>
          <w:szCs w:val="28"/>
          <w:lang w:val="en-US" w:eastAsia="zh-CN" w:bidi="ar-SA"/>
          <w14:textFill>
            <w14:solidFill>
              <w14:schemeClr w14:val="tx1"/>
            </w14:solidFill>
          </w14:textFill>
        </w:rPr>
        <w:t>2、啬园校区</w:t>
      </w:r>
      <w:r>
        <w:rPr>
          <w:rFonts w:hint="eastAsia" w:ascii="宋体" w:hAnsi="宋体" w:eastAsia="宋体" w:cs="宋体"/>
          <w:color w:val="000000" w:themeColor="text1"/>
          <w:kern w:val="2"/>
          <w:sz w:val="28"/>
          <w:szCs w:val="28"/>
          <w:lang w:val="en-US" w:eastAsia="zh-CN" w:bidi="ar-SA"/>
          <w14:textFill>
            <w14:solidFill>
              <w14:schemeClr w14:val="tx1"/>
            </w14:solidFill>
          </w14:textFill>
        </w:rPr>
        <w:t>图书馆顿汉布什螺杆机组与恒温恒湿机组</w:t>
      </w:r>
      <w:r>
        <w:rPr>
          <w:rFonts w:hint="eastAsia" w:ascii="宋体" w:hAnsi="宋体" w:cs="宋体"/>
          <w:color w:val="000000" w:themeColor="text1"/>
          <w:kern w:val="2"/>
          <w:sz w:val="28"/>
          <w:szCs w:val="28"/>
          <w:lang w:val="en-US" w:eastAsia="zh-CN" w:bidi="ar-SA"/>
          <w14:textFill>
            <w14:solidFill>
              <w14:schemeClr w14:val="tx1"/>
            </w14:solidFill>
          </w14:textFill>
        </w:rPr>
        <w:t>（含循环水泵，空气处理柜，补水装置，电子水处理及加药装置）</w:t>
      </w:r>
      <w:r>
        <w:rPr>
          <w:rFonts w:hint="eastAsia" w:ascii="宋体" w:hAnsi="宋体" w:eastAsia="宋体" w:cs="宋体"/>
          <w:color w:val="000000" w:themeColor="text1"/>
          <w:kern w:val="2"/>
          <w:sz w:val="28"/>
          <w:szCs w:val="28"/>
          <w:lang w:val="en-US" w:eastAsia="zh-CN" w:bidi="ar-SA"/>
          <w14:textFill>
            <w14:solidFill>
              <w14:schemeClr w14:val="tx1"/>
            </w14:solidFill>
          </w14:textFill>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cs="宋体"/>
          <w:color w:val="000000" w:themeColor="text1"/>
          <w:kern w:val="2"/>
          <w:sz w:val="28"/>
          <w:szCs w:val="28"/>
          <w:lang w:val="en-US" w:eastAsia="zh-CN" w:bidi="ar-SA"/>
          <w14:textFill>
            <w14:solidFill>
              <w14:schemeClr w14:val="tx1"/>
            </w14:solidFill>
          </w14:textFill>
        </w:rPr>
        <w:t>3、啬园校区</w:t>
      </w:r>
      <w:r>
        <w:rPr>
          <w:rFonts w:hint="eastAsia" w:ascii="宋体" w:hAnsi="宋体" w:eastAsia="宋体" w:cs="宋体"/>
          <w:color w:val="000000" w:themeColor="text1"/>
          <w:kern w:val="2"/>
          <w:sz w:val="28"/>
          <w:szCs w:val="28"/>
          <w:lang w:val="en-US" w:eastAsia="zh-CN" w:bidi="ar-SA"/>
          <w14:textFill>
            <w14:solidFill>
              <w14:schemeClr w14:val="tx1"/>
            </w14:solidFill>
          </w14:textFill>
        </w:rPr>
        <w:t>图文信息中心海尔VRV多联机</w:t>
      </w:r>
      <w:r>
        <w:rPr>
          <w:rFonts w:hint="eastAsia" w:ascii="宋体" w:hAnsi="宋体" w:cs="宋体"/>
          <w:color w:val="000000" w:themeColor="text1"/>
          <w:kern w:val="2"/>
          <w:sz w:val="28"/>
          <w:szCs w:val="28"/>
          <w:lang w:val="en-US" w:eastAsia="zh-CN" w:bidi="ar-SA"/>
          <w14:textFill>
            <w14:solidFill>
              <w14:schemeClr w14:val="tx1"/>
            </w14:solidFill>
          </w14:textFill>
        </w:rPr>
        <w:t>，申菱恒温恒湿机和杭州川井除湿机及新风机组</w:t>
      </w:r>
      <w:r>
        <w:rPr>
          <w:rFonts w:hint="eastAsia" w:ascii="宋体" w:hAnsi="宋体" w:eastAsia="宋体" w:cs="宋体"/>
          <w:color w:val="000000" w:themeColor="text1"/>
          <w:kern w:val="2"/>
          <w:sz w:val="28"/>
          <w:szCs w:val="28"/>
          <w:lang w:val="en-US" w:eastAsia="zh-CN" w:bidi="ar-SA"/>
          <w14:textFill>
            <w14:solidFill>
              <w14:schemeClr w14:val="tx1"/>
            </w14:solidFill>
          </w14:textFill>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注：A：除顿汉布什压缩机的保养或更换外含所有配件材料。</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B：顿汉布什压缩机的保养或更换，甲乙双方各承担50%。</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C：不含配电柜及配电柜至空调机组的电源。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D：乙方提供维修保养所需的设备与工具。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firstLine="56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E：合同期内对以上空调的室内、室外机清洗不得少于</w:t>
      </w:r>
      <w:r>
        <w:rPr>
          <w:rFonts w:hint="eastAsia" w:ascii="宋体" w:hAnsi="宋体" w:cs="宋体"/>
          <w:color w:val="000000" w:themeColor="text1"/>
          <w:kern w:val="2"/>
          <w:sz w:val="28"/>
          <w:szCs w:val="28"/>
          <w:lang w:val="en-US" w:eastAsia="zh-CN" w:bidi="ar-SA"/>
          <w14:textFill>
            <w14:solidFill>
              <w14:schemeClr w14:val="tx1"/>
            </w14:solidFill>
          </w14:textFill>
        </w:rPr>
        <w:t>二</w:t>
      </w:r>
      <w:r>
        <w:rPr>
          <w:rFonts w:hint="eastAsia" w:ascii="宋体" w:hAnsi="宋体" w:eastAsia="宋体" w:cs="宋体"/>
          <w:color w:val="000000" w:themeColor="text1"/>
          <w:kern w:val="2"/>
          <w:sz w:val="28"/>
          <w:szCs w:val="28"/>
          <w:lang w:val="en-US" w:eastAsia="zh-CN" w:bidi="ar-SA"/>
          <w14:textFill>
            <w14:solidFill>
              <w14:schemeClr w14:val="tx1"/>
            </w14:solidFill>
          </w14:textFill>
        </w:rPr>
        <w:t>次</w:t>
      </w:r>
      <w:r>
        <w:rPr>
          <w:rFonts w:hint="eastAsia" w:ascii="宋体" w:hAnsi="宋体" w:cs="宋体"/>
          <w:color w:val="000000" w:themeColor="text1"/>
          <w:kern w:val="2"/>
          <w:sz w:val="28"/>
          <w:szCs w:val="28"/>
          <w:lang w:val="en-US" w:eastAsia="zh-CN" w:bidi="ar-SA"/>
          <w14:textFill>
            <w14:solidFill>
              <w14:schemeClr w14:val="tx1"/>
            </w14:solidFill>
          </w14:textFill>
        </w:rPr>
        <w:t>（夏秋各一次）</w:t>
      </w:r>
      <w:r>
        <w:rPr>
          <w:rFonts w:hint="eastAsia" w:ascii="宋体" w:hAnsi="宋体" w:eastAsia="宋体" w:cs="宋体"/>
          <w:color w:val="000000" w:themeColor="text1"/>
          <w:kern w:val="2"/>
          <w:sz w:val="28"/>
          <w:szCs w:val="28"/>
          <w:lang w:val="en-US" w:eastAsia="zh-CN" w:bidi="ar-SA"/>
          <w14:textFill>
            <w14:solidFill>
              <w14:schemeClr w14:val="tx1"/>
            </w14:solidFill>
          </w14:textFill>
        </w:rPr>
        <w:t>。</w:t>
      </w:r>
    </w:p>
    <w:p>
      <w:pPr>
        <w:pStyle w:val="2"/>
        <w:rPr>
          <w:rFonts w:hint="eastAsia" w:ascii="宋体" w:hAnsi="宋体"/>
          <w:sz w:val="28"/>
          <w:szCs w:val="28"/>
        </w:rPr>
      </w:pPr>
    </w:p>
    <w:p>
      <w:pPr>
        <w:widowControl/>
        <w:spacing w:line="480" w:lineRule="exact"/>
        <w:jc w:val="left"/>
        <w:rPr>
          <w:b/>
          <w:bCs/>
          <w:color w:val="000000" w:themeColor="text1"/>
          <w:kern w:val="44"/>
          <w:sz w:val="24"/>
          <w14:textFill>
            <w14:solidFill>
              <w14:schemeClr w14:val="tx1"/>
            </w14:solidFill>
          </w14:textFill>
        </w:rPr>
      </w:pPr>
      <w:r>
        <w:rPr>
          <w:color w:val="000000" w:themeColor="text1"/>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5" w:name="_Toc80692430"/>
      <w:r>
        <w:rPr>
          <w:rFonts w:hint="eastAsia"/>
          <w:color w:val="000000" w:themeColor="text1"/>
          <w14:textFill>
            <w14:solidFill>
              <w14:schemeClr w14:val="tx1"/>
            </w14:solidFill>
          </w14:textFill>
        </w:rPr>
        <w:t>第四部分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合同主要条款</w:t>
      </w:r>
      <w:bookmarkEnd w:id="1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宋体" w:hAnsi="宋体" w:cs="宋体"/>
          <w:sz w:val="24"/>
          <w:szCs w:val="24"/>
        </w:rPr>
        <w:t>一、</w:t>
      </w:r>
      <w:r>
        <w:rPr>
          <w:rFonts w:hint="eastAsia" w:asciiTheme="minorEastAsia" w:hAnsiTheme="minorEastAsia" w:eastAsiaTheme="minorEastAsia" w:cstheme="minorEastAsia"/>
          <w:sz w:val="24"/>
          <w:szCs w:val="24"/>
        </w:rPr>
        <w:t>付款方式：合同签订后两周内首付合同价30%，维保日期到期后经验收合格后两周内付清剩余合同价的70%。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二、协议期限与其他：</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本项目公开招标</w:t>
      </w:r>
      <w:r>
        <w:rPr>
          <w:rFonts w:hint="eastAsia" w:asciiTheme="minorEastAsia" w:hAnsiTheme="minorEastAsia" w:eastAsiaTheme="minorEastAsia" w:cstheme="minorEastAsia"/>
          <w:sz w:val="24"/>
          <w:szCs w:val="24"/>
          <w:lang w:val="en-US" w:eastAsia="zh-CN"/>
        </w:rPr>
        <w:t>期限为2022.1.1-2023.7.31</w:t>
      </w:r>
      <w:r>
        <w:rPr>
          <w:rFonts w:hint="eastAsia" w:asciiTheme="minorEastAsia" w:hAnsiTheme="minorEastAsia" w:eastAsiaTheme="minorEastAsia" w:cstheme="minorEastAsia"/>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三、维修保养的服务内容及项目（招标人简称甲方、中标人简称乙方）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（一）技术维护方面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全年在夏季和冬季开机前，对机组进行全面维护，具体情况如下：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1、机组运行情况：复检机组运行设定参数、机组实际运行参数（压力传感器、温度传感器、电流传感器）。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2、压缩机：对地绝缘情况良好。启动与运行电流符合负荷技术参数的要求。压缩机运行平稳、无杂音。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3、控制部分：检查集中控制器和电脑扳控制系统的元件，检查机组的保护设定与工作状况，检查系统控制器。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4、制冷工质：检查吸、排气压力，吸排气温度，检查机组有无冷媒渗漏情况，确保压力、温度正常，系统无渗漏。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5、加湿系统：检查加湿器的工作情况，对地绝缘与阻值，确保加湿器正常工作。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6、润滑系统：检查润滑油的油质，确保润滑油性能良好，润滑油质洁净。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7、除湿机：检查除湿机的冷凝与蒸发压力及温度，确保除湿机的正常运行。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8、室内机、室外机定期进行滤网清洗、翅片清洗。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注：保养工作结束后，将机组运行状况、控制与报警记录及处理状况汇报给甲方。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（二）技术保养方面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设备运行期间，乙方将派技术服务人员每周不少于一次到甲方机房和使用区域进行跟踪服务。常规检查服务后，应即口头或书面向值班人员汇报情况并征询意见。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l、机组运行情况：检查电压、电流，机组的增减载情况，有无杂音</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2、吸排气状况：检查制冷剂，有无渗漏现象。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3、换热系统：检查冷凝器蒸发器换热情况。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4、电器部分的联动工作情况。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5、检查压缩机油电加热的工作情况，回油情况。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6、室内机组运行、控温情况、风量大小、噪音等，并及时处理。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注：如需要乙方进行本合同项目以外的服务时，乙方将根据要求提交经费预算，报甲方同意后进行。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(三）故障维修方面</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设备在使用过程中出现故障，接到甲方通知后，乙方维保人员在2小时内到达现场，对故障部位进行修理。普通维修10小时内修复完毕，特殊维修24小时内修复完毕，如遇特殊零配件损坏情况下协商解决。</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l、报告故障原因及损坏的器件，及时更换配件确保正常运行。</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2、复检故障性抢修的情况及修理后该部分的工作情况。</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3、及时与甲方操作人员沟通，分析原因。辅导操作人员，提高操作水平及故障处理的方法。</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4、维保期内，由于人为原因及电源引起的损坏，或其他不可抗力原因引起的故障（如地震、洪水、飓风、雷电等），费用的发生由甲方支付，但乙方以优惠的价格提供配件。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四、双方权利和义务（招标人简称甲方、中标人简称乙方）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1、甲方有权监督检查乙方依照合同约定实施维保计划的情况，监督经乙方维保后的空调设备是否符合安全技术规范技术要求，其性能是否良好。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2、甲方有权要求乙方人员服从本单位现场安全管理，对不服从现场安全管理人员的乙方人员，有权要求乙方更换人员。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3、甲方按照合同约定按期支付维保款。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4、甲方为乙方提供维保所需的工作环境、场所、电源等。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5、未经乙方书面许可不得允许非乙方人员从事与本项目的空调设备维保有关的工作。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6、甲方应按规程操作空调设备，作好各项数据的记录，及时沟通。签收乙方的维保记录及建议等。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l、乙方不得以任何形式将本维保项目进行非法分包、转包。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2、乙方应掌握所服务设备的准确信息，当出现不满足设备运行的条件时，乙方有及时书面告知甲方的义务，并提出整改建议和方案。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3、乙方负责做好保养工作书面记录，由维护保养工作人员和甲方授权人员共同签字确认。保养工作记录内容应当包括设备的名称、型号和额定功率等技术参数以及维护保养的内容、日期、建议等。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4、乙方提供维修、保养等服务内容和项目。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5、乙方及时提供服务过程中各项费用的有效发票。</w:t>
      </w:r>
    </w:p>
    <w:p>
      <w:pPr>
        <w:rPr>
          <w:rFonts w:hint="eastAsia"/>
          <w:b/>
          <w:bCs/>
          <w:color w:val="000000" w:themeColor="text1"/>
          <w:kern w:val="44"/>
          <w:sz w:val="44"/>
          <w:szCs w:val="44"/>
          <w14:textFill>
            <w14:solidFill>
              <w14:schemeClr w14:val="tx1"/>
            </w14:solidFill>
          </w14:textFill>
        </w:rPr>
      </w:pPr>
      <w:r>
        <w:rPr>
          <w:rFonts w:hint="eastAsia"/>
          <w:b/>
          <w:bCs/>
          <w:color w:val="000000" w:themeColor="text1"/>
          <w:kern w:val="44"/>
          <w:sz w:val="44"/>
          <w:szCs w:val="44"/>
          <w14:textFill>
            <w14:solidFill>
              <w14:schemeClr w14:val="tx1"/>
            </w14:solidFill>
          </w14:textFill>
        </w:rPr>
        <w:br w:type="page"/>
      </w:r>
    </w:p>
    <w:p>
      <w:pPr>
        <w:spacing w:line="420" w:lineRule="atLeast"/>
        <w:ind w:firstLine="883" w:firstLineChars="200"/>
        <w:jc w:val="center"/>
        <w:rPr>
          <w:b/>
          <w:bCs/>
          <w:color w:val="000000" w:themeColor="text1"/>
          <w:kern w:val="44"/>
          <w:sz w:val="44"/>
          <w:szCs w:val="44"/>
          <w14:textFill>
            <w14:solidFill>
              <w14:schemeClr w14:val="tx1"/>
            </w14:solidFill>
          </w14:textFill>
        </w:rPr>
      </w:pPr>
      <w:r>
        <w:rPr>
          <w:rFonts w:hint="eastAsia"/>
          <w:b/>
          <w:bCs/>
          <w:color w:val="000000" w:themeColor="text1"/>
          <w:kern w:val="44"/>
          <w:sz w:val="44"/>
          <w:szCs w:val="44"/>
          <w14:textFill>
            <w14:solidFill>
              <w14:schemeClr w14:val="tx1"/>
            </w14:solidFill>
          </w14:textFill>
        </w:rPr>
        <w:t>第五部分</w:t>
      </w:r>
      <w:r>
        <w:rPr>
          <w:b/>
          <w:bCs/>
          <w:color w:val="000000" w:themeColor="text1"/>
          <w:kern w:val="44"/>
          <w:sz w:val="44"/>
          <w:szCs w:val="44"/>
          <w14:textFill>
            <w14:solidFill>
              <w14:schemeClr w14:val="tx1"/>
            </w14:solidFill>
          </w14:textFill>
        </w:rPr>
        <w:t xml:space="preserve">  </w:t>
      </w:r>
      <w:r>
        <w:rPr>
          <w:rFonts w:hint="eastAsia"/>
          <w:b/>
          <w:bCs/>
          <w:color w:val="000000" w:themeColor="text1"/>
          <w:kern w:val="44"/>
          <w:sz w:val="44"/>
          <w:szCs w:val="44"/>
          <w14:textFill>
            <w14:solidFill>
              <w14:schemeClr w14:val="tx1"/>
            </w14:solidFill>
          </w14:textFill>
        </w:rPr>
        <w:t>附</w:t>
      </w:r>
      <w:r>
        <w:rPr>
          <w:b/>
          <w:bCs/>
          <w:color w:val="000000" w:themeColor="text1"/>
          <w:kern w:val="44"/>
          <w:sz w:val="44"/>
          <w:szCs w:val="44"/>
          <w14:textFill>
            <w14:solidFill>
              <w14:schemeClr w14:val="tx1"/>
            </w14:solidFill>
          </w14:textFill>
        </w:rPr>
        <w:t xml:space="preserve">  </w:t>
      </w:r>
      <w:r>
        <w:rPr>
          <w:rFonts w:hint="eastAsia"/>
          <w:b/>
          <w:bCs/>
          <w:color w:val="000000" w:themeColor="text1"/>
          <w:kern w:val="44"/>
          <w:sz w:val="44"/>
          <w:szCs w:val="44"/>
          <w14:textFill>
            <w14:solidFill>
              <w14:schemeClr w14:val="tx1"/>
            </w14:solidFill>
          </w14:textFill>
        </w:rPr>
        <w:t>件</w:t>
      </w:r>
    </w:p>
    <w:p>
      <w:pPr>
        <w:spacing w:line="360" w:lineRule="auto"/>
        <w:rPr>
          <w:rFonts w:hint="eastAsia"/>
          <w:color w:val="000000" w:themeColor="text1"/>
          <w:sz w:val="28"/>
          <w:szCs w:val="28"/>
          <w14:textFill>
            <w14:solidFill>
              <w14:schemeClr w14:val="tx1"/>
            </w14:solidFill>
          </w14:textFill>
        </w:rPr>
      </w:pP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附件1：投标函</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附件2：投标报价总表</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附件3：法定代表人资格证明</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附件4：法定代表人授权书</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w:t>
      </w:r>
      <w:r>
        <w:rPr>
          <w:rFonts w:hint="eastAsia"/>
          <w:color w:val="000000" w:themeColor="text1"/>
          <w:sz w:val="28"/>
          <w:szCs w:val="28"/>
          <w:lang w:val="en-US" w:eastAsia="zh-CN"/>
          <w14:textFill>
            <w14:solidFill>
              <w14:schemeClr w14:val="tx1"/>
            </w14:solidFill>
          </w14:textFill>
        </w:rPr>
        <w:t>5</w:t>
      </w:r>
      <w:r>
        <w:rPr>
          <w:rFonts w:hint="eastAsia"/>
          <w:color w:val="000000" w:themeColor="text1"/>
          <w:sz w:val="28"/>
          <w:szCs w:val="28"/>
          <w14:textFill>
            <w14:solidFill>
              <w14:schemeClr w14:val="tx1"/>
            </w14:solidFill>
          </w14:textFill>
        </w:rPr>
        <w:t>：南通大学采购谈判二次报价单</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w:t>
      </w:r>
      <w:r>
        <w:rPr>
          <w:rFonts w:hint="eastAsia"/>
          <w:color w:val="000000" w:themeColor="text1"/>
          <w:sz w:val="28"/>
          <w:szCs w:val="28"/>
          <w:lang w:val="en-US" w:eastAsia="zh-CN"/>
          <w14:textFill>
            <w14:solidFill>
              <w14:schemeClr w14:val="tx1"/>
            </w14:solidFill>
          </w14:textFill>
        </w:rPr>
        <w:t>6</w:t>
      </w:r>
      <w:r>
        <w:rPr>
          <w:rFonts w:hint="eastAsia"/>
          <w:color w:val="000000" w:themeColor="text1"/>
          <w:sz w:val="28"/>
          <w:szCs w:val="28"/>
          <w14:textFill>
            <w14:solidFill>
              <w14:schemeClr w14:val="tx1"/>
            </w14:solidFill>
          </w14:textFill>
        </w:rPr>
        <w:t>：无重大违法记录声明</w:t>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附件</w:t>
      </w:r>
      <w:r>
        <w:rPr>
          <w:rFonts w:hint="eastAsia"/>
          <w:color w:val="000000" w:themeColor="text1"/>
          <w:sz w:val="28"/>
          <w:szCs w:val="28"/>
          <w:lang w:val="en-US" w:eastAsia="zh-CN"/>
          <w14:textFill>
            <w14:solidFill>
              <w14:schemeClr w14:val="tx1"/>
            </w14:solidFill>
          </w14:textFill>
        </w:rPr>
        <w:t>7</w:t>
      </w:r>
      <w:r>
        <w:rPr>
          <w:rFonts w:hint="eastAsia"/>
          <w:color w:val="000000" w:themeColor="text1"/>
          <w:sz w:val="28"/>
          <w:szCs w:val="28"/>
          <w14:textFill>
            <w14:solidFill>
              <w14:schemeClr w14:val="tx1"/>
            </w14:solidFill>
          </w14:textFill>
        </w:rPr>
        <w:t>：诚信承诺书</w:t>
      </w:r>
    </w:p>
    <w:p>
      <w:pPr>
        <w:spacing w:line="360" w:lineRule="auto"/>
        <w:rPr>
          <w:rFonts w:ascii="宋体" w:hAnsi="宋体"/>
          <w:color w:val="000000" w:themeColor="text1"/>
          <w:spacing w:val="4"/>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spacing w:line="360" w:lineRule="auto"/>
        <w:rPr>
          <w:rFonts w:ascii="宋体"/>
          <w:color w:val="000000" w:themeColor="text1"/>
          <w:spacing w:val="4"/>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pStyle w:val="4"/>
        <w:rPr>
          <w:rFonts w:ascii="宋体" w:hAnsi="宋体"/>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6" w:name="_Toc80692431"/>
      <w:r>
        <w:rPr>
          <w:rFonts w:hint="eastAsia" w:ascii="宋体" w:hAnsi="宋体"/>
          <w:color w:val="000000" w:themeColor="text1"/>
          <w:sz w:val="21"/>
          <w:szCs w:val="21"/>
          <w14:textFill>
            <w14:solidFill>
              <w14:schemeClr w14:val="tx1"/>
            </w14:solidFill>
          </w14:textFill>
        </w:rPr>
        <w:t>附件</w:t>
      </w: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14:textFill>
            <w14:solidFill>
              <w14:schemeClr w14:val="tx1"/>
            </w14:solidFill>
          </w14:textFill>
        </w:rPr>
        <w:t>：投标函</w:t>
      </w:r>
      <w:bookmarkEnd w:id="16"/>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标</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函</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项目竞争性磋商文件（项目编号</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），已完全了解竞争性磋商文件中的所有条款及要求，决定参加投标，同时做出如下承诺：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、我公司与本竞争性磋商项目及该项目相关人员之间均不存在可能影响竞争性磋商公正性的任何利害关系。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、愿按竞争性磋商文件的要求提供货物和服务，投标货物及服务的投标总价为：人民币（小写）</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，人民币（大写）</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rFonts w:ascii="宋体" w:hAnsi="宋体"/>
          <w:bCs/>
          <w:color w:val="000000" w:themeColor="text1"/>
          <w:sz w:val="52"/>
          <w:szCs w:val="52"/>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、接受竞争性磋商文件的所有条款、条件和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放弃对竞争性磋商文件提出质疑的权利。</w:t>
      </w:r>
    </w:p>
    <w:p>
      <w:pPr>
        <w:spacing w:line="360" w:lineRule="auto"/>
        <w:ind w:firstLine="240" w:firstLineChars="1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、同意按照竞争性磋商文件的要求提供所有资料、数据或信息。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、我方如中标，将保证遵守竞争性磋商文件对投标人的所有要求和规定，履行自己在投标文件中承诺的全部责任和义务。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19"/>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投标人名称（章）：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机</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E  m  a  i  l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址</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期</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pStyle w:val="4"/>
        <w:rPr>
          <w:b w:val="0"/>
          <w:color w:val="000000" w:themeColor="text1"/>
          <w:sz w:val="21"/>
          <w:szCs w:val="21"/>
          <w14:textFill>
            <w14:solidFill>
              <w14:schemeClr w14:val="tx1"/>
            </w14:solidFill>
          </w14:textFill>
        </w:rPr>
      </w:pPr>
      <w:bookmarkStart w:id="17" w:name="_Toc52807979"/>
      <w:bookmarkStart w:id="18" w:name="_Toc50645811"/>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：投标报价总表</w:t>
      </w:r>
      <w:bookmarkEnd w:id="17"/>
      <w:bookmarkEnd w:id="18"/>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投 标 报 价 总 表</w:t>
      </w:r>
    </w:p>
    <w:p>
      <w:pPr>
        <w:spacing w:line="520" w:lineRule="exact"/>
        <w:rPr>
          <w:rFonts w:hAnsi="宋体" w:cs="宋体"/>
          <w:b/>
          <w:bCs/>
          <w:color w:val="000000" w:themeColor="text1"/>
          <w:sz w:val="28"/>
          <w:szCs w:val="28"/>
          <w14:textFill>
            <w14:solidFill>
              <w14:schemeClr w14:val="tx1"/>
            </w14:solidFill>
          </w14:textFill>
        </w:rPr>
      </w:pPr>
      <w:r>
        <w:rPr>
          <w:rFonts w:hint="eastAsia" w:hAnsi="宋体" w:cs="宋体"/>
          <w:b/>
          <w:bCs/>
          <w:color w:val="000000" w:themeColor="text1"/>
          <w:sz w:val="28"/>
          <w:szCs w:val="28"/>
          <w14:textFill>
            <w14:solidFill>
              <w14:schemeClr w14:val="tx1"/>
            </w14:solidFill>
          </w14:textFill>
        </w:rPr>
        <w:t>商务报价响应文件相关的格式文件及表格（单独密封）</w:t>
      </w:r>
    </w:p>
    <w:tbl>
      <w:tblPr>
        <w:tblStyle w:val="19"/>
        <w:tblW w:w="8559" w:type="dxa"/>
        <w:tblInd w:w="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6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955" w:type="dxa"/>
            <w:vAlign w:val="center"/>
          </w:tcPr>
          <w:p>
            <w:pPr>
              <w:spacing w:line="480" w:lineRule="exact"/>
              <w:jc w:val="center"/>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项目名称</w:t>
            </w:r>
          </w:p>
        </w:tc>
        <w:tc>
          <w:tcPr>
            <w:tcW w:w="6604" w:type="dxa"/>
            <w:vAlign w:val="center"/>
          </w:tcPr>
          <w:p>
            <w:pPr>
              <w:spacing w:line="480" w:lineRule="exact"/>
              <w:jc w:val="center"/>
              <w:rPr>
                <w:rFonts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955" w:type="dxa"/>
            <w:vAlign w:val="center"/>
          </w:tcPr>
          <w:p>
            <w:pPr>
              <w:spacing w:line="480" w:lineRule="exact"/>
              <w:jc w:val="center"/>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项目编号</w:t>
            </w:r>
          </w:p>
        </w:tc>
        <w:tc>
          <w:tcPr>
            <w:tcW w:w="6604" w:type="dxa"/>
            <w:vAlign w:val="center"/>
          </w:tcPr>
          <w:p>
            <w:pPr>
              <w:spacing w:line="480" w:lineRule="exact"/>
              <w:jc w:val="center"/>
              <w:rPr>
                <w:rFonts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955" w:type="dxa"/>
            <w:vAlign w:val="center"/>
          </w:tcPr>
          <w:p>
            <w:pPr>
              <w:spacing w:line="480" w:lineRule="exact"/>
              <w:jc w:val="center"/>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投标报价总计</w:t>
            </w:r>
          </w:p>
        </w:tc>
        <w:tc>
          <w:tcPr>
            <w:tcW w:w="6604" w:type="dxa"/>
            <w:vAlign w:val="center"/>
          </w:tcPr>
          <w:p>
            <w:pPr>
              <w:spacing w:line="480" w:lineRule="exact"/>
              <w:rPr>
                <w:rFonts w:ascii="宋体"/>
                <w:color w:val="000000" w:themeColor="text1"/>
                <w:kern w:val="0"/>
                <w:sz w:val="24"/>
                <w:lang w:val="zh-CN"/>
                <w14:textFill>
                  <w14:solidFill>
                    <w14:schemeClr w14:val="tx1"/>
                  </w14:solidFill>
                </w14:textFill>
              </w:rPr>
            </w:pPr>
            <w:r>
              <w:rPr>
                <w:rFonts w:hAnsi="宋体"/>
                <w:color w:val="000000" w:themeColor="text1"/>
                <w:sz w:val="24"/>
                <w14:textFill>
                  <w14:solidFill>
                    <w14:schemeClr w14:val="tx1"/>
                  </w14:solidFill>
                </w14:textFill>
              </w:rPr>
              <w:t>¥</w:t>
            </w:r>
            <w:r>
              <w:rPr>
                <w:rFonts w:hAnsi="宋体"/>
                <w:color w:val="000000" w:themeColor="text1"/>
                <w:sz w:val="24"/>
                <w:u w:val="single"/>
                <w14:textFill>
                  <w14:solidFill>
                    <w14:schemeClr w14:val="tx1"/>
                  </w14:solidFill>
                </w14:textFill>
              </w:rPr>
              <w:t xml:space="preserve">            </w:t>
            </w:r>
            <w:r>
              <w:rPr>
                <w:rFonts w:hAnsi="宋体"/>
                <w:color w:val="000000" w:themeColor="text1"/>
                <w:sz w:val="24"/>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元，人民币大写：</w:t>
            </w:r>
            <w:r>
              <w:rPr>
                <w:rFonts w:hAnsi="宋体"/>
                <w:color w:val="000000" w:themeColor="text1"/>
                <w:sz w:val="24"/>
                <w:u w:val="single"/>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w:t>
            </w:r>
          </w:p>
        </w:tc>
      </w:tr>
    </w:tbl>
    <w:p>
      <w:pPr>
        <w:spacing w:line="480" w:lineRule="exact"/>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投标供应商：（公章）</w:t>
      </w:r>
      <w:r>
        <w:rPr>
          <w:rFonts w:hAnsi="宋体"/>
          <w:color w:val="000000" w:themeColor="text1"/>
          <w:sz w:val="24"/>
          <w:u w:val="single"/>
          <w14:textFill>
            <w14:solidFill>
              <w14:schemeClr w14:val="tx1"/>
            </w14:solidFill>
          </w14:textFill>
        </w:rPr>
        <w:t xml:space="preserve">                               </w:t>
      </w:r>
    </w:p>
    <w:p>
      <w:pPr>
        <w:spacing w:line="480" w:lineRule="exact"/>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法定代表人或被授权人（签字或盖章）：</w:t>
      </w:r>
      <w:r>
        <w:rPr>
          <w:rFonts w:hAnsi="宋体"/>
          <w:color w:val="000000" w:themeColor="text1"/>
          <w:sz w:val="24"/>
          <w:u w:val="single"/>
          <w14:textFill>
            <w14:solidFill>
              <w14:schemeClr w14:val="tx1"/>
            </w14:solidFill>
          </w14:textFill>
        </w:rPr>
        <w:t xml:space="preserve">                     </w:t>
      </w:r>
    </w:p>
    <w:p>
      <w:pPr>
        <w:spacing w:line="480" w:lineRule="exact"/>
        <w:rPr>
          <w:rFonts w:hAnsi="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日</w:t>
      </w:r>
      <w:r>
        <w:rPr>
          <w:rFonts w:hAnsi="宋体"/>
          <w:color w:val="000000" w:themeColor="text1"/>
          <w:sz w:val="24"/>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期：</w:t>
      </w:r>
      <w:r>
        <w:rPr>
          <w:rFonts w:hAnsi="宋体"/>
          <w:color w:val="000000" w:themeColor="text1"/>
          <w:sz w:val="24"/>
          <w:u w:val="single"/>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年</w:t>
      </w:r>
      <w:r>
        <w:rPr>
          <w:rFonts w:hAnsi="宋体"/>
          <w:color w:val="000000" w:themeColor="text1"/>
          <w:sz w:val="24"/>
          <w:u w:val="single"/>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月</w:t>
      </w:r>
      <w:r>
        <w:rPr>
          <w:rFonts w:hAnsi="宋体"/>
          <w:color w:val="000000" w:themeColor="text1"/>
          <w:sz w:val="24"/>
          <w:u w:val="single"/>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日</w:t>
      </w:r>
    </w:p>
    <w:p>
      <w:pPr>
        <w:snapToGrid w:val="0"/>
        <w:spacing w:line="48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注：本表为格式表，不得自行改动，必须提供。</w:t>
      </w:r>
    </w:p>
    <w:p>
      <w:pPr>
        <w:spacing w:line="360" w:lineRule="auto"/>
        <w:ind w:firstLine="496" w:firstLineChars="200"/>
        <w:rPr>
          <w:rFonts w:ascii="宋体"/>
          <w:color w:val="000000" w:themeColor="text1"/>
          <w:sz w:val="24"/>
          <w14:textFill>
            <w14:solidFill>
              <w14:schemeClr w14:val="tx1"/>
            </w14:solidFill>
          </w14:textFill>
        </w:rPr>
        <w:sectPr>
          <w:pgSz w:w="11906" w:h="16838"/>
          <w:pgMar w:top="1440" w:right="1644" w:bottom="1440" w:left="1644" w:header="851" w:footer="992" w:gutter="0"/>
          <w:cols w:space="425" w:num="1"/>
          <w:docGrid w:type="lines" w:linePitch="312" w:charSpace="0"/>
        </w:sectPr>
      </w:pPr>
      <w:r>
        <w:rPr>
          <w:rFonts w:ascii="宋体"/>
          <w:color w:val="000000" w:themeColor="text1"/>
          <w:spacing w:val="4"/>
          <w:sz w:val="24"/>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3</w:t>
      </w:r>
      <w:r>
        <w:rPr>
          <w:rFonts w:hint="eastAsia"/>
          <w:b w:val="0"/>
          <w:color w:val="000000" w:themeColor="text1"/>
          <w:sz w:val="21"/>
          <w:szCs w:val="21"/>
          <w14:textFill>
            <w14:solidFill>
              <w14:schemeClr w14:val="tx1"/>
            </w14:solidFill>
          </w14:textFill>
        </w:rPr>
        <w:t>：法定代表人资格证明</w:t>
      </w:r>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0"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line="480" w:lineRule="auto"/>
        <w:ind w:firstLine="560" w:firstLineChars="200"/>
        <w:jc w:val="left"/>
        <w:rPr>
          <w:rFonts w:ascii="宋体" w:hAnsi="宋体" w:cs="宋体"/>
          <w:color w:val="000000"/>
          <w:kern w:val="0"/>
          <w:sz w:val="24"/>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职务</w:t>
      </w:r>
      <w:r>
        <w:rPr>
          <w:rFonts w:hint="eastAsia" w:ascii="宋体" w:hAnsi="宋体" w:cs="宋体"/>
          <w:color w:val="000000"/>
          <w:kern w:val="0"/>
          <w:sz w:val="24"/>
        </w:rPr>
        <w:t>：</w:t>
      </w:r>
      <w:r>
        <w:rPr>
          <w:rFonts w:ascii="宋体" w:hAnsi="宋体" w:cs="宋体"/>
          <w:color w:val="000000"/>
          <w:kern w:val="0"/>
          <w:sz w:val="24"/>
          <w:u w:val="single"/>
        </w:rPr>
        <w:t xml:space="preserve">                  </w:t>
      </w:r>
      <w:r>
        <w:rPr>
          <w:rFonts w:hint="eastAsia" w:ascii="宋体" w:hAnsi="宋体" w:cs="宋体"/>
          <w:color w:val="000000"/>
          <w:kern w:val="0"/>
          <w:sz w:val="24"/>
        </w:rPr>
        <w:t>，</w:t>
      </w:r>
      <w:r>
        <w:rPr>
          <w:rFonts w:hint="eastAsia" w:ascii="宋体" w:hAnsi="宋体" w:cs="宋体"/>
          <w:color w:val="000000" w:themeColor="text1"/>
          <w:kern w:val="0"/>
          <w:sz w:val="28"/>
          <w:szCs w:val="28"/>
          <w14:textFill>
            <w14:solidFill>
              <w14:schemeClr w14:val="tx1"/>
            </w14:solidFill>
          </w14:textFill>
        </w:rPr>
        <w:t>系</w:t>
      </w:r>
      <w:r>
        <w:rPr>
          <w:rFonts w:ascii="宋体" w:hAnsi="宋体" w:cs="宋体"/>
          <w:color w:val="000000" w:themeColor="text1"/>
          <w:kern w:val="0"/>
          <w:sz w:val="28"/>
          <w:szCs w:val="28"/>
          <w14:textFill>
            <w14:solidFill>
              <w14:schemeClr w14:val="tx1"/>
            </w14:solidFill>
          </w14:textFill>
        </w:rPr>
        <w:t xml:space="preserve"> </w:t>
      </w:r>
      <w:r>
        <w:rPr>
          <w:rFonts w:ascii="宋体" w:hAnsi="宋体" w:cs="宋体"/>
          <w:color w:val="000000"/>
          <w:kern w:val="0"/>
          <w:sz w:val="24"/>
          <w:u w:val="single"/>
        </w:rPr>
        <w:t xml:space="preserve">    </w:t>
      </w:r>
      <w:r>
        <w:rPr>
          <w:rFonts w:hint="eastAsia" w:ascii="宋体" w:hAnsi="宋体" w:cs="宋体"/>
          <w:color w:val="000000"/>
          <w:kern w:val="0"/>
          <w:sz w:val="28"/>
          <w:szCs w:val="28"/>
          <w:u w:val="single"/>
        </w:rPr>
        <w:t>（投标人名称）</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 xml:space="preserve"> 的法定代表人。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19" w:name="_Toc24632185"/>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bookmarkStart w:id="20" w:name="_Toc86092606"/>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4</w:t>
      </w:r>
      <w:r>
        <w:rPr>
          <w:rFonts w:hint="eastAsia"/>
          <w:b w:val="0"/>
          <w:color w:val="000000" w:themeColor="text1"/>
          <w:sz w:val="21"/>
          <w:szCs w:val="21"/>
          <w14:textFill>
            <w14:solidFill>
              <w14:schemeClr w14:val="tx1"/>
            </w14:solidFill>
          </w14:textFill>
        </w:rPr>
        <w:t>：法定代表人授权书</w:t>
      </w:r>
      <w:bookmarkEnd w:id="19"/>
      <w:bookmarkEnd w:id="20"/>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0"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0" w:rightChars="-167"/>
        <w:jc w:val="center"/>
        <w:rPr>
          <w:color w:val="000000" w:themeColor="text1"/>
          <w:sz w:val="28"/>
          <w:szCs w:val="28"/>
          <w14:textFill>
            <w14:solidFill>
              <w14:schemeClr w14:val="tx1"/>
            </w14:solidFill>
          </w14:textFill>
        </w:rPr>
      </w:pPr>
    </w:p>
    <w:p>
      <w:pPr>
        <w:spacing w:line="360" w:lineRule="auto"/>
        <w:ind w:right="-350" w:rightChars="-167"/>
        <w:jc w:val="center"/>
        <w:rPr>
          <w:color w:val="000000" w:themeColor="text1"/>
          <w:sz w:val="28"/>
          <w:szCs w:val="28"/>
          <w14:textFill>
            <w14:solidFill>
              <w14:schemeClr w14:val="tx1"/>
            </w14:solidFill>
          </w14:textFill>
        </w:rPr>
      </w:pPr>
    </w:p>
    <w:p>
      <w:pPr>
        <w:spacing w:line="360" w:lineRule="auto"/>
        <w:ind w:right="-350" w:rightChars="-167"/>
        <w:jc w:val="center"/>
        <w:rPr>
          <w:color w:val="000000" w:themeColor="text1"/>
          <w:sz w:val="28"/>
          <w:szCs w:val="28"/>
          <w14:textFill>
            <w14:solidFill>
              <w14:schemeClr w14:val="tx1"/>
            </w14:solidFill>
          </w14:textFill>
        </w:rPr>
      </w:pPr>
    </w:p>
    <w:p>
      <w:pPr>
        <w:pStyle w:val="40"/>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pStyle w:val="4"/>
        <w:spacing w:before="0" w:after="0"/>
        <w:rPr>
          <w:b w:val="0"/>
          <w:color w:val="000000" w:themeColor="text1"/>
          <w:sz w:val="24"/>
          <w:szCs w:val="24"/>
          <w14:textFill>
            <w14:solidFill>
              <w14:schemeClr w14:val="tx1"/>
            </w14:solidFill>
          </w14:textFill>
        </w:rPr>
      </w:pPr>
      <w:r>
        <w:rPr>
          <w:color w:val="000000" w:themeColor="text1"/>
          <w14:textFill>
            <w14:solidFill>
              <w14:schemeClr w14:val="tx1"/>
            </w14:solidFill>
          </w14:textFill>
        </w:rPr>
        <w:br w:type="page"/>
      </w:r>
      <w:bookmarkStart w:id="21" w:name="_Toc80692438"/>
      <w:bookmarkStart w:id="22" w:name="_Toc42777890"/>
      <w:bookmarkStart w:id="23" w:name="_Toc47173813"/>
      <w:r>
        <w:rPr>
          <w:rFonts w:hint="eastAsia"/>
          <w:b w:val="0"/>
          <w:color w:val="000000" w:themeColor="text1"/>
          <w:sz w:val="24"/>
          <w:szCs w:val="24"/>
          <w14:textFill>
            <w14:solidFill>
              <w14:schemeClr w14:val="tx1"/>
            </w14:solidFill>
          </w14:textFill>
        </w:rPr>
        <w:t>附件</w:t>
      </w:r>
      <w:r>
        <w:rPr>
          <w:rFonts w:hint="eastAsia"/>
          <w:b w:val="0"/>
          <w:color w:val="000000" w:themeColor="text1"/>
          <w:sz w:val="24"/>
          <w:szCs w:val="24"/>
          <w:lang w:val="en-US" w:eastAsia="zh-CN"/>
          <w14:textFill>
            <w14:solidFill>
              <w14:schemeClr w14:val="tx1"/>
            </w14:solidFill>
          </w14:textFill>
        </w:rPr>
        <w:t>5</w:t>
      </w:r>
      <w:r>
        <w:rPr>
          <w:rFonts w:hint="eastAsia"/>
          <w:b w:val="0"/>
          <w:color w:val="000000" w:themeColor="text1"/>
          <w:sz w:val="24"/>
          <w:szCs w:val="24"/>
          <w14:textFill>
            <w14:solidFill>
              <w14:schemeClr w14:val="tx1"/>
            </w14:solidFill>
          </w14:textFill>
        </w:rPr>
        <w:t>：南通大学采购谈判二次报价单</w:t>
      </w:r>
      <w:bookmarkEnd w:id="21"/>
      <w:bookmarkEnd w:id="22"/>
      <w:bookmarkEnd w:id="23"/>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项目名称</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w:t>
            </w:r>
          </w:p>
        </w:tc>
        <w:tc>
          <w:tcPr>
            <w:tcW w:w="2126"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（小写）</w:t>
            </w:r>
          </w:p>
          <w:p>
            <w:pPr>
              <w:jc w:val="left"/>
              <w:rPr>
                <w:color w:val="000000" w:themeColor="text1"/>
                <w:sz w:val="28"/>
                <w:szCs w:val="28"/>
                <w14:textFill>
                  <w14:solidFill>
                    <w14:schemeClr w14:val="tx1"/>
                  </w14:solidFill>
                </w14:textFill>
              </w:rPr>
            </w:pPr>
          </w:p>
        </w:tc>
        <w:tc>
          <w:tcPr>
            <w:tcW w:w="4728"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（大写）</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其他</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优惠承诺</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投标单位</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使用部门</w:t>
            </w:r>
          </w:p>
        </w:tc>
        <w:tc>
          <w:tcPr>
            <w:tcW w:w="6854" w:type="dxa"/>
            <w:gridSpan w:val="2"/>
            <w:tcBorders>
              <w:top w:val="dashSmallGap" w:color="auto" w:sz="12" w:space="0"/>
            </w:tcBorders>
            <w:shd w:val="clear" w:color="auto" w:fill="auto"/>
            <w:vAlign w:val="center"/>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 系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shd w:val="clear" w:color="auto" w:fill="auto"/>
            <w:vAlign w:val="center"/>
          </w:tcPr>
          <w:p>
            <w:pPr>
              <w:jc w:val="center"/>
              <w:rPr>
                <w:color w:val="000000" w:themeColor="text1"/>
                <w14:textFill>
                  <w14:solidFill>
                    <w14:schemeClr w14:val="tx1"/>
                  </w14:solidFill>
                </w14:textFill>
              </w:rPr>
            </w:pP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备注：商务标开标后，请各授权代表二次报价，联系方式0513-85012138。</w:t>
      </w:r>
    </w:p>
    <w:p>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50645818"/>
      <w:bookmarkStart w:id="25" w:name="_Toc50642504"/>
      <w:bookmarkStart w:id="26" w:name="_Toc51598428"/>
      <w:bookmarkStart w:id="27" w:name="_Toc52798261"/>
      <w:bookmarkStart w:id="28" w:name="_Toc49847305"/>
      <w:bookmarkStart w:id="29" w:name="_Toc80692439"/>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6</w:t>
      </w:r>
      <w:r>
        <w:rPr>
          <w:rFonts w:hint="eastAsia"/>
          <w:b w:val="0"/>
          <w:color w:val="000000" w:themeColor="text1"/>
          <w:sz w:val="21"/>
          <w:szCs w:val="21"/>
          <w14:textFill>
            <w14:solidFill>
              <w14:schemeClr w14:val="tx1"/>
            </w14:solidFill>
          </w14:textFill>
        </w:rPr>
        <w:t>：无重大违法记录声明</w:t>
      </w:r>
      <w:bookmarkEnd w:id="24"/>
      <w:bookmarkEnd w:id="25"/>
      <w:bookmarkEnd w:id="26"/>
      <w:bookmarkEnd w:id="27"/>
      <w:bookmarkEnd w:id="28"/>
      <w:bookmarkEnd w:id="29"/>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（投标人名称）参加本次采购活动前3年内在经营活动中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30" w:name="_Toc50642505"/>
      <w:bookmarkStart w:id="31" w:name="_Toc51598429"/>
      <w:bookmarkStart w:id="32" w:name="_Toc80692440"/>
      <w:bookmarkStart w:id="33" w:name="_Toc52798262"/>
      <w:bookmarkStart w:id="34" w:name="_Toc49847306"/>
      <w:bookmarkStart w:id="35" w:name="_Toc50645819"/>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7</w:t>
      </w:r>
      <w:r>
        <w:rPr>
          <w:rFonts w:hint="eastAsia"/>
          <w:b w:val="0"/>
          <w:color w:val="000000" w:themeColor="text1"/>
          <w:sz w:val="21"/>
          <w:szCs w:val="21"/>
          <w14:textFill>
            <w14:solidFill>
              <w14:schemeClr w14:val="tx1"/>
            </w14:solidFill>
          </w14:textFill>
        </w:rPr>
        <w:t>：诚信承诺书</w:t>
      </w:r>
      <w:bookmarkEnd w:id="30"/>
      <w:bookmarkEnd w:id="31"/>
      <w:bookmarkEnd w:id="32"/>
      <w:bookmarkEnd w:id="33"/>
      <w:bookmarkEnd w:id="34"/>
      <w:bookmarkEnd w:id="35"/>
    </w:p>
    <w:p>
      <w:pPr>
        <w:pStyle w:val="2"/>
        <w:jc w:val="center"/>
        <w:rPr>
          <w:b/>
          <w:color w:val="000000" w:themeColor="text1"/>
          <w:sz w:val="44"/>
          <w:szCs w:val="44"/>
          <w14:textFill>
            <w14:solidFill>
              <w14:schemeClr w14:val="tx1"/>
            </w14:solidFill>
          </w14:textFill>
        </w:rPr>
      </w:pPr>
    </w:p>
    <w:p>
      <w:pPr>
        <w:pStyle w:val="2"/>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Pr>
        <w:spacing w:line="400" w:lineRule="exact"/>
        <w:rPr>
          <w:rFonts w:ascii="宋体"/>
          <w:color w:val="000000" w:themeColor="text1"/>
          <w:spacing w:val="4"/>
          <w:sz w:val="24"/>
          <w14:textFill>
            <w14:solidFill>
              <w14:schemeClr w14:val="tx1"/>
            </w14:solidFill>
          </w14:textFill>
        </w:rPr>
      </w:pPr>
    </w:p>
    <w:sectPr>
      <w:pgSz w:w="11906" w:h="16838"/>
      <w:pgMar w:top="1440" w:right="1442"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separate"/>
    </w:r>
    <w:r>
      <w:rPr>
        <w:rStyle w:val="23"/>
      </w:rPr>
      <w:t>3</w:t>
    </w:r>
    <w:r>
      <w:rPr>
        <w:rStyle w:val="23"/>
      </w:rP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end"/>
    </w:r>
  </w:p>
  <w:p>
    <w:pPr>
      <w:pStyle w:val="1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24FE"/>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484E"/>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1EB1502"/>
    <w:rsid w:val="04F3750B"/>
    <w:rsid w:val="05763494"/>
    <w:rsid w:val="078272A1"/>
    <w:rsid w:val="085E55CF"/>
    <w:rsid w:val="0A3C2F3F"/>
    <w:rsid w:val="0B782ACD"/>
    <w:rsid w:val="0C9B71EA"/>
    <w:rsid w:val="0E143F03"/>
    <w:rsid w:val="10D85020"/>
    <w:rsid w:val="1178757B"/>
    <w:rsid w:val="15225DAD"/>
    <w:rsid w:val="18215443"/>
    <w:rsid w:val="18413990"/>
    <w:rsid w:val="1DD957B9"/>
    <w:rsid w:val="1EC3666C"/>
    <w:rsid w:val="200B16A4"/>
    <w:rsid w:val="206E2287"/>
    <w:rsid w:val="210B588F"/>
    <w:rsid w:val="24B60CE8"/>
    <w:rsid w:val="24E261A4"/>
    <w:rsid w:val="26C20F67"/>
    <w:rsid w:val="2F152FE5"/>
    <w:rsid w:val="30FE1D44"/>
    <w:rsid w:val="32AA4A33"/>
    <w:rsid w:val="347A4A4D"/>
    <w:rsid w:val="364D7054"/>
    <w:rsid w:val="37727268"/>
    <w:rsid w:val="3A256F82"/>
    <w:rsid w:val="3A371182"/>
    <w:rsid w:val="41F65B02"/>
    <w:rsid w:val="433B34D6"/>
    <w:rsid w:val="476E0461"/>
    <w:rsid w:val="486309CF"/>
    <w:rsid w:val="4A8E45D3"/>
    <w:rsid w:val="4D6420F9"/>
    <w:rsid w:val="4EB82B4F"/>
    <w:rsid w:val="4FCD667C"/>
    <w:rsid w:val="507F724A"/>
    <w:rsid w:val="53F44615"/>
    <w:rsid w:val="587F2D7E"/>
    <w:rsid w:val="5B6B0634"/>
    <w:rsid w:val="5DAD2094"/>
    <w:rsid w:val="5E147D70"/>
    <w:rsid w:val="5E734892"/>
    <w:rsid w:val="608F2D0D"/>
    <w:rsid w:val="629A2DA5"/>
    <w:rsid w:val="650214EA"/>
    <w:rsid w:val="660B1854"/>
    <w:rsid w:val="6A0A523B"/>
    <w:rsid w:val="6D4929A7"/>
    <w:rsid w:val="725E4EAE"/>
    <w:rsid w:val="72D05D55"/>
    <w:rsid w:val="74DB545F"/>
    <w:rsid w:val="76D22D75"/>
    <w:rsid w:val="77A30227"/>
    <w:rsid w:val="77AF00BB"/>
    <w:rsid w:val="7A7073E5"/>
    <w:rsid w:val="7B2A24A1"/>
    <w:rsid w:val="7C1F350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uiPriority="99" w:name="Body Text 2" w:locked="1"/>
    <w:lsdException w:uiPriority="99" w:name="Body Text 3" w:locked="1"/>
    <w:lsdException w:qFormat="1"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27"/>
    <w:qFormat/>
    <w:locked/>
    <w:uiPriority w:val="0"/>
    <w:pPr>
      <w:keepNext/>
      <w:keepLines/>
      <w:spacing w:before="260" w:after="260" w:line="416" w:lineRule="auto"/>
      <w:outlineLvl w:val="1"/>
    </w:pPr>
    <w:rPr>
      <w:rFonts w:ascii="Cambria" w:hAnsi="Cambria"/>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link w:val="28"/>
    <w:semiHidden/>
    <w:qFormat/>
    <w:uiPriority w:val="99"/>
    <w:pPr>
      <w:shd w:val="clear" w:color="auto" w:fill="000080"/>
    </w:pPr>
    <w:rPr>
      <w:kern w:val="0"/>
      <w:sz w:val="2"/>
      <w:szCs w:val="20"/>
    </w:rPr>
  </w:style>
  <w:style w:type="paragraph" w:styleId="6">
    <w:name w:val="Body Text"/>
    <w:basedOn w:val="1"/>
    <w:link w:val="29"/>
    <w:qFormat/>
    <w:uiPriority w:val="99"/>
    <w:pPr>
      <w:spacing w:after="120"/>
    </w:pPr>
    <w:rPr>
      <w:sz w:val="24"/>
      <w:szCs w:val="20"/>
    </w:rPr>
  </w:style>
  <w:style w:type="paragraph" w:styleId="7">
    <w:name w:val="Body Text Indent"/>
    <w:basedOn w:val="1"/>
    <w:link w:val="41"/>
    <w:qFormat/>
    <w:locked/>
    <w:uiPriority w:val="99"/>
    <w:pPr>
      <w:spacing w:after="120"/>
      <w:ind w:left="420" w:leftChars="200"/>
    </w:pPr>
  </w:style>
  <w:style w:type="paragraph" w:styleId="8">
    <w:name w:val="Plain Text"/>
    <w:basedOn w:val="1"/>
    <w:link w:val="30"/>
    <w:qFormat/>
    <w:uiPriority w:val="99"/>
    <w:pPr>
      <w:jc w:val="left"/>
    </w:pPr>
    <w:rPr>
      <w:rFonts w:ascii="宋体" w:hAnsi="Courier New"/>
      <w:kern w:val="0"/>
      <w:szCs w:val="20"/>
    </w:rPr>
  </w:style>
  <w:style w:type="paragraph" w:styleId="9">
    <w:name w:val="Date"/>
    <w:basedOn w:val="1"/>
    <w:next w:val="1"/>
    <w:link w:val="31"/>
    <w:qFormat/>
    <w:uiPriority w:val="99"/>
    <w:pPr>
      <w:ind w:left="2500" w:leftChars="2500"/>
    </w:pPr>
    <w:rPr>
      <w:rFonts w:eastAsia="黑体"/>
      <w:kern w:val="0"/>
      <w:sz w:val="24"/>
      <w:szCs w:val="20"/>
    </w:rPr>
  </w:style>
  <w:style w:type="paragraph" w:styleId="10">
    <w:name w:val="Body Text Indent 2"/>
    <w:basedOn w:val="1"/>
    <w:link w:val="47"/>
    <w:semiHidden/>
    <w:unhideWhenUsed/>
    <w:qFormat/>
    <w:locked/>
    <w:uiPriority w:val="99"/>
    <w:pPr>
      <w:spacing w:after="120" w:line="480" w:lineRule="auto"/>
      <w:ind w:left="420" w:leftChars="200"/>
    </w:pPr>
  </w:style>
  <w:style w:type="paragraph" w:styleId="11">
    <w:name w:val="Balloon Text"/>
    <w:basedOn w:val="1"/>
    <w:link w:val="32"/>
    <w:semiHidden/>
    <w:qFormat/>
    <w:uiPriority w:val="99"/>
    <w:rPr>
      <w:sz w:val="18"/>
      <w:szCs w:val="20"/>
    </w:rPr>
  </w:style>
  <w:style w:type="paragraph" w:styleId="12">
    <w:name w:val="footer"/>
    <w:basedOn w:val="1"/>
    <w:link w:val="33"/>
    <w:qFormat/>
    <w:uiPriority w:val="99"/>
    <w:pPr>
      <w:tabs>
        <w:tab w:val="center" w:pos="4153"/>
        <w:tab w:val="right" w:pos="8306"/>
      </w:tabs>
      <w:snapToGrid w:val="0"/>
      <w:jc w:val="left"/>
    </w:pPr>
    <w:rPr>
      <w:sz w:val="18"/>
      <w:szCs w:val="20"/>
    </w:rPr>
  </w:style>
  <w:style w:type="paragraph" w:styleId="13">
    <w:name w:val="header"/>
    <w:basedOn w:val="1"/>
    <w:link w:val="34"/>
    <w:qFormat/>
    <w:uiPriority w:val="99"/>
    <w:pPr>
      <w:pBdr>
        <w:bottom w:val="single" w:color="auto" w:sz="6" w:space="1"/>
      </w:pBdr>
      <w:tabs>
        <w:tab w:val="center" w:pos="4153"/>
        <w:tab w:val="right" w:pos="8306"/>
      </w:tabs>
      <w:snapToGrid w:val="0"/>
      <w:jc w:val="center"/>
    </w:pPr>
    <w:rPr>
      <w:sz w:val="18"/>
      <w:szCs w:val="20"/>
    </w:rPr>
  </w:style>
  <w:style w:type="paragraph" w:styleId="14">
    <w:name w:val="toc 1"/>
    <w:basedOn w:val="1"/>
    <w:next w:val="1"/>
    <w:unhideWhenUsed/>
    <w:qFormat/>
    <w:locked/>
    <w:uiPriority w:val="39"/>
  </w:style>
  <w:style w:type="paragraph" w:styleId="15">
    <w:name w:val="toc 2"/>
    <w:basedOn w:val="1"/>
    <w:next w:val="1"/>
    <w:unhideWhenUsed/>
    <w:qFormat/>
    <w:locked/>
    <w:uiPriority w:val="39"/>
    <w:pPr>
      <w:ind w:left="420" w:leftChars="200"/>
    </w:pPr>
  </w:style>
  <w:style w:type="paragraph" w:styleId="16">
    <w:name w:val="HTML Preformatted"/>
    <w:basedOn w:val="1"/>
    <w:link w:val="3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7">
    <w:name w:val="Normal (Web)"/>
    <w:basedOn w:val="1"/>
    <w:qFormat/>
    <w:locked/>
    <w:uiPriority w:val="99"/>
    <w:pPr>
      <w:widowControl/>
      <w:spacing w:before="100" w:beforeAutospacing="1" w:after="100" w:afterAutospacing="1"/>
      <w:jc w:val="left"/>
    </w:pPr>
    <w:rPr>
      <w:rFonts w:ascii="宋体" w:hAnsi="宋体"/>
      <w:color w:val="000000"/>
      <w:kern w:val="0"/>
      <w:sz w:val="18"/>
      <w:szCs w:val="18"/>
    </w:rPr>
  </w:style>
  <w:style w:type="paragraph" w:styleId="18">
    <w:name w:val="Body Text First Indent 2"/>
    <w:basedOn w:val="7"/>
    <w:link w:val="44"/>
    <w:semiHidden/>
    <w:unhideWhenUsed/>
    <w:qFormat/>
    <w:locked/>
    <w:uiPriority w:val="99"/>
    <w:pPr>
      <w:ind w:firstLine="420" w:firstLineChars="200"/>
    </w:p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locked/>
    <w:uiPriority w:val="22"/>
    <w:rPr>
      <w:b/>
      <w:bCs/>
    </w:rPr>
  </w:style>
  <w:style w:type="character" w:styleId="23">
    <w:name w:val="page number"/>
    <w:qFormat/>
    <w:uiPriority w:val="99"/>
    <w:rPr>
      <w:rFonts w:cs="Times New Roman"/>
    </w:rPr>
  </w:style>
  <w:style w:type="character" w:styleId="24">
    <w:name w:val="FollowedHyperlink"/>
    <w:qFormat/>
    <w:uiPriority w:val="99"/>
    <w:rPr>
      <w:rFonts w:cs="Times New Roman"/>
      <w:color w:val="800080"/>
      <w:u w:val="single"/>
    </w:rPr>
  </w:style>
  <w:style w:type="character" w:styleId="25">
    <w:name w:val="Hyperlink"/>
    <w:qFormat/>
    <w:uiPriority w:val="99"/>
    <w:rPr>
      <w:rFonts w:cs="Times New Roman"/>
      <w:color w:val="0000FF"/>
      <w:u w:val="single"/>
    </w:rPr>
  </w:style>
  <w:style w:type="character" w:customStyle="1" w:styleId="26">
    <w:name w:val="标题 1 字符"/>
    <w:link w:val="3"/>
    <w:qFormat/>
    <w:locked/>
    <w:uiPriority w:val="99"/>
    <w:rPr>
      <w:rFonts w:cs="Times New Roman"/>
      <w:b/>
      <w:kern w:val="44"/>
      <w:sz w:val="44"/>
    </w:rPr>
  </w:style>
  <w:style w:type="character" w:customStyle="1" w:styleId="27">
    <w:name w:val="标题 2 字符"/>
    <w:link w:val="4"/>
    <w:qFormat/>
    <w:locked/>
    <w:uiPriority w:val="0"/>
    <w:rPr>
      <w:rFonts w:ascii="Cambria" w:hAnsi="Cambria" w:eastAsia="宋体" w:cs="Times New Roman"/>
      <w:b/>
      <w:kern w:val="2"/>
      <w:sz w:val="32"/>
    </w:rPr>
  </w:style>
  <w:style w:type="character" w:customStyle="1" w:styleId="28">
    <w:name w:val="文档结构图 字符"/>
    <w:link w:val="5"/>
    <w:semiHidden/>
    <w:qFormat/>
    <w:locked/>
    <w:uiPriority w:val="99"/>
    <w:rPr>
      <w:rFonts w:cs="Times New Roman"/>
      <w:sz w:val="2"/>
    </w:rPr>
  </w:style>
  <w:style w:type="character" w:customStyle="1" w:styleId="29">
    <w:name w:val="正文文本 字符"/>
    <w:link w:val="6"/>
    <w:qFormat/>
    <w:locked/>
    <w:uiPriority w:val="99"/>
    <w:rPr>
      <w:rFonts w:cs="Times New Roman"/>
      <w:kern w:val="2"/>
      <w:sz w:val="24"/>
    </w:rPr>
  </w:style>
  <w:style w:type="character" w:customStyle="1" w:styleId="30">
    <w:name w:val="纯文本 字符"/>
    <w:link w:val="8"/>
    <w:semiHidden/>
    <w:qFormat/>
    <w:locked/>
    <w:uiPriority w:val="99"/>
    <w:rPr>
      <w:rFonts w:ascii="宋体" w:hAnsi="Courier New" w:cs="Times New Roman"/>
      <w:sz w:val="21"/>
    </w:rPr>
  </w:style>
  <w:style w:type="character" w:customStyle="1" w:styleId="31">
    <w:name w:val="日期 字符"/>
    <w:link w:val="9"/>
    <w:qFormat/>
    <w:locked/>
    <w:uiPriority w:val="99"/>
    <w:rPr>
      <w:rFonts w:eastAsia="黑体" w:cs="Times New Roman"/>
      <w:sz w:val="24"/>
    </w:rPr>
  </w:style>
  <w:style w:type="character" w:customStyle="1" w:styleId="32">
    <w:name w:val="批注框文本 字符"/>
    <w:link w:val="11"/>
    <w:semiHidden/>
    <w:qFormat/>
    <w:locked/>
    <w:uiPriority w:val="99"/>
    <w:rPr>
      <w:rFonts w:cs="Times New Roman"/>
      <w:kern w:val="2"/>
      <w:sz w:val="18"/>
    </w:rPr>
  </w:style>
  <w:style w:type="character" w:customStyle="1" w:styleId="33">
    <w:name w:val="页脚 字符"/>
    <w:link w:val="12"/>
    <w:qFormat/>
    <w:locked/>
    <w:uiPriority w:val="99"/>
    <w:rPr>
      <w:rFonts w:cs="Times New Roman"/>
      <w:kern w:val="2"/>
      <w:sz w:val="18"/>
    </w:rPr>
  </w:style>
  <w:style w:type="character" w:customStyle="1" w:styleId="34">
    <w:name w:val="页眉 字符"/>
    <w:link w:val="13"/>
    <w:qFormat/>
    <w:locked/>
    <w:uiPriority w:val="99"/>
    <w:rPr>
      <w:rFonts w:cs="Times New Roman"/>
      <w:kern w:val="2"/>
      <w:sz w:val="18"/>
    </w:rPr>
  </w:style>
  <w:style w:type="character" w:customStyle="1" w:styleId="35">
    <w:name w:val="HTML 预设格式 字符"/>
    <w:link w:val="16"/>
    <w:qFormat/>
    <w:locked/>
    <w:uiPriority w:val="99"/>
    <w:rPr>
      <w:rFonts w:ascii="宋体" w:eastAsia="宋体" w:cs="Times New Roman"/>
      <w:sz w:val="24"/>
    </w:rPr>
  </w:style>
  <w:style w:type="paragraph" w:customStyle="1" w:styleId="36">
    <w:name w:val="此正文"/>
    <w:basedOn w:val="1"/>
    <w:qFormat/>
    <w:uiPriority w:val="99"/>
    <w:pPr>
      <w:spacing w:line="360" w:lineRule="auto"/>
      <w:ind w:firstLine="200" w:firstLineChars="200"/>
    </w:pPr>
    <w:rPr>
      <w:sz w:val="24"/>
      <w:szCs w:val="20"/>
    </w:rPr>
  </w:style>
  <w:style w:type="paragraph" w:customStyle="1" w:styleId="37">
    <w:name w:val="Char Char Char Char Char Char Char"/>
    <w:basedOn w:val="1"/>
    <w:semiHidden/>
    <w:qFormat/>
    <w:uiPriority w:val="99"/>
    <w:rPr>
      <w:rFonts w:ascii="Tahoma" w:hAnsi="Tahoma" w:cs="仿宋_GB2312"/>
      <w:sz w:val="24"/>
      <w:szCs w:val="28"/>
    </w:rPr>
  </w:style>
  <w:style w:type="paragraph" w:customStyle="1" w:styleId="38">
    <w:name w:val="Char Char Char Char"/>
    <w:basedOn w:val="5"/>
    <w:qFormat/>
    <w:uiPriority w:val="99"/>
    <w:pPr>
      <w:adjustRightInd w:val="0"/>
      <w:snapToGrid w:val="0"/>
      <w:spacing w:line="360" w:lineRule="auto"/>
    </w:pPr>
    <w:rPr>
      <w:rFonts w:ascii="Tahoma" w:hAnsi="Tahoma"/>
      <w:sz w:val="24"/>
    </w:rPr>
  </w:style>
  <w:style w:type="paragraph" w:customStyle="1" w:styleId="39">
    <w:name w:val="Char1"/>
    <w:basedOn w:val="1"/>
    <w:qFormat/>
    <w:uiPriority w:val="99"/>
    <w:rPr>
      <w:rFonts w:ascii="Tahoma" w:hAnsi="Tahoma"/>
      <w:sz w:val="24"/>
      <w:szCs w:val="20"/>
    </w:rPr>
  </w:style>
  <w:style w:type="paragraph" w:customStyle="1" w:styleId="40">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41">
    <w:name w:val="正文文本缩进 字符"/>
    <w:link w:val="7"/>
    <w:semiHidden/>
    <w:qFormat/>
    <w:uiPriority w:val="99"/>
    <w:rPr>
      <w:szCs w:val="24"/>
    </w:rPr>
  </w:style>
  <w:style w:type="paragraph" w:customStyle="1" w:styleId="42">
    <w:name w:val="列出段落1"/>
    <w:basedOn w:val="1"/>
    <w:qFormat/>
    <w:uiPriority w:val="99"/>
    <w:pPr>
      <w:tabs>
        <w:tab w:val="left" w:pos="680"/>
      </w:tabs>
      <w:snapToGrid w:val="0"/>
      <w:spacing w:line="400" w:lineRule="exact"/>
    </w:pPr>
    <w:rPr>
      <w:rFonts w:ascii="宋体" w:hAnsi="宋体"/>
      <w:spacing w:val="-2"/>
      <w:sz w:val="24"/>
    </w:rPr>
  </w:style>
  <w:style w:type="paragraph" w:styleId="43">
    <w:name w:val="List Paragraph"/>
    <w:basedOn w:val="1"/>
    <w:qFormat/>
    <w:uiPriority w:val="34"/>
    <w:pPr>
      <w:ind w:firstLine="420" w:firstLineChars="200"/>
    </w:pPr>
  </w:style>
  <w:style w:type="character" w:customStyle="1" w:styleId="44">
    <w:name w:val="正文首行缩进 2 字符"/>
    <w:basedOn w:val="41"/>
    <w:link w:val="18"/>
    <w:semiHidden/>
    <w:qFormat/>
    <w:uiPriority w:val="99"/>
    <w:rPr>
      <w:kern w:val="2"/>
      <w:sz w:val="21"/>
      <w:szCs w:val="24"/>
    </w:rPr>
  </w:style>
  <w:style w:type="character" w:customStyle="1" w:styleId="45">
    <w:name w:val="apple-converted-space"/>
    <w:basedOn w:val="21"/>
    <w:qFormat/>
    <w:uiPriority w:val="0"/>
  </w:style>
  <w:style w:type="paragraph" w:customStyle="1" w:styleId="46">
    <w:name w:val="普通正文"/>
    <w:basedOn w:val="1"/>
    <w:qFormat/>
    <w:uiPriority w:val="0"/>
    <w:pPr>
      <w:adjustRightInd w:val="0"/>
      <w:spacing w:before="120" w:after="120" w:line="360" w:lineRule="auto"/>
      <w:ind w:firstLine="480"/>
      <w:jc w:val="left"/>
    </w:pPr>
    <w:rPr>
      <w:rFonts w:ascii="Arial" w:hAnsi="Arial"/>
      <w:kern w:val="0"/>
      <w:sz w:val="24"/>
    </w:rPr>
  </w:style>
  <w:style w:type="character" w:customStyle="1" w:styleId="47">
    <w:name w:val="正文文本缩进 2 字符"/>
    <w:basedOn w:val="21"/>
    <w:link w:val="10"/>
    <w:semiHidden/>
    <w:qFormat/>
    <w:uiPriority w:val="99"/>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E36894-8CCB-4FE4-898D-687FE129B5D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2558</Words>
  <Characters>14585</Characters>
  <Lines>121</Lines>
  <Paragraphs>34</Paragraphs>
  <TotalTime>74</TotalTime>
  <ScaleCrop>false</ScaleCrop>
  <LinksUpToDate>false</LinksUpToDate>
  <CharactersWithSpaces>17109</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2021-11-24T02:21:00Z</dcterms:created>
  <dc:creator>USER</dc:creator>
  <cp:lastModifiedBy>WPS_1569853917</cp:lastModifiedBy>
  <cp:lastPrinted>2021-12-09T08:18:00Z</cp:lastPrinted>
  <dcterms:modified xsi:type="dcterms:W3CDTF">2021-12-13T06:49:59Z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CFFF4FFBC2F7449FA388590DA298CF4F</vt:lpwstr>
  </property>
</Properties>
</file>