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ascii="宋体" w:hAnsi="宋体"/>
          <w:b/>
          <w:sz w:val="72"/>
        </w:rPr>
      </w:pPr>
      <w:r>
        <w:rPr>
          <w:rFonts w:hint="eastAsia" w:ascii="宋体" w:hAnsi="宋体"/>
          <w:b/>
          <w:sz w:val="72"/>
        </w:rPr>
        <w:t>竞争性磋商采购文件</w:t>
      </w:r>
    </w:p>
    <w:p>
      <w:pPr>
        <w:rPr>
          <w:rFonts w:ascii="宋体"/>
          <w:sz w:val="32"/>
        </w:rPr>
      </w:pPr>
    </w:p>
    <w:p>
      <w:pPr>
        <w:ind w:firstLine="1744" w:firstLineChars="545"/>
        <w:rPr>
          <w:rFonts w:ascii="宋体"/>
          <w:sz w:val="32"/>
        </w:rPr>
      </w:pPr>
    </w:p>
    <w:p>
      <w:pPr>
        <w:spacing w:line="300" w:lineRule="auto"/>
        <w:ind w:firstLine="1928" w:firstLineChars="600"/>
        <w:rPr>
          <w:rFonts w:asciiTheme="minorEastAsia" w:hAnsiTheme="minorEastAsia" w:eastAsiaTheme="minorEastAsia" w:cstheme="minorEastAsia"/>
          <w:b/>
          <w:color w:val="000000"/>
          <w:sz w:val="28"/>
          <w:szCs w:val="28"/>
        </w:rPr>
      </w:pPr>
      <w:r>
        <w:rPr>
          <w:rFonts w:hint="eastAsia" w:ascii="宋体" w:hAnsi="宋体"/>
          <w:b/>
          <w:sz w:val="32"/>
          <w:szCs w:val="32"/>
        </w:rPr>
        <w:t>项目名称：</w:t>
      </w:r>
      <w:r>
        <w:rPr>
          <w:rFonts w:hint="eastAsia" w:asciiTheme="minorEastAsia" w:hAnsiTheme="minorEastAsia" w:eastAsiaTheme="minorEastAsia" w:cstheme="minorEastAsia"/>
          <w:b/>
          <w:color w:val="000000"/>
          <w:sz w:val="32"/>
          <w:szCs w:val="32"/>
        </w:rPr>
        <w:t>南通大学啬园校区部分公寓楼热水供应</w:t>
      </w:r>
    </w:p>
    <w:p>
      <w:pPr>
        <w:ind w:firstLine="1928" w:firstLineChars="600"/>
        <w:rPr>
          <w:rFonts w:ascii="宋体" w:hAnsi="宋体"/>
          <w:b/>
          <w:color w:val="000000" w:themeColor="text1"/>
          <w:sz w:val="32"/>
          <w:szCs w:val="32"/>
          <w14:textFill>
            <w14:solidFill>
              <w14:schemeClr w14:val="tx1"/>
            </w14:solidFill>
          </w14:textFill>
        </w:rPr>
      </w:pPr>
      <w:r>
        <w:rPr>
          <w:rFonts w:hint="eastAsia" w:ascii="宋体" w:hAnsi="宋体"/>
          <w:b/>
          <w:sz w:val="32"/>
          <w:szCs w:val="32"/>
        </w:rPr>
        <w:t>项目编号：</w:t>
      </w:r>
      <w:r>
        <w:rPr>
          <w:rFonts w:ascii="宋体" w:hAnsi="宋体"/>
          <w:b/>
          <w:color w:val="000000" w:themeColor="text1"/>
          <w:sz w:val="32"/>
          <w:szCs w:val="32"/>
          <w14:textFill>
            <w14:solidFill>
              <w14:schemeClr w14:val="tx1"/>
            </w14:solidFill>
          </w14:textFill>
        </w:rPr>
        <w:t>TD</w:t>
      </w:r>
      <w:r>
        <w:rPr>
          <w:rFonts w:hint="eastAsia" w:ascii="宋体" w:hAnsi="宋体"/>
          <w:b/>
          <w:color w:val="000000" w:themeColor="text1"/>
          <w:sz w:val="32"/>
          <w:szCs w:val="32"/>
          <w14:textFill>
            <w14:solidFill>
              <w14:schemeClr w14:val="tx1"/>
            </w14:solidFill>
          </w14:textFill>
        </w:rPr>
        <w:t>H</w:t>
      </w:r>
      <w:r>
        <w:rPr>
          <w:rFonts w:ascii="宋体" w:hAnsi="宋体"/>
          <w:b/>
          <w:color w:val="000000" w:themeColor="text1"/>
          <w:sz w:val="32"/>
          <w:szCs w:val="32"/>
          <w14:textFill>
            <w14:solidFill>
              <w14:schemeClr w14:val="tx1"/>
            </w14:solidFill>
          </w14:textFill>
        </w:rPr>
        <w:t>W(</w:t>
      </w:r>
      <w:r>
        <w:rPr>
          <w:rFonts w:hint="eastAsia" w:ascii="宋体" w:hAnsi="宋体"/>
          <w:b/>
          <w:color w:val="000000" w:themeColor="text1"/>
          <w:sz w:val="32"/>
          <w:szCs w:val="32"/>
          <w14:textFill>
            <w14:solidFill>
              <w14:schemeClr w14:val="tx1"/>
            </w14:solidFill>
          </w14:textFill>
        </w:rPr>
        <w:t>JC</w:t>
      </w:r>
      <w:r>
        <w:rPr>
          <w:rFonts w:ascii="宋体" w:hAnsi="宋体"/>
          <w:b/>
          <w:color w:val="000000" w:themeColor="text1"/>
          <w:sz w:val="32"/>
          <w:szCs w:val="32"/>
          <w14:textFill>
            <w14:solidFill>
              <w14:schemeClr w14:val="tx1"/>
            </w14:solidFill>
          </w14:textFill>
        </w:rPr>
        <w:t>)20</w:t>
      </w:r>
      <w:r>
        <w:rPr>
          <w:rFonts w:hint="eastAsia" w:ascii="宋体" w:hAnsi="宋体"/>
          <w:b/>
          <w:color w:val="000000" w:themeColor="text1"/>
          <w:sz w:val="32"/>
          <w:szCs w:val="32"/>
          <w14:textFill>
            <w14:solidFill>
              <w14:schemeClr w14:val="tx1"/>
            </w14:solidFill>
          </w14:textFill>
        </w:rPr>
        <w:t>21-102</w:t>
      </w:r>
    </w:p>
    <w:p>
      <w:pPr>
        <w:rPr>
          <w:sz w:val="44"/>
        </w:rPr>
      </w:pPr>
    </w:p>
    <w:p>
      <w:pPr>
        <w:jc w:val="center"/>
        <w:rPr>
          <w:sz w:val="44"/>
        </w:rPr>
      </w:pPr>
    </w:p>
    <w:p>
      <w:pPr>
        <w:jc w:val="center"/>
        <w:rPr>
          <w:rFonts w:eastAsia="黑体"/>
          <w:sz w:val="32"/>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rPr>
          <w:rFonts w:hint="eastAsia"/>
        </w:rPr>
      </w:pPr>
    </w:p>
    <w:p>
      <w:pPr>
        <w:rPr>
          <w:rFonts w:eastAsia="黑体"/>
          <w:sz w:val="32"/>
        </w:rPr>
      </w:pPr>
    </w:p>
    <w:p>
      <w:pPr>
        <w:rPr>
          <w:rFonts w:eastAsia="黑体"/>
          <w:sz w:val="32"/>
        </w:rPr>
      </w:pPr>
    </w:p>
    <w:p>
      <w:pPr>
        <w:rPr>
          <w:rFonts w:ascii="宋体"/>
          <w:sz w:val="32"/>
        </w:rPr>
      </w:pPr>
    </w:p>
    <w:p>
      <w:pPr>
        <w:jc w:val="center"/>
        <w:rPr>
          <w:rFonts w:ascii="宋体"/>
          <w:b/>
          <w:sz w:val="32"/>
          <w:szCs w:val="32"/>
        </w:rPr>
      </w:pPr>
      <w:r>
        <w:rPr>
          <w:rFonts w:hint="eastAsia" w:ascii="宋体" w:hAnsi="宋体"/>
          <w:b/>
          <w:sz w:val="32"/>
          <w:szCs w:val="32"/>
        </w:rPr>
        <w:t>南通大学招投标管理办公室</w:t>
      </w:r>
    </w:p>
    <w:p>
      <w:pPr>
        <w:pStyle w:val="9"/>
        <w:ind w:left="0" w:leftChars="0"/>
        <w:jc w:val="center"/>
        <w:rPr>
          <w:rFonts w:eastAsia="宋体"/>
          <w:b/>
          <w:sz w:val="32"/>
          <w:szCs w:val="32"/>
        </w:rPr>
        <w:sectPr>
          <w:footerReference r:id="rId3" w:type="even"/>
          <w:pgSz w:w="11906" w:h="16838"/>
          <w:pgMar w:top="1440" w:right="748" w:bottom="1440" w:left="1083" w:header="851" w:footer="992" w:gutter="0"/>
          <w:pgNumType w:start="0"/>
          <w:cols w:space="425" w:num="1"/>
          <w:titlePg/>
          <w:docGrid w:type="lines" w:linePitch="312" w:charSpace="0"/>
        </w:sectPr>
      </w:pPr>
      <w:r>
        <w:rPr>
          <w:rFonts w:hint="eastAsia" w:eastAsia="宋体"/>
          <w:b/>
          <w:sz w:val="32"/>
          <w:szCs w:val="32"/>
        </w:rPr>
        <w:t>2021</w:t>
      </w:r>
      <w:r>
        <w:rPr>
          <w:rFonts w:eastAsia="宋体"/>
          <w:b/>
          <w:sz w:val="32"/>
          <w:szCs w:val="32"/>
        </w:rPr>
        <w:t>年</w:t>
      </w:r>
      <w:r>
        <w:rPr>
          <w:rFonts w:hint="eastAsia" w:eastAsia="宋体"/>
          <w:b/>
          <w:sz w:val="32"/>
          <w:szCs w:val="32"/>
        </w:rPr>
        <w:t>7</w:t>
      </w:r>
      <w:r>
        <w:rPr>
          <w:rFonts w:eastAsia="宋体"/>
          <w:b/>
          <w:sz w:val="32"/>
          <w:szCs w:val="32"/>
        </w:rPr>
        <w:t>月</w:t>
      </w:r>
    </w:p>
    <w:p>
      <w:pPr>
        <w:pStyle w:val="9"/>
        <w:ind w:left="0" w:leftChars="0"/>
        <w:jc w:val="center"/>
        <w:rPr>
          <w:rStyle w:val="21"/>
          <w:bCs/>
          <w:color w:val="auto"/>
          <w:sz w:val="48"/>
          <w:u w:val="none"/>
        </w:rPr>
      </w:pPr>
      <w:r>
        <w:rPr>
          <w:rStyle w:val="21"/>
          <w:rFonts w:hint="eastAsia"/>
          <w:bCs/>
          <w:color w:val="auto"/>
          <w:sz w:val="48"/>
          <w:u w:val="none"/>
        </w:rPr>
        <w:t>目  录</w:t>
      </w:r>
    </w:p>
    <w:p>
      <w:pPr>
        <w:pStyle w:val="13"/>
        <w:tabs>
          <w:tab w:val="right" w:leader="dot" w:pos="10070"/>
        </w:tabs>
        <w:rPr>
          <w:rFonts w:asciiTheme="minorHAnsi" w:hAnsiTheme="minorHAnsi" w:eastAsiaTheme="minorEastAsia" w:cstheme="minorBidi"/>
          <w:szCs w:val="22"/>
        </w:rPr>
      </w:pPr>
      <w:r>
        <w:rPr>
          <w:rStyle w:val="21"/>
          <w:rFonts w:eastAsia="黑体"/>
          <w:bCs/>
          <w:color w:val="auto"/>
          <w:sz w:val="24"/>
          <w:u w:val="none"/>
        </w:rPr>
        <w:fldChar w:fldCharType="begin"/>
      </w:r>
      <w:r>
        <w:rPr>
          <w:rStyle w:val="21"/>
          <w:rFonts w:eastAsia="黑体"/>
          <w:bCs/>
          <w:color w:val="auto"/>
          <w:sz w:val="24"/>
          <w:u w:val="none"/>
        </w:rPr>
        <w:instrText xml:space="preserve"> TOC \o "1-3" \h \z \u </w:instrText>
      </w:r>
      <w:r>
        <w:rPr>
          <w:rStyle w:val="21"/>
          <w:rFonts w:eastAsia="黑体"/>
          <w:bCs/>
          <w:color w:val="auto"/>
          <w:sz w:val="24"/>
          <w:u w:val="none"/>
        </w:rPr>
        <w:fldChar w:fldCharType="separate"/>
      </w:r>
      <w:r>
        <w:fldChar w:fldCharType="begin"/>
      </w:r>
      <w:r>
        <w:instrText xml:space="preserve"> HYPERLINK \l "_Toc76388969" </w:instrText>
      </w:r>
      <w:r>
        <w:fldChar w:fldCharType="separate"/>
      </w:r>
      <w:r>
        <w:rPr>
          <w:rStyle w:val="22"/>
        </w:rPr>
        <w:t>第一部分  竞争性磋商采购公告</w:t>
      </w:r>
      <w:r>
        <w:tab/>
      </w:r>
      <w:r>
        <w:fldChar w:fldCharType="begin"/>
      </w:r>
      <w:r>
        <w:instrText xml:space="preserve"> PAGEREF _Toc76388969 \h </w:instrText>
      </w:r>
      <w:r>
        <w:fldChar w:fldCharType="separate"/>
      </w:r>
      <w:r>
        <w:t>2</w:t>
      </w:r>
      <w:r>
        <w:fldChar w:fldCharType="end"/>
      </w:r>
      <w:r>
        <w:fldChar w:fldCharType="end"/>
      </w:r>
    </w:p>
    <w:p>
      <w:pPr>
        <w:pStyle w:val="13"/>
        <w:tabs>
          <w:tab w:val="right" w:leader="dot" w:pos="10070"/>
        </w:tabs>
        <w:rPr>
          <w:rFonts w:asciiTheme="minorHAnsi" w:hAnsiTheme="minorHAnsi" w:eastAsiaTheme="minorEastAsia" w:cstheme="minorBidi"/>
          <w:szCs w:val="22"/>
        </w:rPr>
      </w:pPr>
      <w:r>
        <w:fldChar w:fldCharType="begin"/>
      </w:r>
      <w:r>
        <w:instrText xml:space="preserve"> HYPERLINK \l "_Toc76388970" </w:instrText>
      </w:r>
      <w:r>
        <w:fldChar w:fldCharType="separate"/>
      </w:r>
      <w:r>
        <w:rPr>
          <w:rStyle w:val="22"/>
        </w:rPr>
        <w:t>第二部分  投标人须知</w:t>
      </w:r>
      <w:r>
        <w:tab/>
      </w:r>
      <w:r>
        <w:fldChar w:fldCharType="begin"/>
      </w:r>
      <w:r>
        <w:instrText xml:space="preserve"> PAGEREF _Toc76388970 \h </w:instrText>
      </w:r>
      <w:r>
        <w:fldChar w:fldCharType="separate"/>
      </w:r>
      <w:r>
        <w:t>4</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"_Toc76388971" </w:instrText>
      </w:r>
      <w:r>
        <w:fldChar w:fldCharType="separate"/>
      </w:r>
      <w:r>
        <w:rPr>
          <w:rStyle w:val="22"/>
        </w:rPr>
        <w:t>一、竞争性磋商文件</w:t>
      </w:r>
      <w:r>
        <w:tab/>
      </w:r>
      <w:r>
        <w:fldChar w:fldCharType="begin"/>
      </w:r>
      <w:r>
        <w:instrText xml:space="preserve"> PAGEREF _Toc76388971 \h </w:instrText>
      </w:r>
      <w:r>
        <w:fldChar w:fldCharType="separate"/>
      </w:r>
      <w:r>
        <w:t>4</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"_Toc76388972" </w:instrText>
      </w:r>
      <w:r>
        <w:fldChar w:fldCharType="separate"/>
      </w:r>
      <w:r>
        <w:rPr>
          <w:rStyle w:val="22"/>
        </w:rPr>
        <w:t>二、投标文件</w:t>
      </w:r>
      <w:r>
        <w:tab/>
      </w:r>
      <w:r>
        <w:fldChar w:fldCharType="begin"/>
      </w:r>
      <w:r>
        <w:instrText xml:space="preserve"> PAGEREF _Toc76388972 \h </w:instrText>
      </w:r>
      <w:r>
        <w:fldChar w:fldCharType="separate"/>
      </w:r>
      <w:r>
        <w:t>5</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"_Toc76388973" </w:instrText>
      </w:r>
      <w:r>
        <w:fldChar w:fldCharType="separate"/>
      </w:r>
      <w:r>
        <w:rPr>
          <w:rStyle w:val="22"/>
        </w:rPr>
        <w:t>三、投标细则</w:t>
      </w:r>
      <w:r>
        <w:tab/>
      </w:r>
      <w:r>
        <w:fldChar w:fldCharType="begin"/>
      </w:r>
      <w:r>
        <w:instrText xml:space="preserve"> PAGEREF _Toc76388973 \h </w:instrText>
      </w:r>
      <w:r>
        <w:fldChar w:fldCharType="separate"/>
      </w:r>
      <w:r>
        <w:t>6</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"_Toc76388974" </w:instrText>
      </w:r>
      <w:r>
        <w:fldChar w:fldCharType="separate"/>
      </w:r>
      <w:r>
        <w:rPr>
          <w:rStyle w:val="22"/>
        </w:rPr>
        <w:t>四、评标</w:t>
      </w:r>
      <w:r>
        <w:tab/>
      </w:r>
      <w:r>
        <w:fldChar w:fldCharType="begin"/>
      </w:r>
      <w:r>
        <w:instrText xml:space="preserve"> PAGEREF _Toc76388974 \h </w:instrText>
      </w:r>
      <w:r>
        <w:fldChar w:fldCharType="separate"/>
      </w:r>
      <w:r>
        <w:t>7</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"_Toc76388975" </w:instrText>
      </w:r>
      <w:r>
        <w:fldChar w:fldCharType="separate"/>
      </w:r>
      <w:r>
        <w:rPr>
          <w:rStyle w:val="22"/>
        </w:rPr>
        <w:t>五、竞争性磋商方法及评判标准</w:t>
      </w:r>
      <w:r>
        <w:tab/>
      </w:r>
      <w:r>
        <w:fldChar w:fldCharType="begin"/>
      </w:r>
      <w:r>
        <w:instrText xml:space="preserve"> PAGEREF _Toc76388975 \h </w:instrText>
      </w:r>
      <w:r>
        <w:fldChar w:fldCharType="separate"/>
      </w:r>
      <w:r>
        <w:t>8</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"_Toc76388976" </w:instrText>
      </w:r>
      <w:r>
        <w:fldChar w:fldCharType="separate"/>
      </w:r>
      <w:r>
        <w:rPr>
          <w:rStyle w:val="22"/>
        </w:rPr>
        <w:t>六、 定标</w:t>
      </w:r>
      <w:r>
        <w:tab/>
      </w:r>
      <w:r>
        <w:fldChar w:fldCharType="begin"/>
      </w:r>
      <w:r>
        <w:instrText xml:space="preserve"> PAGEREF _Toc76388976 \h </w:instrText>
      </w:r>
      <w:r>
        <w:fldChar w:fldCharType="separate"/>
      </w:r>
      <w:r>
        <w:t>9</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"_Toc76388977" </w:instrText>
      </w:r>
      <w:r>
        <w:fldChar w:fldCharType="separate"/>
      </w:r>
      <w:r>
        <w:rPr>
          <w:rStyle w:val="22"/>
        </w:rPr>
        <w:t>七、合同的签订</w:t>
      </w:r>
      <w:r>
        <w:tab/>
      </w:r>
      <w:r>
        <w:fldChar w:fldCharType="begin"/>
      </w:r>
      <w:r>
        <w:instrText xml:space="preserve"> PAGEREF _Toc76388977 \h </w:instrText>
      </w:r>
      <w:r>
        <w:fldChar w:fldCharType="separate"/>
      </w:r>
      <w:r>
        <w:t>10</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"_Toc76388978" </w:instrText>
      </w:r>
      <w:r>
        <w:fldChar w:fldCharType="separate"/>
      </w:r>
      <w:r>
        <w:rPr>
          <w:rStyle w:val="22"/>
        </w:rPr>
        <w:t>八、合同履约保证金</w:t>
      </w:r>
      <w:r>
        <w:tab/>
      </w:r>
      <w:r>
        <w:fldChar w:fldCharType="begin"/>
      </w:r>
      <w:r>
        <w:instrText xml:space="preserve"> PAGEREF _Toc76388978 \h </w:instrText>
      </w:r>
      <w:r>
        <w:fldChar w:fldCharType="separate"/>
      </w:r>
      <w:r>
        <w:t>10</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"_Toc76388979" </w:instrText>
      </w:r>
      <w:r>
        <w:fldChar w:fldCharType="separate"/>
      </w:r>
      <w:r>
        <w:rPr>
          <w:rStyle w:val="22"/>
        </w:rPr>
        <w:t>九、其他</w:t>
      </w:r>
      <w:r>
        <w:tab/>
      </w:r>
      <w:r>
        <w:fldChar w:fldCharType="begin"/>
      </w:r>
      <w:r>
        <w:instrText xml:space="preserve"> PAGEREF _Toc76388979 \h </w:instrText>
      </w:r>
      <w:r>
        <w:fldChar w:fldCharType="separate"/>
      </w:r>
      <w:r>
        <w:t>10</w:t>
      </w:r>
      <w:r>
        <w:fldChar w:fldCharType="end"/>
      </w:r>
      <w:r>
        <w:fldChar w:fldCharType="end"/>
      </w:r>
    </w:p>
    <w:p>
      <w:pPr>
        <w:pStyle w:val="13"/>
        <w:tabs>
          <w:tab w:val="right" w:leader="dot" w:pos="10070"/>
        </w:tabs>
        <w:rPr>
          <w:rFonts w:asciiTheme="minorHAnsi" w:hAnsiTheme="minorHAnsi" w:eastAsiaTheme="minorEastAsia" w:cstheme="minorBidi"/>
          <w:szCs w:val="22"/>
        </w:rPr>
      </w:pPr>
      <w:r>
        <w:fldChar w:fldCharType="begin"/>
      </w:r>
      <w:r>
        <w:instrText xml:space="preserve"> HYPERLINK \l "_Toc76388980" </w:instrText>
      </w:r>
      <w:r>
        <w:fldChar w:fldCharType="separate"/>
      </w:r>
      <w:r>
        <w:rPr>
          <w:rStyle w:val="22"/>
        </w:rPr>
        <w:t>第三部分  招标货物要求及相关说明</w:t>
      </w:r>
      <w:r>
        <w:tab/>
      </w:r>
      <w:r>
        <w:fldChar w:fldCharType="begin"/>
      </w:r>
      <w:r>
        <w:instrText xml:space="preserve"> PAGEREF _Toc76388980 \h </w:instrText>
      </w:r>
      <w:r>
        <w:fldChar w:fldCharType="separate"/>
      </w:r>
      <w:r>
        <w:t>11</w:t>
      </w:r>
      <w:r>
        <w:fldChar w:fldCharType="end"/>
      </w:r>
      <w:r>
        <w:fldChar w:fldCharType="end"/>
      </w:r>
    </w:p>
    <w:p>
      <w:pPr>
        <w:pStyle w:val="13"/>
        <w:tabs>
          <w:tab w:val="right" w:leader="dot" w:pos="10070"/>
        </w:tabs>
        <w:rPr>
          <w:rFonts w:asciiTheme="minorHAnsi" w:hAnsiTheme="minorHAnsi" w:eastAsiaTheme="minorEastAsia" w:cstheme="minorBidi"/>
          <w:szCs w:val="22"/>
        </w:rPr>
      </w:pPr>
      <w:r>
        <w:fldChar w:fldCharType="begin"/>
      </w:r>
      <w:r>
        <w:instrText xml:space="preserve"> HYPERLINK \l "_Toc76388981" </w:instrText>
      </w:r>
      <w:r>
        <w:fldChar w:fldCharType="separate"/>
      </w:r>
      <w:r>
        <w:rPr>
          <w:rStyle w:val="22"/>
        </w:rPr>
        <w:t>第四部分 商务条款</w:t>
      </w:r>
      <w:r>
        <w:tab/>
      </w:r>
      <w:r>
        <w:fldChar w:fldCharType="begin"/>
      </w:r>
      <w:r>
        <w:instrText xml:space="preserve"> PAGEREF _Toc76388981 \h </w:instrText>
      </w:r>
      <w:r>
        <w:fldChar w:fldCharType="separate"/>
      </w:r>
      <w:r>
        <w:t>12</w:t>
      </w:r>
      <w:r>
        <w:fldChar w:fldCharType="end"/>
      </w:r>
      <w:r>
        <w:fldChar w:fldCharType="end"/>
      </w:r>
    </w:p>
    <w:p>
      <w:pPr>
        <w:pStyle w:val="13"/>
        <w:tabs>
          <w:tab w:val="right" w:leader="dot" w:pos="10070"/>
        </w:tabs>
        <w:rPr>
          <w:rFonts w:asciiTheme="minorHAnsi" w:hAnsiTheme="minorHAnsi" w:eastAsiaTheme="minorEastAsia" w:cstheme="minorBidi"/>
          <w:szCs w:val="22"/>
        </w:rPr>
      </w:pPr>
      <w:r>
        <w:fldChar w:fldCharType="begin"/>
      </w:r>
      <w:r>
        <w:instrText xml:space="preserve"> HYPERLINK \l "_Toc76388982" </w:instrText>
      </w:r>
      <w:r>
        <w:fldChar w:fldCharType="separate"/>
      </w:r>
      <w:r>
        <w:rPr>
          <w:rStyle w:val="22"/>
        </w:rPr>
        <w:t>第</w:t>
      </w:r>
      <w:r>
        <w:rPr>
          <w:rStyle w:val="22"/>
          <w:rFonts w:hint="eastAsia"/>
          <w:lang w:val="en-US" w:eastAsia="zh-CN"/>
        </w:rPr>
        <w:t>五</w:t>
      </w:r>
      <w:r>
        <w:rPr>
          <w:rStyle w:val="22"/>
        </w:rPr>
        <w:t>部分  附  件</w:t>
      </w:r>
      <w:r>
        <w:tab/>
      </w:r>
      <w:r>
        <w:fldChar w:fldCharType="begin"/>
      </w:r>
      <w:r>
        <w:instrText xml:space="preserve"> PAGEREF _Toc76388982 \h </w:instrText>
      </w:r>
      <w:r>
        <w:fldChar w:fldCharType="separate"/>
      </w:r>
      <w:r>
        <w:t>13</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"_Toc76388983" </w:instrText>
      </w:r>
      <w:r>
        <w:fldChar w:fldCharType="separate"/>
      </w:r>
      <w:r>
        <w:rPr>
          <w:rStyle w:val="22"/>
        </w:rPr>
        <w:t>附件1：投标函</w:t>
      </w:r>
      <w:r>
        <w:tab/>
      </w:r>
      <w:r>
        <w:fldChar w:fldCharType="begin"/>
      </w:r>
      <w:r>
        <w:instrText xml:space="preserve"> PAGEREF _Toc76388983 \h </w:instrText>
      </w:r>
      <w:r>
        <w:fldChar w:fldCharType="separate"/>
      </w:r>
      <w:r>
        <w:t>14</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"_Toc76388984" </w:instrText>
      </w:r>
      <w:r>
        <w:fldChar w:fldCharType="separate"/>
      </w:r>
      <w:r>
        <w:rPr>
          <w:rStyle w:val="22"/>
        </w:rPr>
        <w:t>附件2 :服务业绩表</w:t>
      </w:r>
      <w:r>
        <w:tab/>
      </w:r>
      <w:r>
        <w:fldChar w:fldCharType="begin"/>
      </w:r>
      <w:r>
        <w:instrText xml:space="preserve"> PAGEREF _Toc76388984 \h </w:instrText>
      </w:r>
      <w:r>
        <w:fldChar w:fldCharType="separate"/>
      </w:r>
      <w:r>
        <w:t>15</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"_Toc76388985" </w:instrText>
      </w:r>
      <w:r>
        <w:fldChar w:fldCharType="separate"/>
      </w:r>
      <w:r>
        <w:rPr>
          <w:rStyle w:val="22"/>
        </w:rPr>
        <w:t>附件3：投标报价总表</w:t>
      </w:r>
      <w:r>
        <w:tab/>
      </w:r>
      <w:r>
        <w:fldChar w:fldCharType="begin"/>
      </w:r>
      <w:r>
        <w:instrText xml:space="preserve"> PAGEREF _Toc76388985 \h </w:instrText>
      </w:r>
      <w:r>
        <w:fldChar w:fldCharType="separate"/>
      </w:r>
      <w:r>
        <w:t>16</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"_Toc76388986" </w:instrText>
      </w:r>
      <w:r>
        <w:fldChar w:fldCharType="separate"/>
      </w:r>
      <w:r>
        <w:rPr>
          <w:rStyle w:val="22"/>
        </w:rPr>
        <w:t>附件4：法定代表人资格证明</w:t>
      </w:r>
      <w:r>
        <w:tab/>
      </w:r>
      <w:r>
        <w:fldChar w:fldCharType="begin"/>
      </w:r>
      <w:r>
        <w:instrText xml:space="preserve"> PAGEREF _Toc76388986 \h </w:instrText>
      </w:r>
      <w:r>
        <w:fldChar w:fldCharType="separate"/>
      </w:r>
      <w:r>
        <w:t>1</w:t>
      </w:r>
      <w:r>
        <w:rPr>
          <w:rFonts w:hint="eastAsia"/>
          <w:lang w:val="en-US" w:eastAsia="zh-CN"/>
        </w:rPr>
        <w:t>7</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"_Toc76388987" </w:instrText>
      </w:r>
      <w:r>
        <w:fldChar w:fldCharType="separate"/>
      </w:r>
      <w:r>
        <w:rPr>
          <w:rStyle w:val="22"/>
        </w:rPr>
        <w:t>附件5：法定代表人授权书</w:t>
      </w:r>
      <w:r>
        <w:tab/>
      </w:r>
      <w:r>
        <w:fldChar w:fldCharType="begin"/>
      </w:r>
      <w:r>
        <w:instrText xml:space="preserve"> PAGEREF _Toc76388987 \h </w:instrText>
      </w:r>
      <w:r>
        <w:fldChar w:fldCharType="separate"/>
      </w:r>
      <w:r>
        <w:t>18</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"_Toc76388988" </w:instrText>
      </w:r>
      <w:r>
        <w:fldChar w:fldCharType="separate"/>
      </w:r>
      <w:r>
        <w:rPr>
          <w:rStyle w:val="22"/>
        </w:rPr>
        <w:t>附件6：南通大学采购谈判二次报价单</w:t>
      </w:r>
      <w:r>
        <w:tab/>
      </w:r>
      <w:r>
        <w:rPr>
          <w:rFonts w:hint="eastAsia"/>
          <w:lang w:val="en-US" w:eastAsia="zh-CN"/>
        </w:rPr>
        <w:t>19</w:t>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"_Toc76388989" </w:instrText>
      </w:r>
      <w:r>
        <w:fldChar w:fldCharType="separate"/>
      </w:r>
      <w:r>
        <w:rPr>
          <w:rStyle w:val="22"/>
        </w:rPr>
        <w:t>附件7：无重大违法记录声明</w:t>
      </w:r>
      <w:r>
        <w:tab/>
      </w:r>
      <w:r>
        <w:fldChar w:fldCharType="begin"/>
      </w:r>
      <w:r>
        <w:instrText xml:space="preserve"> PAGEREF _Toc76388989 \h </w:instrText>
      </w:r>
      <w:r>
        <w:fldChar w:fldCharType="separate"/>
      </w:r>
      <w:r>
        <w:t>2</w:t>
      </w:r>
      <w:r>
        <w:rPr>
          <w:rFonts w:hint="eastAsia"/>
          <w:lang w:val="en-US" w:eastAsia="zh-CN"/>
        </w:rPr>
        <w:t>0</w:t>
      </w:r>
      <w:r>
        <w:fldChar w:fldCharType="end"/>
      </w:r>
      <w:r>
        <w:fldChar w:fldCharType="end"/>
      </w:r>
    </w:p>
    <w:p>
      <w:pPr>
        <w:pStyle w:val="14"/>
        <w:tabs>
          <w:tab w:val="right" w:leader="dot" w:pos="10070"/>
        </w:tabs>
        <w:rPr>
          <w:rFonts w:hint="eastAsia" w:eastAsia="宋体" w:asciiTheme="minorHAnsi" w:hAnsiTheme="minorHAnsi" w:cstheme="minorBidi"/>
          <w:szCs w:val="22"/>
          <w:lang w:val="en-US" w:eastAsia="zh-CN"/>
        </w:rPr>
      </w:pPr>
      <w:r>
        <w:fldChar w:fldCharType="begin"/>
      </w:r>
      <w:r>
        <w:instrText xml:space="preserve"> HYPERLINK \l "_Toc76388990" </w:instrText>
      </w:r>
      <w:r>
        <w:fldChar w:fldCharType="separate"/>
      </w:r>
      <w:r>
        <w:rPr>
          <w:rStyle w:val="22"/>
        </w:rPr>
        <w:t>附件8：诚信承诺书</w:t>
      </w:r>
      <w:r>
        <w:tab/>
      </w:r>
      <w:r>
        <w:rPr>
          <w:rFonts w:hint="eastAsia"/>
          <w:lang w:val="en-US" w:eastAsia="zh-CN"/>
        </w:rPr>
        <w:t>2</w:t>
      </w:r>
      <w:r>
        <w:fldChar w:fldCharType="end"/>
      </w:r>
      <w:r>
        <w:rPr>
          <w:rFonts w:hint="eastAsia"/>
          <w:lang w:val="en-US" w:eastAsia="zh-CN"/>
        </w:rPr>
        <w:t>1</w:t>
      </w:r>
    </w:p>
    <w:p>
      <w:pPr>
        <w:pStyle w:val="14"/>
        <w:tabs>
          <w:tab w:val="right" w:leader="dot" w:pos="10070"/>
        </w:tabs>
        <w:rPr>
          <w:rFonts w:hint="eastAsia" w:eastAsia="宋体" w:asciiTheme="minorHAnsi" w:hAnsiTheme="minorHAnsi" w:cstheme="minorBidi"/>
          <w:szCs w:val="22"/>
          <w:lang w:val="en-US" w:eastAsia="zh-CN"/>
        </w:rPr>
      </w:pPr>
      <w:r>
        <w:fldChar w:fldCharType="begin"/>
      </w:r>
      <w:r>
        <w:instrText xml:space="preserve"> HYPERLINK \l "_Toc76388991" </w:instrText>
      </w:r>
      <w:r>
        <w:fldChar w:fldCharType="separate"/>
      </w:r>
      <w:r>
        <w:rPr>
          <w:rStyle w:val="22"/>
        </w:rPr>
        <w:t>附件9：热水供应安全管理责任书</w:t>
      </w:r>
      <w:r>
        <w:tab/>
      </w:r>
      <w:r>
        <w:rPr>
          <w:rFonts w:hint="eastAsia"/>
          <w:lang w:val="en-US" w:eastAsia="zh-CN"/>
        </w:rPr>
        <w:t>2</w:t>
      </w:r>
      <w:r>
        <w:fldChar w:fldCharType="end"/>
      </w:r>
      <w:r>
        <w:rPr>
          <w:rFonts w:hint="eastAsia"/>
          <w:lang w:val="en-US" w:eastAsia="zh-CN"/>
        </w:rPr>
        <w:t>2</w:t>
      </w:r>
    </w:p>
    <w:p>
      <w:pPr>
        <w:spacing w:after="312" w:afterLines="100" w:line="500" w:lineRule="exact"/>
        <w:jc w:val="center"/>
        <w:rPr>
          <w:rStyle w:val="21"/>
          <w:rFonts w:eastAsia="黑体"/>
          <w:bCs/>
          <w:color w:val="auto"/>
          <w:sz w:val="48"/>
          <w:u w:val="none"/>
        </w:rPr>
      </w:pPr>
      <w:r>
        <w:rPr>
          <w:rStyle w:val="21"/>
          <w:rFonts w:eastAsia="黑体"/>
          <w:bCs/>
          <w:color w:val="auto"/>
          <w:sz w:val="24"/>
          <w:u w:val="none"/>
        </w:rPr>
        <w:fldChar w:fldCharType="end"/>
      </w:r>
    </w:p>
    <w:p>
      <w:pPr>
        <w:pStyle w:val="3"/>
        <w:jc w:val="center"/>
        <w:rPr>
          <w:rFonts w:ascii="黑体" w:eastAsia="黑体"/>
        </w:rPr>
      </w:pPr>
      <w:r>
        <w:br w:type="page"/>
      </w:r>
      <w:bookmarkStart w:id="0" w:name="_Toc76388969"/>
      <w:r>
        <w:rPr>
          <w:rFonts w:hint="eastAsia"/>
        </w:rPr>
        <w:t>第一部分  竞争性磋商采购公告</w:t>
      </w:r>
      <w:bookmarkEnd w:id="0"/>
    </w:p>
    <w:p>
      <w:pPr>
        <w:spacing w:line="440" w:lineRule="exact"/>
        <w:ind w:firstLine="496" w:firstLineChars="200"/>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w:t>
      </w:r>
      <w:r>
        <w:rPr>
          <w:rFonts w:hint="eastAsia" w:ascii="宋体" w:hAnsi="宋体"/>
          <w:b/>
          <w:color w:val="000000" w:themeColor="text1"/>
          <w:spacing w:val="4"/>
          <w:sz w:val="24"/>
          <w14:textFill>
            <w14:solidFill>
              <w14:schemeClr w14:val="tx1"/>
            </w14:solidFill>
          </w14:textFill>
        </w:rPr>
        <w:t>竞争性磋商</w:t>
      </w:r>
      <w:r>
        <w:rPr>
          <w:rFonts w:hint="eastAsia" w:ascii="宋体" w:hAnsi="宋体"/>
          <w:color w:val="000000" w:themeColor="text1"/>
          <w:spacing w:val="4"/>
          <w:sz w:val="24"/>
          <w14:textFill>
            <w14:solidFill>
              <w14:schemeClr w14:val="tx1"/>
            </w14:solidFill>
          </w14:textFill>
        </w:rPr>
        <w:t>方式采购</w:t>
      </w:r>
      <w:r>
        <w:rPr>
          <w:rFonts w:hint="eastAsia" w:ascii="宋体" w:hAnsi="宋体"/>
          <w:b/>
          <w:bCs/>
          <w:color w:val="000000" w:themeColor="text1"/>
          <w:spacing w:val="4"/>
          <w:sz w:val="24"/>
          <w14:textFill>
            <w14:solidFill>
              <w14:schemeClr w14:val="tx1"/>
            </w14:solidFill>
          </w14:textFill>
        </w:rPr>
        <w:t>啬园校区</w:t>
      </w:r>
      <w:r>
        <w:rPr>
          <w:rFonts w:hint="eastAsia" w:ascii="宋体" w:hAnsi="宋体"/>
          <w:b/>
          <w:spacing w:val="4"/>
          <w:sz w:val="24"/>
        </w:rPr>
        <w:t>公寓楼热水供应</w:t>
      </w:r>
      <w:r>
        <w:rPr>
          <w:rFonts w:hint="eastAsia" w:ascii="宋体" w:hAnsi="宋体"/>
          <w:color w:val="000000" w:themeColor="text1"/>
          <w:spacing w:val="4"/>
          <w:sz w:val="24"/>
          <w14:textFill>
            <w14:solidFill>
              <w14:schemeClr w14:val="tx1"/>
            </w14:solidFill>
          </w14:textFill>
        </w:rPr>
        <w:t>及相关服务</w:t>
      </w:r>
      <w:r>
        <w:rPr>
          <w:rFonts w:ascii="宋体" w:hAnsi="宋体"/>
          <w:color w:val="000000" w:themeColor="text1"/>
          <w:spacing w:val="4"/>
          <w:sz w:val="24"/>
          <w14:textFill>
            <w14:solidFill>
              <w14:schemeClr w14:val="tx1"/>
            </w14:solidFill>
          </w14:textFill>
        </w:rPr>
        <w:t>，现就相关事宜公告如下</w:t>
      </w:r>
      <w:r>
        <w:rPr>
          <w:rFonts w:hint="eastAsia" w:ascii="宋体" w:hAnsi="宋体"/>
          <w:color w:val="000000" w:themeColor="text1"/>
          <w:spacing w:val="4"/>
          <w:sz w:val="24"/>
          <w14:textFill>
            <w14:solidFill>
              <w14:schemeClr w14:val="tx1"/>
            </w14:solidFill>
          </w14:textFill>
        </w:rPr>
        <w:t>：</w:t>
      </w:r>
    </w:p>
    <w:p>
      <w:pPr>
        <w:spacing w:line="440" w:lineRule="exact"/>
        <w:ind w:firstLine="498" w:firstLineChars="200"/>
        <w:rPr>
          <w:rFonts w:ascii="宋体"/>
          <w:bCs/>
          <w:spacing w:val="4"/>
          <w:sz w:val="24"/>
        </w:rPr>
      </w:pPr>
      <w:r>
        <w:rPr>
          <w:rFonts w:hint="eastAsia" w:ascii="宋体" w:hAnsi="宋体"/>
          <w:b/>
          <w:spacing w:val="4"/>
          <w:sz w:val="24"/>
        </w:rPr>
        <w:t>一、项目名称：南通大学啬园校区部分公寓楼热水供应</w:t>
      </w:r>
      <w:r>
        <w:rPr>
          <w:rFonts w:hint="eastAsia" w:ascii="宋体" w:hAnsi="宋体"/>
          <w:b/>
          <w:color w:val="000000" w:themeColor="text1"/>
          <w:spacing w:val="4"/>
          <w:sz w:val="24"/>
          <w14:textFill>
            <w14:solidFill>
              <w14:schemeClr w14:val="tx1"/>
            </w14:solidFill>
          </w14:textFill>
        </w:rPr>
        <w:t>及相关服务</w:t>
      </w:r>
    </w:p>
    <w:p>
      <w:pPr>
        <w:spacing w:line="440" w:lineRule="exact"/>
        <w:ind w:firstLine="498" w:firstLineChars="200"/>
        <w:jc w:val="left"/>
        <w:rPr>
          <w:rFonts w:ascii="宋体" w:hAnsi="宋体"/>
          <w:b/>
          <w:color w:val="FF0000"/>
          <w:spacing w:val="4"/>
          <w:sz w:val="24"/>
        </w:rPr>
      </w:pPr>
      <w:r>
        <w:rPr>
          <w:rFonts w:hint="eastAsia" w:ascii="宋体" w:hAnsi="宋体"/>
          <w:b/>
          <w:spacing w:val="4"/>
          <w:sz w:val="24"/>
        </w:rPr>
        <w:t>二、项目编号：</w:t>
      </w:r>
      <w:r>
        <w:rPr>
          <w:rFonts w:ascii="宋体" w:hAnsi="宋体"/>
          <w:b/>
          <w:color w:val="000000" w:themeColor="text1"/>
          <w:spacing w:val="4"/>
          <w:sz w:val="24"/>
          <w14:textFill>
            <w14:solidFill>
              <w14:schemeClr w14:val="tx1"/>
            </w14:solidFill>
          </w14:textFill>
        </w:rPr>
        <w:t>TD</w:t>
      </w:r>
      <w:r>
        <w:rPr>
          <w:rFonts w:hint="eastAsia" w:ascii="宋体" w:hAnsi="宋体"/>
          <w:b/>
          <w:color w:val="000000" w:themeColor="text1"/>
          <w:spacing w:val="4"/>
          <w:sz w:val="24"/>
          <w14:textFill>
            <w14:solidFill>
              <w14:schemeClr w14:val="tx1"/>
            </w14:solidFill>
          </w14:textFill>
        </w:rPr>
        <w:t>H</w:t>
      </w:r>
      <w:r>
        <w:rPr>
          <w:rFonts w:ascii="宋体" w:hAnsi="宋体"/>
          <w:b/>
          <w:color w:val="000000" w:themeColor="text1"/>
          <w:spacing w:val="4"/>
          <w:sz w:val="24"/>
          <w14:textFill>
            <w14:solidFill>
              <w14:schemeClr w14:val="tx1"/>
            </w14:solidFill>
          </w14:textFill>
        </w:rPr>
        <w:t>W(</w:t>
      </w:r>
      <w:r>
        <w:rPr>
          <w:rFonts w:hint="eastAsia" w:ascii="宋体" w:hAnsi="宋体"/>
          <w:b/>
          <w:color w:val="000000" w:themeColor="text1"/>
          <w:spacing w:val="4"/>
          <w:sz w:val="24"/>
          <w14:textFill>
            <w14:solidFill>
              <w14:schemeClr w14:val="tx1"/>
            </w14:solidFill>
          </w14:textFill>
        </w:rPr>
        <w:t>JC</w:t>
      </w:r>
      <w:r>
        <w:rPr>
          <w:rFonts w:ascii="宋体" w:hAnsi="宋体"/>
          <w:b/>
          <w:color w:val="000000" w:themeColor="text1"/>
          <w:spacing w:val="4"/>
          <w:sz w:val="24"/>
          <w14:textFill>
            <w14:solidFill>
              <w14:schemeClr w14:val="tx1"/>
            </w14:solidFill>
          </w14:textFill>
        </w:rPr>
        <w:t>)</w:t>
      </w:r>
      <w:r>
        <w:rPr>
          <w:rFonts w:hint="eastAsia" w:ascii="宋体" w:hAnsi="宋体"/>
          <w:b/>
          <w:color w:val="000000" w:themeColor="text1"/>
          <w:spacing w:val="4"/>
          <w:sz w:val="24"/>
          <w14:textFill>
            <w14:solidFill>
              <w14:schemeClr w14:val="tx1"/>
            </w14:solidFill>
          </w14:textFill>
        </w:rPr>
        <w:t>2021-102</w:t>
      </w:r>
    </w:p>
    <w:p>
      <w:pPr>
        <w:spacing w:line="440" w:lineRule="exact"/>
        <w:ind w:firstLine="498" w:firstLineChars="200"/>
        <w:rPr>
          <w:rFonts w:ascii="宋体" w:hAnsi="宋体"/>
          <w:b/>
          <w:color w:val="000000" w:themeColor="text1"/>
          <w:sz w:val="24"/>
          <w14:textFill>
            <w14:solidFill>
              <w14:schemeClr w14:val="tx1"/>
            </w14:solidFill>
          </w14:textFill>
        </w:rPr>
      </w:pPr>
      <w:r>
        <w:rPr>
          <w:rFonts w:hint="eastAsia" w:ascii="宋体" w:hAnsi="宋体"/>
          <w:b/>
          <w:spacing w:val="4"/>
          <w:sz w:val="24"/>
        </w:rPr>
        <w:t>三、项目预算：</w:t>
      </w:r>
      <w:r>
        <w:rPr>
          <w:rFonts w:hint="eastAsia" w:ascii="宋体" w:hAnsi="宋体"/>
          <w:b/>
          <w:color w:val="000000" w:themeColor="text1"/>
          <w:spacing w:val="4"/>
          <w:sz w:val="24"/>
          <w14:textFill>
            <w14:solidFill>
              <w14:schemeClr w14:val="tx1"/>
            </w14:solidFill>
          </w14:textFill>
        </w:rPr>
        <w:t>98</w:t>
      </w:r>
      <w:r>
        <w:rPr>
          <w:rFonts w:hint="eastAsia" w:ascii="宋体" w:hAnsi="宋体"/>
          <w:b/>
          <w:color w:val="000000" w:themeColor="text1"/>
          <w:sz w:val="24"/>
          <w14:textFill>
            <w14:solidFill>
              <w14:schemeClr w14:val="tx1"/>
            </w14:solidFill>
          </w14:textFill>
        </w:rPr>
        <w:t>万元</w:t>
      </w:r>
    </w:p>
    <w:p>
      <w:pPr>
        <w:spacing w:line="440" w:lineRule="exact"/>
        <w:ind w:firstLine="498" w:firstLineChars="200"/>
        <w:rPr>
          <w:rFonts w:ascii="宋体"/>
          <w:spacing w:val="4"/>
          <w:sz w:val="24"/>
        </w:rPr>
      </w:pPr>
      <w:r>
        <w:rPr>
          <w:rFonts w:hint="eastAsia" w:ascii="宋体" w:hAnsi="宋体"/>
          <w:b/>
          <w:spacing w:val="4"/>
          <w:sz w:val="24"/>
        </w:rPr>
        <w:t>四、货物品名、数量及技术规格：</w:t>
      </w:r>
      <w:r>
        <w:rPr>
          <w:rFonts w:hint="eastAsia" w:asciiTheme="minorEastAsia" w:hAnsiTheme="minorEastAsia" w:eastAsiaTheme="minorEastAsia" w:cstheme="minorEastAsia"/>
          <w:bCs/>
          <w:color w:val="000000"/>
          <w:spacing w:val="4"/>
          <w:sz w:val="24"/>
        </w:rPr>
        <w:t>90</w:t>
      </w:r>
      <w:r>
        <w:rPr>
          <w:rFonts w:hint="eastAsia" w:ascii="宋体" w:hAnsi="宋体" w:cs="宋体"/>
          <w:bCs/>
          <w:color w:val="000000"/>
          <w:spacing w:val="4"/>
          <w:sz w:val="24"/>
        </w:rPr>
        <w:t>℃</w:t>
      </w:r>
      <w:r>
        <w:rPr>
          <w:rFonts w:hint="eastAsia" w:asciiTheme="minorEastAsia" w:hAnsiTheme="minorEastAsia" w:eastAsiaTheme="minorEastAsia" w:cstheme="minorEastAsia"/>
          <w:bCs/>
          <w:color w:val="000000"/>
          <w:spacing w:val="4"/>
          <w:sz w:val="24"/>
        </w:rPr>
        <w:t>生活热水，供应</w:t>
      </w:r>
      <w:r>
        <w:rPr>
          <w:rFonts w:hint="eastAsia" w:asciiTheme="minorEastAsia" w:hAnsiTheme="minorEastAsia" w:eastAsiaTheme="minorEastAsia" w:cstheme="minorEastAsia"/>
          <w:b/>
          <w:color w:val="000000"/>
          <w:spacing w:val="4"/>
          <w:sz w:val="24"/>
        </w:rPr>
        <w:t>啬园校区公寓楼11#-19</w:t>
      </w:r>
      <w:r>
        <w:rPr>
          <w:rFonts w:hint="eastAsia" w:ascii="宋体" w:hAnsi="宋体" w:cs="宋体"/>
          <w:b/>
          <w:color w:val="000000"/>
          <w:spacing w:val="4"/>
          <w:sz w:val="24"/>
        </w:rPr>
        <w:t>＃</w:t>
      </w:r>
      <w:r>
        <w:rPr>
          <w:rFonts w:hint="eastAsia" w:asciiTheme="minorEastAsia" w:hAnsiTheme="minorEastAsia" w:eastAsiaTheme="minorEastAsia" w:cstheme="minorEastAsia"/>
          <w:b/>
          <w:color w:val="000000"/>
          <w:spacing w:val="4"/>
          <w:sz w:val="24"/>
        </w:rPr>
        <w:t>、22#、23#</w:t>
      </w:r>
      <w:r>
        <w:rPr>
          <w:rFonts w:hint="eastAsia" w:asciiTheme="minorEastAsia" w:hAnsiTheme="minorEastAsia" w:eastAsiaTheme="minorEastAsia" w:cstheme="minorEastAsia"/>
          <w:bCs/>
          <w:color w:val="000000"/>
          <w:spacing w:val="4"/>
          <w:sz w:val="24"/>
        </w:rPr>
        <w:t>，每年约33000吨，质量符合国家生活用水标准。</w:t>
      </w:r>
      <w:r>
        <w:rPr>
          <w:rFonts w:hint="eastAsia" w:ascii="宋体" w:hAnsi="宋体"/>
          <w:spacing w:val="4"/>
          <w:sz w:val="24"/>
        </w:rPr>
        <w:t>详见本竞争性磋商文件第三部分“招标货物要求及相关说明”。</w:t>
      </w:r>
    </w:p>
    <w:p>
      <w:pPr>
        <w:spacing w:line="440" w:lineRule="exact"/>
        <w:ind w:firstLine="498" w:firstLineChars="200"/>
        <w:rPr>
          <w:rFonts w:ascii="宋体"/>
          <w:b/>
          <w:spacing w:val="4"/>
          <w:sz w:val="24"/>
        </w:rPr>
      </w:pPr>
      <w:r>
        <w:rPr>
          <w:rFonts w:hint="eastAsia" w:ascii="宋体" w:hAnsi="宋体"/>
          <w:b/>
          <w:spacing w:val="4"/>
          <w:sz w:val="24"/>
        </w:rPr>
        <w:t>五、合格的投标人：</w:t>
      </w:r>
    </w:p>
    <w:p>
      <w:pPr>
        <w:spacing w:line="440" w:lineRule="exact"/>
        <w:ind w:firstLine="496" w:firstLineChars="200"/>
        <w:rPr>
          <w:rFonts w:ascii="宋体" w:hAnsi="宋体"/>
          <w:bCs/>
          <w:spacing w:val="4"/>
          <w:sz w:val="24"/>
        </w:rPr>
      </w:pPr>
      <w:r>
        <w:rPr>
          <w:rFonts w:hint="eastAsia" w:ascii="宋体" w:hAnsi="宋体"/>
          <w:bCs/>
          <w:spacing w:val="4"/>
          <w:sz w:val="24"/>
        </w:rPr>
        <w:t>参加本次招标的单位除应当符合《中华人民共和国政府采购法》第二十二条的规定外，还必须具备以下条件：</w:t>
      </w:r>
    </w:p>
    <w:p>
      <w:pPr>
        <w:spacing w:line="440" w:lineRule="exact"/>
        <w:ind w:firstLine="496" w:firstLineChars="200"/>
        <w:rPr>
          <w:rFonts w:ascii="宋体" w:hAnsi="宋体"/>
          <w:bCs/>
          <w:spacing w:val="4"/>
          <w:sz w:val="24"/>
        </w:rPr>
      </w:pPr>
      <w:r>
        <w:rPr>
          <w:rFonts w:hint="eastAsia" w:ascii="宋体" w:hAnsi="宋体"/>
          <w:bCs/>
          <w:spacing w:val="4"/>
          <w:sz w:val="24"/>
        </w:rPr>
        <w:t>1、中国境内合法注册的企业法人；</w:t>
      </w:r>
    </w:p>
    <w:p>
      <w:pPr>
        <w:spacing w:line="440" w:lineRule="exact"/>
        <w:ind w:firstLine="496" w:firstLineChars="200"/>
        <w:rPr>
          <w:rFonts w:ascii="宋体" w:hAnsi="宋体"/>
          <w:bCs/>
          <w:spacing w:val="4"/>
          <w:sz w:val="24"/>
        </w:rPr>
      </w:pPr>
      <w:r>
        <w:rPr>
          <w:rFonts w:hint="eastAsia" w:ascii="宋体" w:hAnsi="宋体"/>
          <w:bCs/>
          <w:spacing w:val="4"/>
          <w:sz w:val="24"/>
        </w:rPr>
        <w:t>2、招标货物的专业制造厂（商）或销售商；</w:t>
      </w:r>
    </w:p>
    <w:p>
      <w:pPr>
        <w:spacing w:line="440" w:lineRule="exact"/>
        <w:ind w:firstLine="496" w:firstLineChars="200"/>
        <w:rPr>
          <w:rFonts w:ascii="宋体" w:hAnsi="宋体"/>
          <w:bCs/>
          <w:spacing w:val="4"/>
          <w:sz w:val="24"/>
        </w:rPr>
      </w:pPr>
      <w:r>
        <w:rPr>
          <w:rFonts w:hint="eastAsia" w:ascii="宋体" w:hAnsi="宋体"/>
          <w:bCs/>
          <w:spacing w:val="4"/>
          <w:sz w:val="24"/>
        </w:rPr>
        <w:t>3、具有本次招标货物的供货、安装、售后服务等的相应经验和能力；</w:t>
      </w:r>
    </w:p>
    <w:p>
      <w:pPr>
        <w:spacing w:line="440" w:lineRule="exact"/>
        <w:ind w:firstLine="496" w:firstLineChars="200"/>
        <w:rPr>
          <w:rFonts w:ascii="宋体" w:hAnsi="宋体"/>
          <w:bCs/>
          <w:spacing w:val="4"/>
          <w:sz w:val="24"/>
        </w:rPr>
      </w:pPr>
      <w:r>
        <w:rPr>
          <w:rFonts w:hint="eastAsia" w:ascii="宋体" w:hAnsi="宋体"/>
          <w:bCs/>
          <w:spacing w:val="4"/>
          <w:sz w:val="24"/>
        </w:rPr>
        <w:t>4、供应商不得存在下列情况之一：</w:t>
      </w:r>
    </w:p>
    <w:p>
      <w:pPr>
        <w:spacing w:line="440" w:lineRule="exact"/>
        <w:ind w:firstLine="496" w:firstLineChars="200"/>
        <w:rPr>
          <w:rFonts w:ascii="宋体" w:hAnsi="宋体"/>
          <w:bCs/>
          <w:spacing w:val="4"/>
          <w:sz w:val="24"/>
        </w:rPr>
      </w:pPr>
      <w:r>
        <w:rPr>
          <w:rFonts w:hint="eastAsia" w:ascii="宋体" w:hAnsi="宋体"/>
          <w:bCs/>
          <w:spacing w:val="4"/>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440" w:lineRule="exact"/>
        <w:ind w:firstLine="496" w:firstLineChars="200"/>
        <w:rPr>
          <w:rFonts w:ascii="宋体" w:hAnsi="宋体"/>
          <w:bCs/>
          <w:spacing w:val="4"/>
          <w:sz w:val="24"/>
        </w:rPr>
      </w:pPr>
      <w:r>
        <w:rPr>
          <w:rFonts w:hint="eastAsia" w:ascii="宋体" w:hAnsi="宋体"/>
          <w:bCs/>
          <w:spacing w:val="4"/>
          <w:sz w:val="24"/>
        </w:rPr>
        <w:t>（2）法定代表人为同一人的两个及两个以上法人，母公司、全资子公司及其控股公司不得在本项目招标中同时参加。</w:t>
      </w:r>
    </w:p>
    <w:p>
      <w:pPr>
        <w:spacing w:line="440" w:lineRule="exact"/>
        <w:ind w:firstLine="498" w:firstLineChars="200"/>
        <w:rPr>
          <w:rFonts w:ascii="宋体" w:cs="宋体"/>
          <w:b/>
          <w:spacing w:val="2"/>
          <w:kern w:val="0"/>
          <w:sz w:val="24"/>
        </w:rPr>
      </w:pPr>
      <w:r>
        <w:rPr>
          <w:rFonts w:hint="eastAsia" w:ascii="宋体" w:hAnsi="宋体"/>
          <w:b/>
          <w:spacing w:val="4"/>
          <w:sz w:val="24"/>
        </w:rPr>
        <w:t>六、投标人资格审查方式：</w:t>
      </w:r>
      <w:r>
        <w:rPr>
          <w:rFonts w:hint="eastAsia" w:ascii="宋体" w:hAnsi="宋体" w:cs="宋体"/>
          <w:spacing w:val="2"/>
          <w:kern w:val="0"/>
          <w:sz w:val="24"/>
        </w:rPr>
        <w:t>资格后审。</w:t>
      </w:r>
    </w:p>
    <w:p>
      <w:pPr>
        <w:spacing w:line="440" w:lineRule="exact"/>
        <w:ind w:firstLine="498" w:firstLineChars="200"/>
        <w:rPr>
          <w:sz w:val="24"/>
        </w:rPr>
      </w:pPr>
      <w:r>
        <w:rPr>
          <w:rFonts w:hint="eastAsia" w:ascii="宋体" w:hAnsi="宋体"/>
          <w:b/>
          <w:spacing w:val="4"/>
          <w:sz w:val="24"/>
        </w:rPr>
        <w:t>七、竞争性磋商文件获取：</w:t>
      </w:r>
      <w:r>
        <w:rPr>
          <w:rFonts w:hint="eastAsia"/>
          <w:sz w:val="24"/>
        </w:rPr>
        <w:t>投标人自行登录南通大学招投标管理办公室主页</w:t>
      </w:r>
      <w:r>
        <w:fldChar w:fldCharType="begin"/>
      </w:r>
      <w:r>
        <w:instrText xml:space="preserve"> HYPERLINK "http://ztb.ntu.edu.cn/" </w:instrText>
      </w:r>
      <w:r>
        <w:fldChar w:fldCharType="separate"/>
      </w:r>
      <w:r>
        <w:rPr>
          <w:rStyle w:val="22"/>
          <w:rFonts w:hint="eastAsia"/>
          <w:color w:val="auto"/>
          <w:sz w:val="24"/>
        </w:rPr>
        <w:t>ztb</w:t>
      </w:r>
      <w:r>
        <w:rPr>
          <w:rStyle w:val="22"/>
          <w:color w:val="auto"/>
          <w:sz w:val="24"/>
        </w:rPr>
        <w:t>.ntu.edu.cn</w:t>
      </w:r>
      <w:r>
        <w:rPr>
          <w:rStyle w:val="22"/>
          <w:color w:val="auto"/>
          <w:sz w:val="24"/>
        </w:rPr>
        <w:fldChar w:fldCharType="end"/>
      </w:r>
      <w:r>
        <w:rPr>
          <w:rFonts w:hint="eastAsia"/>
          <w:sz w:val="24"/>
        </w:rPr>
        <w:t>下载。</w:t>
      </w:r>
    </w:p>
    <w:p>
      <w:pPr>
        <w:spacing w:line="440" w:lineRule="exac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八、</w:t>
      </w:r>
      <w:r>
        <w:rPr>
          <w:rFonts w:hint="eastAsia" w:ascii="宋体" w:hAnsi="宋体" w:cs="宋体"/>
          <w:b/>
          <w:bCs/>
          <w:color w:val="000000" w:themeColor="text1"/>
          <w:spacing w:val="2"/>
          <w:kern w:val="0"/>
          <w:sz w:val="24"/>
          <w14:textFill>
            <w14:solidFill>
              <w14:schemeClr w14:val="tx1"/>
            </w14:solidFill>
          </w14:textFill>
        </w:rPr>
        <w:t>投标报名</w:t>
      </w:r>
      <w:r>
        <w:rPr>
          <w:rFonts w:hint="eastAsia" w:ascii="宋体" w:hAnsi="宋体" w:cs="宋体"/>
          <w:color w:val="000000" w:themeColor="text1"/>
          <w:spacing w:val="2"/>
          <w:kern w:val="0"/>
          <w:sz w:val="24"/>
          <w14:textFill>
            <w14:solidFill>
              <w14:schemeClr w14:val="tx1"/>
            </w14:solidFill>
          </w14:textFill>
        </w:rPr>
        <w:t>：潜在投标人如确定参加投标，请务必在开标时间截止前，通过南通大学供应商库(https://ztb.ntu.edu.cn/gyszc.htm)注册并完成报名。若未按上述要求操作，将自行承担所产生的风险。</w:t>
      </w:r>
    </w:p>
    <w:p>
      <w:pPr>
        <w:spacing w:line="440" w:lineRule="exact"/>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九、竞争性磋商文件售价：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（通过https://ztb.ntu.edu.cn/gyszc.htm收取， 事后不退。递交投标文件时，出示回执单）。</w:t>
      </w:r>
    </w:p>
    <w:p>
      <w:pPr>
        <w:pStyle w:val="15"/>
        <w:shd w:val="clear" w:color="auto" w:fill="FFFFFF"/>
        <w:spacing w:beforeAutospacing="0" w:afterAutospacing="0" w:line="440" w:lineRule="exact"/>
        <w:ind w:firstLine="480"/>
        <w:jc w:val="both"/>
        <w:rPr>
          <w:b/>
          <w:color w:val="000000" w:themeColor="text1"/>
          <w:kern w:val="2"/>
          <w14:textFill>
            <w14:solidFill>
              <w14:schemeClr w14:val="tx1"/>
            </w14:solidFill>
          </w14:textFill>
        </w:rPr>
      </w:pPr>
      <w:r>
        <w:rPr>
          <w:rFonts w:hint="eastAsia"/>
          <w:b/>
          <w:color w:val="000000" w:themeColor="text1"/>
          <w:kern w:val="2"/>
          <w14:textFill>
            <w14:solidFill>
              <w14:schemeClr w14:val="tx1"/>
            </w14:solidFill>
          </w14:textFill>
        </w:rPr>
        <w:t>十、现场投标方式</w:t>
      </w:r>
    </w:p>
    <w:p>
      <w:pPr>
        <w:pStyle w:val="15"/>
        <w:shd w:val="clear" w:color="auto" w:fill="FFFFFF"/>
        <w:spacing w:beforeAutospacing="0" w:afterAutospacing="0" w:line="440" w:lineRule="exact"/>
        <w:ind w:firstLine="495"/>
        <w:rPr>
          <w:rFonts w:ascii="微软雅黑" w:hAnsi="微软雅黑" w:eastAsia="微软雅黑" w:cs="微软雅黑"/>
          <w:bCs/>
          <w:sz w:val="21"/>
          <w:szCs w:val="21"/>
        </w:rPr>
      </w:pPr>
      <w:r>
        <w:rPr>
          <w:rStyle w:val="19"/>
          <w:rFonts w:hint="eastAsia" w:cs="宋体"/>
          <w:shd w:val="clear" w:color="auto" w:fill="FFFFFF"/>
        </w:rPr>
        <w:t>1、投标文件接收开始时间：</w:t>
      </w:r>
      <w:r>
        <w:rPr>
          <w:rStyle w:val="19"/>
          <w:rFonts w:hint="eastAsia" w:cs="宋体"/>
          <w:b w:val="0"/>
          <w:shd w:val="clear" w:color="auto" w:fill="FFFFFF"/>
        </w:rPr>
        <w:t>2021年7月</w:t>
      </w:r>
      <w:r>
        <w:rPr>
          <w:rStyle w:val="19"/>
          <w:rFonts w:hint="eastAsia" w:cs="宋体"/>
          <w:b w:val="0"/>
          <w:shd w:val="clear" w:color="auto" w:fill="FFFFFF"/>
          <w:lang w:val="en-US" w:eastAsia="zh-CN"/>
        </w:rPr>
        <w:t>20</w:t>
      </w:r>
      <w:r>
        <w:rPr>
          <w:rStyle w:val="19"/>
          <w:rFonts w:hint="eastAsia" w:cs="宋体"/>
          <w:b w:val="0"/>
          <w:shd w:val="clear" w:color="auto" w:fill="FFFFFF"/>
        </w:rPr>
        <w:t>日9时00分</w:t>
      </w:r>
    </w:p>
    <w:p>
      <w:pPr>
        <w:pStyle w:val="15"/>
        <w:shd w:val="clear" w:color="auto" w:fill="FFFFFF"/>
        <w:spacing w:beforeAutospacing="0" w:afterAutospacing="0" w:line="440" w:lineRule="exact"/>
        <w:ind w:firstLine="495"/>
        <w:rPr>
          <w:rFonts w:ascii="微软雅黑" w:hAnsi="微软雅黑" w:eastAsia="微软雅黑" w:cs="微软雅黑"/>
          <w:bCs/>
          <w:sz w:val="21"/>
          <w:szCs w:val="21"/>
        </w:rPr>
      </w:pPr>
      <w:r>
        <w:rPr>
          <w:rStyle w:val="19"/>
          <w:rFonts w:hint="eastAsia" w:cs="宋体"/>
          <w:shd w:val="clear" w:color="auto" w:fill="FFFFFF"/>
        </w:rPr>
        <w:t>2、投标文件接收截止时间及开标时间：</w:t>
      </w:r>
      <w:r>
        <w:rPr>
          <w:rStyle w:val="19"/>
          <w:rFonts w:hint="eastAsia" w:cs="宋体"/>
          <w:b w:val="0"/>
          <w:shd w:val="clear" w:color="auto" w:fill="FFFFFF"/>
        </w:rPr>
        <w:t>2021年7月</w:t>
      </w:r>
      <w:r>
        <w:rPr>
          <w:rStyle w:val="19"/>
          <w:rFonts w:hint="eastAsia" w:cs="宋体"/>
          <w:b w:val="0"/>
          <w:shd w:val="clear" w:color="auto" w:fill="FFFFFF"/>
          <w:lang w:val="en-US" w:eastAsia="zh-CN"/>
        </w:rPr>
        <w:t>20</w:t>
      </w:r>
      <w:r>
        <w:rPr>
          <w:rStyle w:val="19"/>
          <w:rFonts w:hint="eastAsia" w:cs="宋体"/>
          <w:b w:val="0"/>
          <w:shd w:val="clear" w:color="auto" w:fill="FFFFFF"/>
        </w:rPr>
        <w:t>日9时30分</w:t>
      </w:r>
      <w:bookmarkStart w:id="51" w:name="_GoBack"/>
      <w:bookmarkEnd w:id="51"/>
    </w:p>
    <w:p>
      <w:pPr>
        <w:pStyle w:val="15"/>
        <w:shd w:val="clear" w:color="auto" w:fill="FFFFFF"/>
        <w:spacing w:beforeAutospacing="0" w:afterAutospacing="0" w:line="440" w:lineRule="exact"/>
        <w:ind w:firstLine="495"/>
        <w:rPr>
          <w:rFonts w:ascii="微软雅黑" w:hAnsi="微软雅黑" w:eastAsia="微软雅黑" w:cs="微软雅黑"/>
          <w:sz w:val="21"/>
          <w:szCs w:val="21"/>
        </w:rPr>
      </w:pPr>
      <w:r>
        <w:rPr>
          <w:rStyle w:val="19"/>
          <w:rFonts w:hint="eastAsia" w:cs="宋体"/>
          <w:shd w:val="clear" w:color="auto" w:fill="FFFFFF"/>
        </w:rPr>
        <w:t>3、投标文件接收地点：</w:t>
      </w:r>
      <w:r>
        <w:rPr>
          <w:rFonts w:hint="eastAsia" w:cs="宋体"/>
          <w:shd w:val="clear" w:color="auto" w:fill="FFFFFF"/>
        </w:rPr>
        <w:t>南通大学啬园校区北一门东传达室</w:t>
      </w:r>
    </w:p>
    <w:p>
      <w:pPr>
        <w:pStyle w:val="15"/>
        <w:shd w:val="clear" w:color="auto" w:fill="FFFFFF"/>
        <w:spacing w:beforeAutospacing="0" w:afterAutospacing="0" w:line="440" w:lineRule="exact"/>
        <w:ind w:firstLine="495"/>
        <w:rPr>
          <w:rFonts w:cs="宋体"/>
          <w:shd w:val="clear" w:color="auto" w:fill="FFFFFF"/>
        </w:rPr>
      </w:pPr>
      <w:r>
        <w:rPr>
          <w:rStyle w:val="19"/>
          <w:rFonts w:hint="eastAsia" w:cs="宋体"/>
          <w:shd w:val="clear" w:color="auto" w:fill="FFFFFF"/>
        </w:rPr>
        <w:t>4、联系人及联系方式：</w:t>
      </w:r>
      <w:r>
        <w:rPr>
          <w:rFonts w:hint="eastAsia" w:cs="宋体"/>
          <w:shd w:val="clear" w:color="auto" w:fill="FFFFFF"/>
        </w:rPr>
        <w:t>邹老师0513-85012720</w:t>
      </w:r>
    </w:p>
    <w:p>
      <w:pPr>
        <w:pStyle w:val="15"/>
        <w:shd w:val="clear" w:color="auto" w:fill="FFFFFF"/>
        <w:spacing w:beforeAutospacing="0" w:afterAutospacing="0" w:line="440" w:lineRule="exact"/>
        <w:ind w:firstLine="495"/>
        <w:rPr>
          <w:rFonts w:ascii="微软雅黑" w:hAnsi="微软雅黑" w:eastAsia="微软雅黑" w:cs="微软雅黑"/>
          <w:sz w:val="21"/>
          <w:szCs w:val="21"/>
        </w:rPr>
      </w:pPr>
      <w:r>
        <w:rPr>
          <w:rStyle w:val="19"/>
          <w:rFonts w:hint="eastAsia" w:cs="宋体"/>
          <w:shd w:val="clear" w:color="auto" w:fill="FFFFFF"/>
        </w:rPr>
        <w:t>十一、评标地点：</w:t>
      </w:r>
      <w:r>
        <w:rPr>
          <w:rFonts w:hint="eastAsia" w:cs="宋体"/>
          <w:shd w:val="clear" w:color="auto" w:fill="FFFFFF"/>
        </w:rPr>
        <w:t>南通大学啬园校区综合楼231室</w:t>
      </w:r>
    </w:p>
    <w:p>
      <w:pPr>
        <w:pStyle w:val="15"/>
        <w:shd w:val="clear" w:color="auto" w:fill="FFFFFF"/>
        <w:spacing w:beforeAutospacing="0" w:afterAutospacing="0" w:line="440" w:lineRule="exact"/>
        <w:ind w:firstLine="495"/>
        <w:rPr>
          <w:rFonts w:ascii="微软雅黑" w:hAnsi="微软雅黑" w:eastAsia="微软雅黑" w:cs="微软雅黑"/>
          <w:sz w:val="21"/>
          <w:szCs w:val="21"/>
        </w:rPr>
      </w:pPr>
      <w:r>
        <w:rPr>
          <w:rStyle w:val="19"/>
          <w:rFonts w:hint="eastAsia" w:cs="宋体"/>
          <w:shd w:val="clear" w:color="auto" w:fill="FFFFFF"/>
        </w:rPr>
        <w:t>十二、与本次谈判有关的事宜请按下列通讯方式联系</w:t>
      </w:r>
    </w:p>
    <w:p>
      <w:pPr>
        <w:spacing w:line="440" w:lineRule="exact"/>
        <w:ind w:firstLine="488" w:firstLineChars="200"/>
        <w:rPr>
          <w:rFonts w:ascii="宋体" w:hAnsi="宋体"/>
          <w:color w:val="000000"/>
          <w:spacing w:val="2"/>
          <w:kern w:val="0"/>
          <w:sz w:val="24"/>
        </w:rPr>
      </w:pPr>
      <w:r>
        <w:rPr>
          <w:rFonts w:hint="eastAsia" w:ascii="宋体" w:hAnsi="宋体"/>
          <w:color w:val="000000"/>
          <w:spacing w:val="2"/>
          <w:kern w:val="0"/>
          <w:sz w:val="24"/>
        </w:rPr>
        <w:t>如对技术条款及评判标准有疑问请咨询项目联系人；如对商务条款、采购程序及结果有疑义请咨询招标联系人。</w:t>
      </w:r>
    </w:p>
    <w:p>
      <w:pPr>
        <w:pStyle w:val="15"/>
        <w:shd w:val="clear" w:color="auto" w:fill="FFFFFF"/>
        <w:spacing w:beforeAutospacing="0" w:afterAutospacing="0" w:line="440" w:lineRule="exact"/>
        <w:ind w:firstLine="495"/>
        <w:rPr>
          <w:rFonts w:hint="eastAsia" w:ascii="宋体" w:hAnsi="宋体" w:eastAsia="宋体" w:cs="宋体"/>
          <w:shd w:val="clear" w:color="auto" w:fill="FFFFFF"/>
        </w:rPr>
      </w:pPr>
      <w:r>
        <w:rPr>
          <w:rStyle w:val="19"/>
          <w:rFonts w:hint="eastAsia" w:ascii="宋体" w:hAnsi="宋体" w:eastAsia="宋体" w:cs="宋体"/>
          <w:shd w:val="clear" w:color="auto" w:fill="FFFFFF"/>
        </w:rPr>
        <w:t>项目联系人及联系方式：</w:t>
      </w:r>
      <w:r>
        <w:rPr>
          <w:rFonts w:hint="eastAsia" w:ascii="宋体" w:hAnsi="宋体" w:eastAsia="宋体" w:cs="宋体"/>
          <w:shd w:val="clear" w:color="auto" w:fill="FFFFFF"/>
        </w:rPr>
        <w:t>赵老师0513-85012648</w:t>
      </w:r>
    </w:p>
    <w:p>
      <w:pPr>
        <w:pStyle w:val="15"/>
        <w:shd w:val="clear" w:color="auto" w:fill="FFFFFF"/>
        <w:spacing w:beforeAutospacing="0" w:afterAutospacing="0" w:line="440" w:lineRule="exact"/>
        <w:ind w:firstLine="495"/>
        <w:rPr>
          <w:rFonts w:hint="eastAsia" w:ascii="宋体" w:hAnsi="宋体" w:eastAsia="宋体" w:cs="宋体"/>
          <w:sz w:val="21"/>
          <w:szCs w:val="21"/>
        </w:rPr>
      </w:pPr>
      <w:r>
        <w:rPr>
          <w:rStyle w:val="19"/>
          <w:rFonts w:hint="eastAsia" w:ascii="宋体" w:hAnsi="宋体" w:eastAsia="宋体" w:cs="宋体"/>
          <w:shd w:val="clear" w:color="auto" w:fill="FFFFFF"/>
        </w:rPr>
        <w:t>招标联系人及联系方式：</w:t>
      </w:r>
      <w:r>
        <w:rPr>
          <w:rFonts w:hint="eastAsia" w:ascii="宋体" w:hAnsi="宋体" w:eastAsia="宋体" w:cs="宋体"/>
          <w:shd w:val="clear" w:color="auto" w:fill="FFFFFF"/>
        </w:rPr>
        <w:t>李老师0513-85012138；牛老师0513-85012891。</w:t>
      </w:r>
    </w:p>
    <w:p>
      <w:pPr>
        <w:spacing w:line="360" w:lineRule="auto"/>
        <w:rPr>
          <w:rFonts w:ascii="宋体"/>
          <w:i/>
          <w:iCs/>
          <w:color w:val="000000"/>
          <w:spacing w:val="2"/>
          <w:kern w:val="0"/>
          <w:sz w:val="24"/>
        </w:rPr>
      </w:pPr>
    </w:p>
    <w:p>
      <w:pPr>
        <w:spacing w:line="360" w:lineRule="auto"/>
        <w:rPr>
          <w:i/>
          <w:iCs/>
        </w:rPr>
      </w:pPr>
      <w:r>
        <w:rPr>
          <w:i/>
          <w:iCs/>
          <w:color w:val="000000"/>
          <w:spacing w:val="4"/>
          <w:sz w:val="24"/>
        </w:rPr>
        <w:br w:type="page"/>
      </w:r>
    </w:p>
    <w:p>
      <w:pPr>
        <w:pStyle w:val="3"/>
        <w:jc w:val="center"/>
      </w:pPr>
      <w:bookmarkStart w:id="1" w:name="_Toc76388970"/>
      <w:r>
        <w:rPr>
          <w:rFonts w:hint="eastAsia"/>
        </w:rPr>
        <w:t>第二部分</w:t>
      </w:r>
      <w:r>
        <w:t xml:space="preserve">  </w:t>
      </w:r>
      <w:r>
        <w:rPr>
          <w:rFonts w:hint="eastAsia"/>
        </w:rPr>
        <w:t>投标人须知</w:t>
      </w:r>
      <w:bookmarkEnd w:id="1"/>
    </w:p>
    <w:p>
      <w:pPr>
        <w:pStyle w:val="4"/>
      </w:pPr>
      <w:bookmarkStart w:id="2" w:name="_Toc76388971"/>
      <w:r>
        <w:rPr>
          <w:rFonts w:hint="eastAsia"/>
        </w:rPr>
        <w:t>一、竞争性磋商文件</w:t>
      </w:r>
      <w:bookmarkEnd w:id="2"/>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本竞争性磋商文件中的采购人、投标人、中标人分别指：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）投标人指响应竞争性磋商并具备相应资质的参与谈判的服务（厂）商、代理商。</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rPr>
        <w:t>竞争性磋商文件的组成</w:t>
      </w:r>
    </w:p>
    <w:p>
      <w:pPr>
        <w:spacing w:line="360" w:lineRule="auto"/>
        <w:ind w:firstLine="480" w:firstLineChars="200"/>
        <w:rPr>
          <w:sz w:val="24"/>
        </w:rPr>
      </w:pPr>
      <w:r>
        <w:rPr>
          <w:rFonts w:hint="eastAsia"/>
          <w:sz w:val="24"/>
        </w:rPr>
        <w:t>本竞争性磋商文件由下列部分组成：</w:t>
      </w:r>
    </w:p>
    <w:p>
      <w:pPr>
        <w:spacing w:line="360" w:lineRule="auto"/>
        <w:ind w:firstLine="480" w:firstLineChars="200"/>
        <w:rPr>
          <w:sz w:val="24"/>
        </w:rPr>
      </w:pPr>
      <w:r>
        <w:rPr>
          <w:rFonts w:hint="eastAsia"/>
          <w:sz w:val="24"/>
        </w:rPr>
        <w:t>（</w:t>
      </w:r>
      <w:r>
        <w:rPr>
          <w:sz w:val="24"/>
        </w:rPr>
        <w:t>1</w:t>
      </w:r>
      <w:r>
        <w:rPr>
          <w:rFonts w:hint="eastAsia"/>
          <w:sz w:val="24"/>
        </w:rPr>
        <w:t>）竞争性磋商采购公告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）采购货物要求及相关说明</w:t>
      </w:r>
    </w:p>
    <w:p>
      <w:pPr>
        <w:spacing w:line="360" w:lineRule="auto"/>
        <w:ind w:firstLine="480" w:firstLineChars="200"/>
        <w:rPr>
          <w:sz w:val="24"/>
        </w:rPr>
      </w:pPr>
      <w:r>
        <w:rPr>
          <w:rFonts w:hint="eastAsia"/>
          <w:sz w:val="24"/>
        </w:rPr>
        <w:t>（</w:t>
      </w:r>
      <w:r>
        <w:rPr>
          <w:sz w:val="24"/>
        </w:rPr>
        <w:t>4</w:t>
      </w:r>
      <w:r>
        <w:rPr>
          <w:rFonts w:hint="eastAsia"/>
          <w:sz w:val="24"/>
        </w:rPr>
        <w:t>）商务条款</w:t>
      </w:r>
    </w:p>
    <w:p>
      <w:pPr>
        <w:spacing w:line="360" w:lineRule="auto"/>
        <w:ind w:firstLine="480" w:firstLineChars="200"/>
        <w:rPr>
          <w:sz w:val="24"/>
        </w:rPr>
      </w:pPr>
      <w:r>
        <w:rPr>
          <w:rFonts w:hint="eastAsia"/>
          <w:sz w:val="24"/>
        </w:rPr>
        <w:t>（5）热水供应安全管理责任书</w:t>
      </w:r>
    </w:p>
    <w:p>
      <w:pPr>
        <w:spacing w:line="360" w:lineRule="auto"/>
        <w:ind w:firstLine="480" w:firstLineChars="200"/>
        <w:rPr>
          <w:sz w:val="24"/>
        </w:rPr>
      </w:pPr>
      <w:r>
        <w:rPr>
          <w:rFonts w:hint="eastAsia"/>
          <w:sz w:val="24"/>
        </w:rPr>
        <w:t>（6）附件目录及格式</w:t>
      </w:r>
    </w:p>
    <w:p>
      <w:pPr>
        <w:pStyle w:val="2"/>
        <w:spacing w:line="360" w:lineRule="auto"/>
        <w:ind w:firstLine="480" w:firstLineChars="200"/>
      </w:pPr>
      <w:r>
        <w:rPr>
          <w:rFonts w:hint="eastAsia" w:ascii="宋体" w:hAnsi="宋体"/>
        </w:rPr>
        <w:t>投标人应认真阅读</w:t>
      </w:r>
      <w:r>
        <w:rPr>
          <w:rFonts w:hint="eastAsia"/>
        </w:rPr>
        <w:t>竞争性磋商</w:t>
      </w:r>
      <w:r>
        <w:rPr>
          <w:rFonts w:hint="eastAsia" w:ascii="宋体" w:hAnsi="宋体"/>
        </w:rPr>
        <w:t>文件中所有的事项、格式、条款和规范等要求。投标人没有按照</w:t>
      </w:r>
      <w:r>
        <w:rPr>
          <w:rFonts w:hint="eastAsia"/>
        </w:rPr>
        <w:t>竞争性磋商</w:t>
      </w:r>
      <w:r>
        <w:rPr>
          <w:rFonts w:hint="eastAsia" w:ascii="宋体" w:hAnsi="宋体"/>
        </w:rPr>
        <w:t>文件要求提交全部资料，或者投标文件没有对</w:t>
      </w:r>
      <w:r>
        <w:rPr>
          <w:rFonts w:hint="eastAsia"/>
        </w:rPr>
        <w:t>竞争性磋商</w:t>
      </w:r>
      <w:r>
        <w:rPr>
          <w:rFonts w:hint="eastAsia" w:ascii="宋体" w:hAnsi="宋体"/>
        </w:rPr>
        <w:t>文件各方面都有做出实质性响应是投标人的风险，因为没有实质性响应</w:t>
      </w:r>
      <w:r>
        <w:rPr>
          <w:rFonts w:hint="eastAsia"/>
        </w:rPr>
        <w:t>竞争性磋商</w:t>
      </w:r>
      <w:r>
        <w:rPr>
          <w:rFonts w:hint="eastAsia" w:ascii="宋体" w:hAnsi="宋体"/>
        </w:rPr>
        <w:t>文件要求的投标将被</w:t>
      </w:r>
      <w:r>
        <w:rPr>
          <w:rFonts w:hint="eastAsia"/>
        </w:rPr>
        <w:t>拒绝。</w:t>
      </w:r>
    </w:p>
    <w:p>
      <w:pPr>
        <w:spacing w:line="360" w:lineRule="auto"/>
        <w:ind w:firstLine="482" w:firstLineChars="200"/>
        <w:rPr>
          <w:b/>
          <w:sz w:val="24"/>
        </w:rPr>
      </w:pPr>
      <w:r>
        <w:rPr>
          <w:b/>
          <w:sz w:val="24"/>
        </w:rPr>
        <w:t xml:space="preserve">1.3. </w:t>
      </w:r>
      <w:r>
        <w:rPr>
          <w:rFonts w:hint="eastAsia"/>
          <w:bCs/>
          <w:sz w:val="24"/>
        </w:rPr>
        <w:t>竞争性磋商</w:t>
      </w:r>
      <w:r>
        <w:rPr>
          <w:rFonts w:hint="eastAsia"/>
          <w:sz w:val="24"/>
        </w:rPr>
        <w:t>文件的澄清</w:t>
      </w:r>
    </w:p>
    <w:p>
      <w:pPr>
        <w:spacing w:line="360" w:lineRule="auto"/>
        <w:ind w:firstLine="480" w:firstLineChars="200"/>
        <w:rPr>
          <w:sz w:val="24"/>
        </w:rPr>
      </w:pPr>
      <w:r>
        <w:rPr>
          <w:rFonts w:hint="eastAsia"/>
          <w:sz w:val="24"/>
        </w:rPr>
        <w:t>如投标人对竞争性磋商文件的某些内容有疑问，应在投标截止时间3日前以书面形式邮件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竞争性磋商文件的补充和修改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）如竞争性磋商文件的补充和修改对投标人准备投标的时间有影响，采购人有权决定推迟投标截止时间和开标时间。</w:t>
      </w:r>
    </w:p>
    <w:p>
      <w:pPr>
        <w:pStyle w:val="4"/>
      </w:pPr>
      <w:bookmarkStart w:id="3" w:name="_Toc76388972"/>
      <w:r>
        <w:rPr>
          <w:rFonts w:hint="eastAsia"/>
        </w:rPr>
        <w:t>二、投标文件</w:t>
      </w:r>
      <w:bookmarkEnd w:id="3"/>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）投标报价总表（格式见附件3）</w:t>
      </w:r>
    </w:p>
    <w:p>
      <w:pPr>
        <w:pStyle w:val="36"/>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（1）售后服务承诺书或技术协议书</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（2）投标人2018年1月以来与本次竞争性磋商服务同类的</w:t>
      </w:r>
      <w:r>
        <w:rPr>
          <w:color w:val="000000" w:themeColor="text1"/>
          <w:sz w:val="24"/>
          <w14:textFill>
            <w14:solidFill>
              <w14:schemeClr w14:val="tx1"/>
            </w14:solidFill>
          </w14:textFill>
        </w:rPr>
        <w:t>合同（复印件）</w:t>
      </w:r>
      <w:r>
        <w:rPr>
          <w:rFonts w:hint="eastAsia"/>
          <w:color w:val="000000" w:themeColor="text1"/>
          <w:sz w:val="24"/>
          <w14:textFill>
            <w14:solidFill>
              <w14:schemeClr w14:val="tx1"/>
            </w14:solidFill>
          </w14:textFill>
        </w:rPr>
        <w:t>（格式见附件2）</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（3）投标产品宣传彩页、合格文件、技术资料等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投标单位认为</w:t>
      </w:r>
      <w:r>
        <w:rPr>
          <w:rFonts w:hint="eastAsia"/>
          <w:color w:val="000000" w:themeColor="text1"/>
          <w:sz w:val="24"/>
          <w14:textFill>
            <w14:solidFill>
              <w14:schemeClr w14:val="tx1"/>
            </w14:solidFill>
          </w14:textFill>
        </w:rPr>
        <w:t>需要陈述</w:t>
      </w:r>
      <w:r>
        <w:rPr>
          <w:color w:val="000000" w:themeColor="text1"/>
          <w:sz w:val="24"/>
          <w14:textFill>
            <w14:solidFill>
              <w14:schemeClr w14:val="tx1"/>
            </w14:solidFill>
          </w14:textFill>
        </w:rPr>
        <w:t>的其他</w:t>
      </w:r>
      <w:r>
        <w:rPr>
          <w:rFonts w:hint="eastAsia"/>
          <w:color w:val="000000" w:themeColor="text1"/>
          <w:sz w:val="24"/>
          <w14:textFill>
            <w14:solidFill>
              <w14:schemeClr w14:val="tx1"/>
            </w14:solidFill>
          </w14:textFill>
        </w:rPr>
        <w:t>内容</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r>
        <w:rPr>
          <w:b/>
          <w:color w:val="000000" w:themeColor="text1"/>
          <w:sz w:val="24"/>
          <w14:textFill>
            <w14:solidFill>
              <w14:schemeClr w14:val="tx1"/>
            </w14:solidFill>
          </w14:textFill>
        </w:rPr>
        <w:t xml:space="preserve"> </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）具有热水经营范围的营业执照复印件（复印件加盖单位公章）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）法定代表人资格证明（格式见附件4）</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）法定代表人授权书（格式见附件5）</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（4）授权代表自2</w:t>
      </w:r>
      <w:r>
        <w:rPr>
          <w:color w:val="000000" w:themeColor="text1"/>
          <w:sz w:val="24"/>
          <w14:textFill>
            <w14:solidFill>
              <w14:schemeClr w14:val="tx1"/>
            </w14:solidFill>
          </w14:textFill>
        </w:rPr>
        <w:t>02</w:t>
      </w:r>
      <w:r>
        <w:rPr>
          <w:rFonts w:hint="eastAsia"/>
          <w:color w:val="000000" w:themeColor="text1"/>
          <w:sz w:val="24"/>
          <w14:textFill>
            <w14:solidFill>
              <w14:schemeClr w14:val="tx1"/>
            </w14:solidFill>
          </w14:textFill>
        </w:rPr>
        <w:t>1年1月以来任意一个月依法缴纳社会保障金的相关证明材料（税务、银行或社会保险基金管理部门出具）；</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（5）投标人2021年1月以来</w:t>
      </w:r>
      <w:r>
        <w:rPr>
          <w:rFonts w:hint="eastAsia" w:cs="宋体"/>
          <w:color w:val="000000" w:themeColor="text1"/>
          <w:sz w:val="24"/>
          <w14:textFill>
            <w14:solidFill>
              <w14:schemeClr w14:val="tx1"/>
            </w14:solidFill>
          </w14:textFill>
        </w:rPr>
        <w:t>任意一个月依法缴纳税收的相关证明材料</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（6）具有生产热水的场地、储水罐及运输热水的车辆证明材料；</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（7）近三年无重大违法记录声明（见附件7）；</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（8）诚信承诺书（见附件8）。</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明确标明商务文件（报价）、资格证明文件和技术文件以及正本与副本。如投标文件正本与副本有不同之处，以正本为准。</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sz w:val="24"/>
        </w:rPr>
        <w:t>（</w:t>
      </w:r>
      <w:r>
        <w:rPr>
          <w:b/>
          <w:bCs/>
          <w:color w:val="000000"/>
          <w:sz w:val="24"/>
        </w:rPr>
        <w:t>2</w:t>
      </w:r>
      <w:r>
        <w:rPr>
          <w:rFonts w:hint="eastAsia"/>
          <w:b/>
          <w:bCs/>
          <w:color w:val="000000"/>
          <w:sz w:val="24"/>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sz w:val="24"/>
        </w:rPr>
      </w:pPr>
      <w:r>
        <w:rPr>
          <w:rFonts w:hint="eastAsia"/>
          <w:color w:val="000000"/>
          <w:sz w:val="24"/>
        </w:rPr>
        <w:t>（3）投标文件正本与副本均应使用</w:t>
      </w:r>
      <w:r>
        <w:rPr>
          <w:color w:val="000000"/>
          <w:sz w:val="24"/>
        </w:rPr>
        <w:t>A4</w:t>
      </w:r>
      <w:r>
        <w:rPr>
          <w:rFonts w:hint="eastAsia"/>
          <w:color w:val="000000"/>
          <w:sz w:val="24"/>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0" w:firstLineChars="200"/>
        <w:rPr>
          <w:color w:val="000000"/>
          <w:sz w:val="24"/>
        </w:rPr>
      </w:pPr>
      <w:r>
        <w:rPr>
          <w:rFonts w:hint="eastAsia"/>
          <w:color w:val="000000"/>
          <w:sz w:val="24"/>
        </w:rPr>
        <w:t>（4）投标文件不应有涂改、增删之处，但如有错误必须修改时，修改处必须由原授权代表签署。</w:t>
      </w:r>
    </w:p>
    <w:p>
      <w:pPr>
        <w:spacing w:line="360" w:lineRule="auto"/>
        <w:ind w:firstLine="472"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）竞争性磋商项目编号：</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）竞争性磋商项目名称：</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b/>
          <w:sz w:val="24"/>
        </w:rPr>
      </w:pPr>
      <w:r>
        <w:rPr>
          <w:rFonts w:hint="eastAsia"/>
          <w:sz w:val="24"/>
        </w:rPr>
        <w:t>没有按上述规定密封和标记的投标文件，采购人将不承担投标文件错放或提前开启的责任。</w:t>
      </w:r>
    </w:p>
    <w:p>
      <w:pPr>
        <w:pStyle w:val="4"/>
      </w:pPr>
      <w:bookmarkStart w:id="4" w:name="_Toc76388973"/>
      <w:r>
        <w:rPr>
          <w:rFonts w:hint="eastAsia"/>
        </w:rPr>
        <w:t>三、投标细则</w:t>
      </w:r>
      <w:bookmarkEnd w:id="4"/>
    </w:p>
    <w:p>
      <w:pPr>
        <w:spacing w:line="360" w:lineRule="auto"/>
        <w:ind w:firstLine="472" w:firstLineChars="196"/>
        <w:rPr>
          <w:bCs/>
          <w:sz w:val="24"/>
        </w:rPr>
      </w:pPr>
      <w:r>
        <w:rPr>
          <w:rFonts w:hint="eastAsia"/>
          <w:b/>
          <w:sz w:val="24"/>
        </w:rPr>
        <w:t>3.1.</w:t>
      </w:r>
      <w:r>
        <w:rPr>
          <w:rFonts w:hint="eastAsia"/>
          <w:bCs/>
          <w:sz w:val="24"/>
        </w:rPr>
        <w:t xml:space="preserve"> 质量要求</w:t>
      </w:r>
    </w:p>
    <w:p>
      <w:pPr>
        <w:spacing w:line="360" w:lineRule="auto"/>
        <w:ind w:firstLine="470" w:firstLineChars="196"/>
        <w:rPr>
          <w:bCs/>
          <w:sz w:val="24"/>
          <w:lang w:val="zh-CN"/>
        </w:rPr>
      </w:pPr>
      <w:r>
        <w:rPr>
          <w:rFonts w:hint="eastAsia"/>
          <w:bCs/>
          <w:sz w:val="24"/>
          <w:lang w:val="zh-CN"/>
        </w:rPr>
        <w:t>在热水供需合作过程中，必须按时、保质、保量送到指定位置。</w:t>
      </w:r>
    </w:p>
    <w:p>
      <w:pPr>
        <w:spacing w:line="360" w:lineRule="auto"/>
        <w:ind w:firstLine="472" w:firstLineChars="196"/>
        <w:rPr>
          <w:sz w:val="24"/>
        </w:rPr>
      </w:pPr>
      <w:r>
        <w:rPr>
          <w:b/>
          <w:sz w:val="24"/>
        </w:rPr>
        <w:t xml:space="preserve">3.2. </w:t>
      </w:r>
      <w:r>
        <w:rPr>
          <w:rFonts w:hint="eastAsia"/>
          <w:sz w:val="24"/>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（1）投标总价应是货物完税后的用户地交货价，其中应包含运输、搬运、安装调试、保修等全部费用，以人民币报价。</w:t>
      </w:r>
    </w:p>
    <w:p>
      <w:pPr>
        <w:widowControl/>
        <w:spacing w:line="440" w:lineRule="exact"/>
        <w:ind w:firstLine="480" w:firstLineChars="20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报价时应充分考虑所有可能影响到报价的因素，一旦</w:t>
      </w:r>
      <w:r>
        <w:rPr>
          <w:rFonts w:hint="eastAsia"/>
          <w:color w:val="000000" w:themeColor="text1"/>
          <w:sz w:val="24"/>
          <w14:textFill>
            <w14:solidFill>
              <w14:schemeClr w14:val="tx1"/>
            </w14:solidFill>
          </w14:textFill>
        </w:rPr>
        <w:t>招标</w:t>
      </w:r>
      <w:r>
        <w:rPr>
          <w:color w:val="000000" w:themeColor="text1"/>
          <w:sz w:val="24"/>
          <w14:textFill>
            <w14:solidFill>
              <w14:schemeClr w14:val="tx1"/>
            </w14:solidFill>
          </w14:textFill>
        </w:rPr>
        <w:t>结束最终</w:t>
      </w:r>
      <w:r>
        <w:rPr>
          <w:rFonts w:hint="eastAsia"/>
          <w:color w:val="000000" w:themeColor="text1"/>
          <w:sz w:val="24"/>
          <w14:textFill>
            <w14:solidFill>
              <w14:schemeClr w14:val="tx1"/>
            </w14:solidFill>
          </w14:textFill>
        </w:rPr>
        <w:t>中标</w:t>
      </w:r>
      <w:r>
        <w:rPr>
          <w:color w:val="000000" w:themeColor="text1"/>
          <w:sz w:val="24"/>
          <w14:textFill>
            <w14:solidFill>
              <w14:schemeClr w14:val="tx1"/>
            </w14:solidFill>
          </w14:textFill>
        </w:rPr>
        <w:t>，如发生漏、缺、少项，都将被认为是</w:t>
      </w:r>
      <w:r>
        <w:rPr>
          <w:rFonts w:hint="eastAsia"/>
          <w:color w:val="000000" w:themeColor="text1"/>
          <w:sz w:val="24"/>
          <w14:textFill>
            <w14:solidFill>
              <w14:schemeClr w14:val="tx1"/>
            </w14:solidFill>
          </w14:textFill>
        </w:rPr>
        <w:t>中标人</w:t>
      </w:r>
      <w:r>
        <w:rPr>
          <w:color w:val="000000" w:themeColor="text1"/>
          <w:sz w:val="24"/>
          <w14:textFill>
            <w14:solidFill>
              <w14:schemeClr w14:val="tx1"/>
            </w14:solidFill>
          </w14:textFill>
        </w:rPr>
        <w:t>的报价让利行为，损失自负</w:t>
      </w:r>
      <w:r>
        <w:rPr>
          <w:rFonts w:hint="eastAsia"/>
          <w:color w:val="000000" w:themeColor="text1"/>
          <w:sz w:val="24"/>
          <w14:textFill>
            <w14:solidFill>
              <w14:schemeClr w14:val="tx1"/>
            </w14:solidFill>
          </w14:textFill>
        </w:rPr>
        <w:t>。投标人的任何错漏、优惠、竞争性报价不得作为减轻责任、减少服务、增加收费、降低质量的理由。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（3）采购人不接受投标人的任何低于成本报价的不正当竞争方式。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）投标人应仔细阅读竞争性磋商文件的所有内容并做出实质性的响应，同时按竞争性磋商文件规定的要求和格式，提交完整的投标文件。</w:t>
      </w:r>
    </w:p>
    <w:p>
      <w:pPr>
        <w:spacing w:line="360" w:lineRule="auto"/>
        <w:ind w:firstLine="480" w:firstLineChars="200"/>
        <w:rPr>
          <w:sz w:val="24"/>
        </w:rPr>
      </w:pPr>
      <w:r>
        <w:rPr>
          <w:rFonts w:hint="eastAsia"/>
          <w:sz w:val="24"/>
        </w:rPr>
        <w:t>（2）投标文件应在投标截止时间前送达指定地点，</w:t>
      </w:r>
      <w:r>
        <w:rPr>
          <w:rFonts w:hint="eastAsia" w:ascii="黑体" w:eastAsia="黑体"/>
          <w:b/>
          <w:sz w:val="24"/>
        </w:rPr>
        <w:t>逾期送达或未送达指定地点以及未按询价文件要求密封的投标文件，投标人须自行承担相应风险。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rFonts w:ascii="黑体" w:eastAsia="黑体"/>
          <w:b/>
          <w:sz w:val="24"/>
        </w:rPr>
      </w:pPr>
      <w:r>
        <w:rPr>
          <w:rFonts w:hint="eastAsia"/>
          <w:b/>
          <w:sz w:val="24"/>
        </w:rPr>
        <w:t>3</w:t>
      </w:r>
      <w:r>
        <w:rPr>
          <w:b/>
          <w:sz w:val="24"/>
        </w:rPr>
        <w:t>.</w:t>
      </w:r>
      <w:r>
        <w:rPr>
          <w:rFonts w:hint="eastAsia"/>
          <w:b/>
          <w:sz w:val="24"/>
        </w:rPr>
        <w:t xml:space="preserve">5. </w:t>
      </w:r>
      <w:r>
        <w:rPr>
          <w:rFonts w:hint="eastAsia"/>
          <w:sz w:val="24"/>
        </w:rPr>
        <w:t>分包投标：</w:t>
      </w:r>
      <w:r>
        <w:rPr>
          <w:rFonts w:hint="eastAsia" w:ascii="黑体" w:eastAsia="黑体"/>
          <w:b/>
          <w:sz w:val="24"/>
        </w:rPr>
        <w:t>本次招标不可分包投标和中标。</w:t>
      </w:r>
    </w:p>
    <w:p>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 xml:space="preserve">6.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b/>
          <w:sz w:val="24"/>
        </w:rPr>
        <w:t>3.</w:t>
      </w:r>
      <w:r>
        <w:rPr>
          <w:rFonts w:hint="eastAsia"/>
          <w:b/>
          <w:sz w:val="24"/>
        </w:rPr>
        <w:t>7</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8</w:t>
      </w:r>
      <w:r>
        <w:rPr>
          <w:b/>
          <w:sz w:val="24"/>
        </w:rPr>
        <w:t xml:space="preserve">. </w:t>
      </w:r>
      <w:r>
        <w:rPr>
          <w:rFonts w:hint="eastAsia"/>
          <w:sz w:val="24"/>
        </w:rPr>
        <w:t>招标终止</w:t>
      </w:r>
    </w:p>
    <w:p>
      <w:pPr>
        <w:spacing w:line="360" w:lineRule="auto"/>
        <w:ind w:firstLine="480" w:firstLineChars="200"/>
        <w:rPr>
          <w:rFonts w:ascii="宋体"/>
          <w:b/>
          <w:sz w:val="24"/>
        </w:rPr>
      </w:pPr>
      <w:r>
        <w:rPr>
          <w:rFonts w:hint="eastAsia"/>
          <w:sz w:val="24"/>
        </w:rPr>
        <w:t>投标截止后，如投标人少于</w:t>
      </w:r>
      <w:r>
        <w:rPr>
          <w:sz w:val="24"/>
        </w:rPr>
        <w:t>3</w:t>
      </w:r>
      <w:r>
        <w:rPr>
          <w:rFonts w:hint="eastAsia"/>
          <w:sz w:val="24"/>
        </w:rPr>
        <w:t>个，采购人有权选择其他采购方式或终止本次招标。</w:t>
      </w:r>
    </w:p>
    <w:p>
      <w:pPr>
        <w:pStyle w:val="4"/>
      </w:pPr>
      <w:bookmarkStart w:id="9" w:name="_Toc76388974"/>
      <w:r>
        <w:rPr>
          <w:rFonts w:hint="eastAsia"/>
        </w:rPr>
        <w:t>四、评标</w:t>
      </w:r>
      <w:bookmarkEnd w:id="9"/>
    </w:p>
    <w:p>
      <w:pPr>
        <w:spacing w:line="360" w:lineRule="auto"/>
        <w:ind w:firstLine="482" w:firstLineChars="200"/>
        <w:rPr>
          <w:color w:val="000000" w:themeColor="text1"/>
          <w:sz w:val="24"/>
          <w14:textFill>
            <w14:solidFill>
              <w14:schemeClr w14:val="tx1"/>
            </w14:solidFill>
          </w14:textFill>
        </w:rPr>
      </w:pPr>
      <w:r>
        <w:rPr>
          <w:b/>
          <w:sz w:val="24"/>
        </w:rPr>
        <w:t xml:space="preserve">4.1. </w:t>
      </w:r>
      <w:r>
        <w:rPr>
          <w:rFonts w:hint="eastAsia"/>
          <w:sz w:val="24"/>
        </w:rPr>
        <w:t>采购人</w:t>
      </w:r>
      <w:r>
        <w:rPr>
          <w:rFonts w:hint="eastAsia"/>
          <w:color w:val="000000" w:themeColor="text1"/>
          <w:sz w:val="24"/>
          <w14:textFill>
            <w14:solidFill>
              <w14:schemeClr w14:val="tx1"/>
            </w14:solidFill>
          </w14:textFill>
        </w:rPr>
        <w:t>按规定的时间和地点进行开标，投标人可派一名代表（持授权代表身份证明）参加并保持手机畅通。</w:t>
      </w:r>
      <w:r>
        <w:rPr>
          <w:rFonts w:hint="eastAsia" w:ascii="黑体" w:eastAsia="黑体"/>
          <w:b/>
          <w:color w:val="000000" w:themeColor="text1"/>
          <w:sz w:val="24"/>
          <w14:textFill>
            <w14:solidFill>
              <w14:schemeClr w14:val="tx1"/>
            </w14:solidFill>
          </w14:textFill>
        </w:rPr>
        <w:t>投标人未派代表参加投标的，视为默认接受开标结果，需二次报价时，</w:t>
      </w:r>
      <w:r>
        <w:rPr>
          <w:rFonts w:hint="eastAsia" w:ascii="黑体" w:hAnsi="黑体" w:eastAsia="黑体"/>
          <w:b/>
          <w:bCs/>
          <w:sz w:val="24"/>
        </w:rPr>
        <w:t>授权代表在南通大学北一门东传达室填写</w:t>
      </w:r>
      <w:r>
        <w:rPr>
          <w:rFonts w:hint="eastAsia" w:ascii="黑体" w:hAnsi="黑体" w:eastAsia="黑体"/>
          <w:b/>
          <w:bCs/>
          <w:color w:val="000000" w:themeColor="text1"/>
          <w:sz w:val="24"/>
          <w14:textFill>
            <w14:solidFill>
              <w14:schemeClr w14:val="tx1"/>
            </w14:solidFill>
          </w14:textFill>
        </w:rPr>
        <w:t>“南通大学采购谈判二次报价单”格式见附件6。</w:t>
      </w:r>
    </w:p>
    <w:p>
      <w:pPr>
        <w:pStyle w:val="15"/>
        <w:shd w:val="clear" w:color="auto" w:fill="FFFFFF"/>
        <w:spacing w:beforeAutospacing="0" w:afterAutospacing="0" w:line="360" w:lineRule="auto"/>
        <w:ind w:firstLine="480"/>
        <w:jc w:val="both"/>
      </w:pPr>
      <w:r>
        <w:rPr>
          <w:b/>
        </w:rPr>
        <w:t xml:space="preserve">4.2. </w:t>
      </w:r>
      <w:r>
        <w:rPr>
          <w:rFonts w:hint="eastAsia"/>
          <w:color w:val="000000" w:themeColor="text1"/>
          <w14:textFill>
            <w14:solidFill>
              <w14:schemeClr w14:val="tx1"/>
            </w14:solidFill>
          </w14:textFill>
        </w:rPr>
        <w:t>由采购人的代表和</w:t>
      </w:r>
      <w:r>
        <w:rPr>
          <w:rFonts w:hint="eastAsia"/>
          <w:color w:val="000000" w:themeColor="text1"/>
          <w:lang w:val="zh-CN"/>
          <w14:textFill>
            <w14:solidFill>
              <w14:schemeClr w14:val="tx1"/>
            </w14:solidFill>
          </w14:textFill>
        </w:rPr>
        <w:t>有关</w:t>
      </w:r>
      <w:r>
        <w:rPr>
          <w:rFonts w:hint="eastAsia"/>
          <w:color w:val="000000" w:themeColor="text1"/>
          <w14:textFill>
            <w14:solidFill>
              <w14:schemeClr w14:val="tx1"/>
            </w14:solidFill>
          </w14:textFill>
        </w:rPr>
        <w:t>专家组成磋商小组进行谈判。</w:t>
      </w:r>
    </w:p>
    <w:p>
      <w:pPr>
        <w:spacing w:line="360" w:lineRule="auto"/>
        <w:ind w:firstLine="482" w:firstLineChars="200"/>
        <w:rPr>
          <w:b/>
          <w:color w:val="000000" w:themeColor="text1"/>
          <w:sz w:val="24"/>
          <w14:textFill>
            <w14:solidFill>
              <w14:schemeClr w14:val="tx1"/>
            </w14:solidFill>
          </w14:textFill>
        </w:rPr>
      </w:pPr>
      <w:r>
        <w:rPr>
          <w:b/>
          <w:sz w:val="24"/>
        </w:rPr>
        <w:t>4.</w:t>
      </w:r>
      <w:r>
        <w:rPr>
          <w:rFonts w:hint="eastAsia"/>
          <w:b/>
          <w:sz w:val="24"/>
        </w:rPr>
        <w:t>3</w:t>
      </w:r>
      <w:r>
        <w:rPr>
          <w:b/>
          <w:sz w:val="24"/>
        </w:rPr>
        <w:t xml:space="preserve">. </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在竞争性磋商之前，采购人和评委要对投标人的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及投标是否对竞争性磋商文件的实质性要求和条件做出响应进行审查。</w:t>
      </w:r>
    </w:p>
    <w:p>
      <w:pPr>
        <w:spacing w:line="360" w:lineRule="auto"/>
        <w:ind w:firstLine="482" w:firstLineChars="200"/>
        <w:rPr>
          <w:b/>
          <w:sz w:val="24"/>
        </w:rPr>
      </w:pPr>
      <w:r>
        <w:rPr>
          <w:b/>
          <w:sz w:val="24"/>
        </w:rPr>
        <w:t>4.</w:t>
      </w:r>
      <w:r>
        <w:rPr>
          <w:rFonts w:hint="eastAsia"/>
          <w:b/>
          <w:sz w:val="24"/>
        </w:rPr>
        <w:t>4</w:t>
      </w:r>
      <w:r>
        <w:rPr>
          <w:b/>
          <w:sz w:val="24"/>
        </w:rPr>
        <w:t xml:space="preserve">. </w:t>
      </w:r>
      <w:r>
        <w:rPr>
          <w:rFonts w:hint="eastAsia"/>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sz w:val="24"/>
        </w:rPr>
      </w:pPr>
      <w:r>
        <w:rPr>
          <w:b/>
          <w:sz w:val="24"/>
        </w:rPr>
        <w:t>4</w:t>
      </w:r>
      <w:r>
        <w:rPr>
          <w:rFonts w:hint="eastAsia"/>
          <w:b/>
          <w:sz w:val="24"/>
        </w:rPr>
        <w:t>.5</w:t>
      </w:r>
      <w:r>
        <w:rPr>
          <w:b/>
          <w:sz w:val="24"/>
        </w:rPr>
        <w:t xml:space="preserve">. </w:t>
      </w:r>
      <w:r>
        <w:rPr>
          <w:rFonts w:hint="eastAsia"/>
          <w:sz w:val="24"/>
        </w:rPr>
        <w:t>投标文件出现（但不限于）下列情况之一的，由</w:t>
      </w:r>
      <w:r>
        <w:rPr>
          <w:rFonts w:hint="eastAsia"/>
          <w:color w:val="000000" w:themeColor="text1"/>
          <w:sz w:val="24"/>
          <w14:textFill>
            <w14:solidFill>
              <w14:schemeClr w14:val="tx1"/>
            </w14:solidFill>
          </w14:textFill>
        </w:rPr>
        <w:t>竞争性磋商</w:t>
      </w:r>
      <w:r>
        <w:rPr>
          <w:rFonts w:hint="eastAsia"/>
          <w:sz w:val="24"/>
        </w:rPr>
        <w:t>小组评审后作无效投标或废标处理：</w:t>
      </w:r>
    </w:p>
    <w:p>
      <w:pPr>
        <w:spacing w:line="353" w:lineRule="auto"/>
        <w:ind w:firstLine="480" w:firstLineChars="200"/>
        <w:rPr>
          <w:sz w:val="24"/>
        </w:rPr>
      </w:pPr>
      <w:r>
        <w:rPr>
          <w:rFonts w:hint="eastAsia"/>
          <w:sz w:val="24"/>
        </w:rPr>
        <w:t>（</w:t>
      </w:r>
      <w:r>
        <w:rPr>
          <w:sz w:val="24"/>
        </w:rPr>
        <w:t>1</w:t>
      </w:r>
      <w:r>
        <w:rPr>
          <w:rFonts w:hint="eastAsia"/>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不具备竞争性磋商文件规定的资格条件及未按竞争性磋商文件规定的要求提供资格证明文件的；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sz w:val="24"/>
        </w:rPr>
      </w:pPr>
      <w:r>
        <w:rPr>
          <w:rFonts w:hint="eastAsia"/>
          <w:sz w:val="24"/>
        </w:rPr>
        <w:t>（5）投标报价不合理明显低于成本的；</w:t>
      </w:r>
    </w:p>
    <w:p>
      <w:pPr>
        <w:tabs>
          <w:tab w:val="left" w:pos="210"/>
        </w:tabs>
        <w:spacing w:line="353" w:lineRule="auto"/>
        <w:ind w:firstLine="480" w:firstLineChars="200"/>
        <w:rPr>
          <w:sz w:val="24"/>
        </w:rPr>
      </w:pPr>
      <w:r>
        <w:rPr>
          <w:rFonts w:hint="eastAsia"/>
          <w:sz w:val="24"/>
        </w:rPr>
        <w:t>（6）重要技术指标和参数不满足</w:t>
      </w:r>
      <w:r>
        <w:rPr>
          <w:rFonts w:hint="eastAsia"/>
          <w:color w:val="000000" w:themeColor="text1"/>
          <w:sz w:val="24"/>
          <w14:textFill>
            <w14:solidFill>
              <w14:schemeClr w14:val="tx1"/>
            </w14:solidFill>
          </w14:textFill>
        </w:rPr>
        <w:t>竞争性磋商</w:t>
      </w:r>
      <w:r>
        <w:rPr>
          <w:rFonts w:hint="eastAsia"/>
          <w:sz w:val="24"/>
        </w:rPr>
        <w:t>要求的；</w:t>
      </w:r>
    </w:p>
    <w:p>
      <w:pPr>
        <w:tabs>
          <w:tab w:val="left" w:pos="525"/>
          <w:tab w:val="left" w:pos="1050"/>
        </w:tabs>
        <w:spacing w:line="353" w:lineRule="auto"/>
        <w:ind w:left="1" w:firstLine="480" w:firstLineChars="200"/>
        <w:rPr>
          <w:rFonts w:ascii="宋体"/>
          <w:bCs/>
          <w:sz w:val="24"/>
        </w:rPr>
      </w:pPr>
      <w:r>
        <w:rPr>
          <w:rFonts w:hint="eastAsia"/>
          <w:sz w:val="24"/>
        </w:rPr>
        <w:t>（7）</w:t>
      </w:r>
      <w:r>
        <w:rPr>
          <w:rFonts w:hint="eastAsia" w:ascii="宋体" w:hAnsi="宋体"/>
          <w:bCs/>
          <w:sz w:val="24"/>
        </w:rPr>
        <w:t>重要内容或关键字迹模糊不清无法辨认的；</w:t>
      </w:r>
    </w:p>
    <w:p>
      <w:pPr>
        <w:spacing w:line="353" w:lineRule="auto"/>
        <w:ind w:firstLine="480" w:firstLineChars="200"/>
        <w:rPr>
          <w:sz w:val="24"/>
        </w:rPr>
      </w:pPr>
      <w:r>
        <w:rPr>
          <w:rFonts w:hint="eastAsia"/>
          <w:sz w:val="24"/>
        </w:rPr>
        <w:t>（8）未对竞争性磋商文件实质性要求和条件做出响应的；</w:t>
      </w:r>
    </w:p>
    <w:p>
      <w:pPr>
        <w:spacing w:line="353" w:lineRule="auto"/>
        <w:ind w:firstLine="480" w:firstLineChars="200"/>
        <w:rPr>
          <w:sz w:val="24"/>
        </w:rPr>
      </w:pPr>
      <w:r>
        <w:rPr>
          <w:rFonts w:hint="eastAsia"/>
          <w:sz w:val="24"/>
        </w:rPr>
        <w:t>（9）故意哄抬价格或压价等其它恶意串通投标的；</w:t>
      </w:r>
    </w:p>
    <w:p>
      <w:pPr>
        <w:spacing w:line="353" w:lineRule="auto"/>
        <w:ind w:firstLine="480" w:firstLineChars="200"/>
        <w:rPr>
          <w:sz w:val="24"/>
        </w:rPr>
      </w:pPr>
      <w:r>
        <w:rPr>
          <w:rFonts w:hint="eastAsia"/>
          <w:sz w:val="24"/>
        </w:rPr>
        <w:t>（</w:t>
      </w:r>
      <w:r>
        <w:rPr>
          <w:sz w:val="24"/>
        </w:rPr>
        <w:t>1</w:t>
      </w:r>
      <w:r>
        <w:rPr>
          <w:rFonts w:hint="eastAsia"/>
          <w:sz w:val="24"/>
        </w:rPr>
        <w:t>0）有损害采购人和用户利益的规定的；</w:t>
      </w:r>
    </w:p>
    <w:p>
      <w:pPr>
        <w:spacing w:line="353" w:lineRule="auto"/>
        <w:ind w:firstLine="480" w:firstLineChars="200"/>
        <w:rPr>
          <w:sz w:val="24"/>
        </w:rPr>
      </w:pPr>
      <w:r>
        <w:rPr>
          <w:rFonts w:hint="eastAsia"/>
          <w:sz w:val="24"/>
        </w:rPr>
        <w:t>（11）不同投标人的投标文件由同一单位或者个人编制；</w:t>
      </w:r>
    </w:p>
    <w:p>
      <w:pPr>
        <w:spacing w:line="353" w:lineRule="auto"/>
        <w:ind w:firstLine="480" w:firstLineChars="200"/>
        <w:rPr>
          <w:sz w:val="24"/>
        </w:rPr>
      </w:pPr>
      <w:r>
        <w:rPr>
          <w:rFonts w:hint="eastAsia"/>
          <w:sz w:val="24"/>
        </w:rPr>
        <w:t>（12）不同投标人委托同一单位或者个人办理投标事宜；</w:t>
      </w:r>
    </w:p>
    <w:p>
      <w:pPr>
        <w:spacing w:line="353" w:lineRule="auto"/>
        <w:ind w:firstLine="480" w:firstLineChars="200"/>
        <w:rPr>
          <w:sz w:val="24"/>
        </w:rPr>
      </w:pPr>
      <w:r>
        <w:rPr>
          <w:rFonts w:hint="eastAsia"/>
          <w:sz w:val="24"/>
        </w:rPr>
        <w:t>（13）不同投标人的投标文件载明的项目管理成员或者联系人员为同一人；</w:t>
      </w:r>
    </w:p>
    <w:p>
      <w:pPr>
        <w:spacing w:line="353" w:lineRule="auto"/>
        <w:ind w:firstLine="480" w:firstLineChars="200"/>
        <w:rPr>
          <w:sz w:val="24"/>
        </w:rPr>
      </w:pPr>
      <w:r>
        <w:rPr>
          <w:rFonts w:hint="eastAsia"/>
          <w:sz w:val="24"/>
        </w:rPr>
        <w:t>（14）不同投标人的投标文件异常一致或者投标报价呈规律性差异；</w:t>
      </w:r>
    </w:p>
    <w:p>
      <w:pPr>
        <w:spacing w:line="353" w:lineRule="auto"/>
        <w:ind w:firstLine="480" w:firstLineChars="200"/>
        <w:rPr>
          <w:sz w:val="24"/>
        </w:rPr>
      </w:pPr>
      <w:r>
        <w:rPr>
          <w:rFonts w:hint="eastAsia"/>
          <w:sz w:val="24"/>
        </w:rPr>
        <w:t>（15）不同投标人的投标文件相互混装。</w:t>
      </w:r>
    </w:p>
    <w:p>
      <w:pPr>
        <w:spacing w:line="353" w:lineRule="auto"/>
        <w:ind w:firstLine="482" w:firstLineChars="200"/>
        <w:rPr>
          <w:b/>
          <w:sz w:val="24"/>
        </w:rPr>
      </w:pPr>
      <w:r>
        <w:rPr>
          <w:b/>
          <w:sz w:val="24"/>
        </w:rPr>
        <w:t>4.</w:t>
      </w:r>
      <w:r>
        <w:rPr>
          <w:rFonts w:hint="eastAsia"/>
          <w:b/>
          <w:sz w:val="24"/>
        </w:rPr>
        <w:t>6</w:t>
      </w:r>
      <w:r>
        <w:rPr>
          <w:b/>
          <w:sz w:val="24"/>
        </w:rPr>
        <w:t xml:space="preserve">. </w:t>
      </w:r>
      <w:r>
        <w:rPr>
          <w:rFonts w:hint="eastAsia"/>
          <w:sz w:val="24"/>
        </w:rPr>
        <w:t>竞争性磋商小组认为有必要时，将要求投标人述标或对投标文件中某些内容做出澄清或说明，但不接受投标人主动提出的澄清和说明。</w:t>
      </w:r>
    </w:p>
    <w:p>
      <w:pPr>
        <w:spacing w:line="353" w:lineRule="auto"/>
        <w:ind w:firstLine="482" w:firstLineChars="200"/>
        <w:rPr>
          <w:sz w:val="24"/>
        </w:rPr>
      </w:pPr>
      <w:r>
        <w:rPr>
          <w:b/>
          <w:sz w:val="24"/>
        </w:rPr>
        <w:t>4.</w:t>
      </w:r>
      <w:r>
        <w:rPr>
          <w:rFonts w:hint="eastAsia"/>
          <w:b/>
          <w:sz w:val="24"/>
        </w:rPr>
        <w:t>7</w:t>
      </w:r>
      <w:r>
        <w:rPr>
          <w:b/>
          <w:sz w:val="24"/>
        </w:rPr>
        <w:t xml:space="preserve">. </w:t>
      </w:r>
      <w:r>
        <w:rPr>
          <w:rFonts w:hint="eastAsia"/>
          <w:sz w:val="24"/>
        </w:rPr>
        <w:t>竞争性磋商小组将从投标人的投标报价、产品质量、技术方案、售后服务、企业状况等经济、技术和商务及其他优惠条件等方面，依据评标标准，对所有投标文件进行综合评审。</w:t>
      </w:r>
    </w:p>
    <w:p>
      <w:pPr>
        <w:pStyle w:val="4"/>
        <w:rPr>
          <w:color w:val="000000" w:themeColor="text1"/>
          <w14:textFill>
            <w14:solidFill>
              <w14:schemeClr w14:val="tx1"/>
            </w14:solidFill>
          </w14:textFill>
        </w:rPr>
      </w:pPr>
      <w:bookmarkStart w:id="10" w:name="_Toc76388975"/>
      <w:r>
        <w:rPr>
          <w:rFonts w:hint="eastAsia"/>
          <w:color w:val="000000" w:themeColor="text1"/>
          <w14:textFill>
            <w14:solidFill>
              <w14:schemeClr w14:val="tx1"/>
            </w14:solidFill>
          </w14:textFill>
        </w:rPr>
        <w:t>五、竞争性磋商方法及评判标准</w:t>
      </w:r>
      <w:bookmarkEnd w:id="10"/>
      <w:r>
        <w:rPr>
          <w:rFonts w:hint="eastAsia"/>
          <w:color w:val="000000" w:themeColor="text1"/>
          <w14:textFill>
            <w14:solidFill>
              <w14:schemeClr w14:val="tx1"/>
            </w14:solidFill>
          </w14:textFill>
        </w:rPr>
        <w:t xml:space="preserve"> </w:t>
      </w:r>
    </w:p>
    <w:p>
      <w:pPr>
        <w:spacing w:line="353"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竞争性磋商程序及方法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（1）竞争性磋商程序：资格符合性评审→技术标评审→商务标开标→商务二次报价→确定中标候选人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（2）本次竞争性磋商采用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评判，即在投标文件满足竞争性磋商文件全部实质性要求，且按照评审因素的量化指标评审得分最高的投标人为排名前一的中标候选人。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∑磋商小组成员评价总得分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磋商小组成员人数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磋商报价得分</w:t>
      </w:r>
    </w:p>
    <w:p>
      <w:pPr>
        <w:ind w:firstLine="482"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
          <w:sz w:val="24"/>
        </w:rPr>
        <w:t>5.2.</w:t>
      </w:r>
      <w:r>
        <w:rPr>
          <w:rFonts w:hint="eastAsia" w:ascii="宋体" w:hAnsi="宋体"/>
          <w:bCs/>
          <w:color w:val="000000" w:themeColor="text1"/>
          <w:sz w:val="24"/>
          <w14:textFill>
            <w14:solidFill>
              <w14:schemeClr w14:val="tx1"/>
            </w14:solidFill>
          </w14:textFill>
        </w:rPr>
        <w:t>评分标准</w:t>
      </w:r>
      <w:r>
        <w:rPr>
          <w:rFonts w:hint="eastAsia" w:ascii="宋体" w:hAnsi="宋体" w:cs="宋体"/>
          <w:bCs/>
          <w:color w:val="000000" w:themeColor="text1"/>
          <w:sz w:val="24"/>
          <w14:textFill>
            <w14:solidFill>
              <w14:schemeClr w14:val="tx1"/>
            </w14:solidFill>
          </w14:textFill>
        </w:rPr>
        <w:t>（</w:t>
      </w:r>
      <w:r>
        <w:rPr>
          <w:rFonts w:hint="eastAsia" w:ascii="宋体" w:hAnsi="宋体" w:cs="宋体"/>
          <w:bCs/>
          <w:sz w:val="24"/>
        </w:rPr>
        <w:t>满分100分。其中技术标</w:t>
      </w:r>
      <w:r>
        <w:rPr>
          <w:rFonts w:hint="eastAsia" w:ascii="宋体" w:hAnsi="宋体" w:cs="宋体"/>
          <w:sz w:val="24"/>
        </w:rPr>
        <w:t>50分，商务标50分）</w:t>
      </w:r>
    </w:p>
    <w:tbl>
      <w:tblPr>
        <w:tblStyle w:val="16"/>
        <w:tblW w:w="9678" w:type="dxa"/>
        <w:tblInd w:w="0" w:type="dxa"/>
        <w:tblLayout w:type="fixed"/>
        <w:tblCellMar>
          <w:top w:w="0" w:type="dxa"/>
          <w:left w:w="0" w:type="dxa"/>
          <w:bottom w:w="0" w:type="dxa"/>
          <w:right w:w="0" w:type="dxa"/>
        </w:tblCellMar>
      </w:tblPr>
      <w:tblGrid>
        <w:gridCol w:w="1476"/>
        <w:gridCol w:w="614"/>
        <w:gridCol w:w="7588"/>
      </w:tblGrid>
      <w:tr>
        <w:tblPrEx>
          <w:tblCellMar>
            <w:top w:w="0" w:type="dxa"/>
            <w:left w:w="0" w:type="dxa"/>
            <w:bottom w:w="0" w:type="dxa"/>
            <w:right w:w="0" w:type="dxa"/>
          </w:tblCellMar>
        </w:tblPrEx>
        <w:trPr>
          <w:trHeight w:val="531" w:hRule="atLeast"/>
        </w:trPr>
        <w:tc>
          <w:tcPr>
            <w:tcW w:w="1476" w:type="dxa"/>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b/>
                <w:color w:val="000000"/>
                <w:sz w:val="24"/>
              </w:rPr>
              <w:t>评审因素</w:t>
            </w:r>
          </w:p>
        </w:tc>
        <w:tc>
          <w:tcPr>
            <w:tcW w:w="614"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b/>
                <w:color w:val="000000"/>
                <w:sz w:val="24"/>
              </w:rPr>
              <w:t>分值</w:t>
            </w:r>
          </w:p>
        </w:tc>
        <w:tc>
          <w:tcPr>
            <w:tcW w:w="7588"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ind w:firstLine="2168" w:firstLineChars="900"/>
              <w:rPr>
                <w:rFonts w:ascii="宋体" w:hAnsi="宋体" w:cs="宋体"/>
                <w:color w:val="333333"/>
                <w:sz w:val="24"/>
              </w:rPr>
            </w:pPr>
            <w:r>
              <w:rPr>
                <w:rFonts w:hint="eastAsia" w:ascii="宋体" w:hAnsi="宋体" w:cs="宋体"/>
                <w:b/>
                <w:color w:val="000000"/>
                <w:sz w:val="24"/>
              </w:rPr>
              <w:t>评    分   细   则</w:t>
            </w:r>
          </w:p>
        </w:tc>
      </w:tr>
      <w:tr>
        <w:tblPrEx>
          <w:tblCellMar>
            <w:top w:w="0" w:type="dxa"/>
            <w:left w:w="0" w:type="dxa"/>
            <w:bottom w:w="0" w:type="dxa"/>
            <w:right w:w="0" w:type="dxa"/>
          </w:tblCellMar>
        </w:tblPrEx>
        <w:trPr>
          <w:trHeight w:val="1250" w:hRule="atLeast"/>
        </w:trPr>
        <w:tc>
          <w:tcPr>
            <w:tcW w:w="1476"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磋商报价</w:t>
            </w:r>
          </w:p>
        </w:tc>
        <w:tc>
          <w:tcPr>
            <w:tcW w:w="614" w:type="dxa"/>
            <w:tcBorders>
              <w:top w:val="nil"/>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50</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rPr>
                <w:rFonts w:ascii="宋体" w:hAnsi="宋体" w:cs="宋体"/>
                <w:sz w:val="24"/>
              </w:rPr>
            </w:pPr>
            <w:r>
              <w:rPr>
                <w:rFonts w:hint="eastAsia" w:ascii="宋体" w:hAnsi="宋体" w:cs="宋体"/>
                <w:sz w:val="24"/>
              </w:rPr>
              <w:t>满足竞争性磋商文件要求且最后报价最低的投标人的价格为基准价，其价格分为满分。其他投标人的价格分按下列公式计算：</w:t>
            </w:r>
          </w:p>
          <w:p>
            <w:pPr>
              <w:ind w:firstLine="480" w:firstLineChars="200"/>
              <w:rPr>
                <w:rFonts w:ascii="宋体" w:hAnsi="宋体" w:cs="宋体"/>
                <w:sz w:val="24"/>
              </w:rPr>
            </w:pPr>
            <w:r>
              <w:rPr>
                <w:rFonts w:hint="eastAsia" w:ascii="宋体" w:hAnsi="宋体" w:cs="宋体"/>
                <w:sz w:val="24"/>
              </w:rPr>
              <w:t>磋商报价得分＝（磋商基准价/最后磋商报价）×50</w:t>
            </w:r>
            <w:r>
              <w:rPr>
                <w:rFonts w:hint="eastAsia" w:ascii="宋体" w:hAnsi="宋体" w:cs="宋体"/>
                <w:kern w:val="0"/>
                <w:sz w:val="24"/>
              </w:rPr>
              <w:t>。</w:t>
            </w:r>
          </w:p>
        </w:tc>
      </w:tr>
      <w:tr>
        <w:tblPrEx>
          <w:tblCellMar>
            <w:top w:w="0" w:type="dxa"/>
            <w:left w:w="0" w:type="dxa"/>
            <w:bottom w:w="0" w:type="dxa"/>
            <w:right w:w="0" w:type="dxa"/>
          </w:tblCellMar>
        </w:tblPrEx>
        <w:trPr>
          <w:trHeight w:val="834" w:hRule="atLeast"/>
        </w:trPr>
        <w:tc>
          <w:tcPr>
            <w:tcW w:w="1476" w:type="dxa"/>
            <w:tcBorders>
              <w:top w:val="nil"/>
              <w:left w:val="single" w:color="000000" w:sz="6" w:space="0"/>
              <w:bottom w:val="single" w:color="auto" w:sz="4" w:space="0"/>
              <w:right w:val="single" w:color="000000" w:sz="6" w:space="0"/>
            </w:tcBorders>
            <w:shd w:val="clear" w:color="auto" w:fill="auto"/>
            <w:tcMar>
              <w:left w:w="105" w:type="dxa"/>
              <w:right w:w="105" w:type="dxa"/>
            </w:tcMar>
            <w:vAlign w:val="center"/>
          </w:tcPr>
          <w:p>
            <w:pPr>
              <w:pStyle w:val="15"/>
              <w:widowControl/>
              <w:spacing w:beforeAutospacing="0" w:afterAutospacing="0"/>
              <w:ind w:right="135"/>
              <w:jc w:val="center"/>
              <w:rPr>
                <w:rFonts w:ascii="宋体" w:hAnsi="宋体" w:cs="宋体"/>
                <w:color w:val="333333"/>
              </w:rPr>
            </w:pPr>
            <w:r>
              <w:rPr>
                <w:rFonts w:hint="eastAsia" w:ascii="宋体" w:hAnsi="宋体" w:cs="宋体"/>
                <w:color w:val="333333"/>
              </w:rPr>
              <w:t>服务承诺</w:t>
            </w:r>
          </w:p>
        </w:tc>
        <w:tc>
          <w:tcPr>
            <w:tcW w:w="614" w:type="dxa"/>
            <w:tcBorders>
              <w:top w:val="nil"/>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10</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rPr>
                <w:sz w:val="24"/>
                <w:szCs w:val="32"/>
              </w:rPr>
            </w:pPr>
            <w:r>
              <w:rPr>
                <w:rFonts w:hint="eastAsia"/>
                <w:sz w:val="24"/>
                <w:szCs w:val="32"/>
              </w:rPr>
              <w:t>按照竞争性磋商文件要求，对投标人的服务承诺进行横向对比，优秀得8-10分，良好得5-7分，一般得1-4分，差不得分：</w:t>
            </w:r>
          </w:p>
          <w:p>
            <w:pPr>
              <w:ind w:firstLine="480" w:firstLineChars="200"/>
              <w:rPr>
                <w:sz w:val="24"/>
                <w:szCs w:val="32"/>
              </w:rPr>
            </w:pPr>
            <w:r>
              <w:rPr>
                <w:rFonts w:hint="eastAsia"/>
                <w:sz w:val="24"/>
                <w:szCs w:val="32"/>
              </w:rPr>
              <w:t>1、安全服务承诺：承诺车辆入校速度控制在20公里/小时内；</w:t>
            </w:r>
          </w:p>
          <w:p>
            <w:pPr>
              <w:ind w:firstLine="480" w:firstLineChars="200"/>
              <w:rPr>
                <w:sz w:val="24"/>
                <w:szCs w:val="32"/>
              </w:rPr>
            </w:pPr>
            <w:r>
              <w:rPr>
                <w:rFonts w:hint="eastAsia"/>
                <w:sz w:val="24"/>
                <w:szCs w:val="32"/>
              </w:rPr>
              <w:t>2、及时服务承诺：对一切突发事件能够做到及时、快捷处理；</w:t>
            </w:r>
          </w:p>
          <w:p>
            <w:pPr>
              <w:ind w:firstLine="480" w:firstLineChars="200"/>
              <w:rPr>
                <w:sz w:val="24"/>
                <w:szCs w:val="32"/>
              </w:rPr>
            </w:pPr>
            <w:r>
              <w:rPr>
                <w:rFonts w:hint="eastAsia"/>
                <w:sz w:val="24"/>
                <w:szCs w:val="32"/>
              </w:rPr>
              <w:t>3、规范服务承诺：车辆做好安全防护措施，防止热水外溢伤人；</w:t>
            </w:r>
          </w:p>
          <w:p>
            <w:pPr>
              <w:ind w:firstLine="480" w:firstLineChars="200"/>
            </w:pPr>
            <w:r>
              <w:rPr>
                <w:rFonts w:hint="eastAsia"/>
                <w:sz w:val="24"/>
                <w:szCs w:val="32"/>
              </w:rPr>
              <w:t>4、温度承诺：做好热水生产过程中的温度控制与监督工作，确保热水出厂温度为90℃±2℃，热水送达校方指定地点时汽车水箱内水温不低于85℃。</w:t>
            </w:r>
          </w:p>
        </w:tc>
      </w:tr>
      <w:tr>
        <w:tblPrEx>
          <w:tblCellMar>
            <w:top w:w="0" w:type="dxa"/>
            <w:left w:w="0" w:type="dxa"/>
            <w:bottom w:w="0" w:type="dxa"/>
            <w:right w:w="0" w:type="dxa"/>
          </w:tblCellMar>
        </w:tblPrEx>
        <w:trPr>
          <w:trHeight w:val="1181" w:hRule="atLeast"/>
        </w:trPr>
        <w:tc>
          <w:tcPr>
            <w:tcW w:w="1476" w:type="dxa"/>
            <w:tcBorders>
              <w:top w:val="single" w:color="auto" w:sz="4" w:space="0"/>
              <w:left w:val="single" w:color="000000" w:sz="6" w:space="0"/>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333333"/>
                <w:sz w:val="24"/>
              </w:rPr>
              <w:t>业绩</w:t>
            </w:r>
          </w:p>
        </w:tc>
        <w:tc>
          <w:tcPr>
            <w:tcW w:w="614" w:type="dxa"/>
            <w:tcBorders>
              <w:top w:val="nil"/>
              <w:left w:val="nil"/>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6</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pPr>
            <w:r>
              <w:rPr>
                <w:rFonts w:hint="eastAsia" w:ascii="宋体" w:hAnsi="宋体" w:cs="宋体"/>
                <w:sz w:val="24"/>
              </w:rPr>
              <w:t>根据投标人2018年1月以来与本次投标项目相似的同类业绩情况评分（以提供的合同复印件为准，合同中不得隐去任何内容，否则无效，每份2分；同一单位的多份合同仅算一份业绩，得2分；最多得6分）。</w:t>
            </w:r>
          </w:p>
        </w:tc>
      </w:tr>
      <w:tr>
        <w:tblPrEx>
          <w:tblCellMar>
            <w:top w:w="0" w:type="dxa"/>
            <w:left w:w="0" w:type="dxa"/>
            <w:bottom w:w="0" w:type="dxa"/>
            <w:right w:w="0" w:type="dxa"/>
          </w:tblCellMar>
        </w:tblPrEx>
        <w:trPr>
          <w:trHeight w:val="161" w:hRule="atLeast"/>
        </w:trPr>
        <w:tc>
          <w:tcPr>
            <w:tcW w:w="1476" w:type="dxa"/>
            <w:tcBorders>
              <w:top w:val="single" w:color="auto" w:sz="4" w:space="0"/>
              <w:left w:val="single" w:color="000000" w:sz="6" w:space="0"/>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333333"/>
                <w:sz w:val="24"/>
              </w:rPr>
              <w:t>保障措施</w:t>
            </w:r>
          </w:p>
        </w:tc>
        <w:tc>
          <w:tcPr>
            <w:tcW w:w="614"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24</w:t>
            </w:r>
          </w:p>
        </w:tc>
        <w:tc>
          <w:tcPr>
            <w:tcW w:w="7588" w:type="dxa"/>
            <w:tcBorders>
              <w:top w:val="nil"/>
              <w:left w:val="nil"/>
              <w:bottom w:val="single" w:color="auto" w:sz="4" w:space="0"/>
              <w:right w:val="single" w:color="000000" w:sz="6" w:space="0"/>
            </w:tcBorders>
            <w:shd w:val="clear" w:color="auto" w:fill="auto"/>
            <w:tcMar>
              <w:left w:w="105" w:type="dxa"/>
              <w:right w:w="105" w:type="dxa"/>
            </w:tcMar>
            <w:vAlign w:val="center"/>
          </w:tcPr>
          <w:p>
            <w:pPr>
              <w:ind w:firstLine="480" w:firstLineChars="200"/>
              <w:rPr>
                <w:sz w:val="24"/>
                <w:szCs w:val="32"/>
              </w:rPr>
            </w:pPr>
            <w:r>
              <w:rPr>
                <w:rFonts w:hint="eastAsia"/>
                <w:sz w:val="24"/>
                <w:szCs w:val="32"/>
              </w:rPr>
              <w:t>根据投标人的提供的技术方案，进行横向对比：</w:t>
            </w:r>
          </w:p>
          <w:p>
            <w:pPr>
              <w:ind w:firstLine="480" w:firstLineChars="200"/>
              <w:rPr>
                <w:sz w:val="24"/>
                <w:szCs w:val="32"/>
              </w:rPr>
            </w:pPr>
            <w:r>
              <w:rPr>
                <w:rFonts w:hint="eastAsia"/>
                <w:sz w:val="24"/>
                <w:szCs w:val="32"/>
              </w:rPr>
              <w:t>1、热水生产方式，最多得5分；</w:t>
            </w:r>
          </w:p>
          <w:p>
            <w:pPr>
              <w:ind w:firstLine="480" w:firstLineChars="200"/>
            </w:pPr>
            <w:r>
              <w:rPr>
                <w:rFonts w:hint="eastAsia"/>
                <w:sz w:val="24"/>
                <w:szCs w:val="32"/>
              </w:rPr>
              <w:t>2、热水温度控制措施，最多得5分；</w:t>
            </w:r>
          </w:p>
          <w:p>
            <w:pPr>
              <w:ind w:firstLine="480" w:firstLineChars="200"/>
              <w:rPr>
                <w:sz w:val="24"/>
                <w:szCs w:val="32"/>
              </w:rPr>
            </w:pPr>
            <w:r>
              <w:rPr>
                <w:rFonts w:hint="eastAsia"/>
                <w:sz w:val="24"/>
                <w:szCs w:val="32"/>
              </w:rPr>
              <w:t>3、热水运输方式及安全措施，最多得10分；</w:t>
            </w:r>
          </w:p>
          <w:p>
            <w:pPr>
              <w:ind w:firstLine="480" w:firstLineChars="200"/>
            </w:pPr>
            <w:r>
              <w:rPr>
                <w:rFonts w:hint="eastAsia"/>
                <w:sz w:val="24"/>
                <w:szCs w:val="32"/>
              </w:rPr>
              <w:t>4、热水质量保证措施，最多得4分。</w:t>
            </w:r>
          </w:p>
        </w:tc>
      </w:tr>
      <w:tr>
        <w:tblPrEx>
          <w:tblCellMar>
            <w:top w:w="0" w:type="dxa"/>
            <w:left w:w="0" w:type="dxa"/>
            <w:bottom w:w="0" w:type="dxa"/>
            <w:right w:w="0" w:type="dxa"/>
          </w:tblCellMar>
        </w:tblPrEx>
        <w:trPr>
          <w:trHeight w:val="954" w:hRule="atLeast"/>
        </w:trPr>
        <w:tc>
          <w:tcPr>
            <w:tcW w:w="1476" w:type="dxa"/>
            <w:tcBorders>
              <w:top w:val="single" w:color="auto" w:sz="4" w:space="0"/>
              <w:left w:val="single" w:color="000000" w:sz="6" w:space="0"/>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333333"/>
                <w:sz w:val="24"/>
              </w:rPr>
              <w:t>规章制度与考核依据</w:t>
            </w:r>
          </w:p>
        </w:tc>
        <w:tc>
          <w:tcPr>
            <w:tcW w:w="614"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000000"/>
                <w:sz w:val="24"/>
              </w:rPr>
            </w:pPr>
            <w:r>
              <w:rPr>
                <w:rFonts w:hint="eastAsia" w:ascii="宋体" w:hAnsi="宋体" w:cs="宋体"/>
                <w:color w:val="000000"/>
                <w:sz w:val="24"/>
              </w:rPr>
              <w:t>5</w:t>
            </w:r>
          </w:p>
        </w:tc>
        <w:tc>
          <w:tcPr>
            <w:tcW w:w="7588"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ind w:firstLine="480" w:firstLineChars="200"/>
              <w:rPr>
                <w:sz w:val="24"/>
                <w:szCs w:val="32"/>
              </w:rPr>
            </w:pPr>
            <w:r>
              <w:rPr>
                <w:rFonts w:hint="eastAsia"/>
                <w:sz w:val="24"/>
                <w:szCs w:val="32"/>
              </w:rPr>
              <w:t>企业各类管理规章制度健全规范，实际操作性强；安全服务标准明确，检查验收等有据可依。优秀得4-5分，良好得2-3分，一般得1分，差不得分。</w:t>
            </w:r>
          </w:p>
        </w:tc>
      </w:tr>
      <w:tr>
        <w:tblPrEx>
          <w:tblCellMar>
            <w:top w:w="0" w:type="dxa"/>
            <w:left w:w="0" w:type="dxa"/>
            <w:bottom w:w="0" w:type="dxa"/>
            <w:right w:w="0" w:type="dxa"/>
          </w:tblCellMar>
        </w:tblPrEx>
        <w:trPr>
          <w:trHeight w:val="951" w:hRule="atLeast"/>
        </w:trPr>
        <w:tc>
          <w:tcPr>
            <w:tcW w:w="1476" w:type="dxa"/>
            <w:tcBorders>
              <w:top w:val="single" w:color="auto" w:sz="4" w:space="0"/>
              <w:left w:val="single" w:color="000000" w:sz="6" w:space="0"/>
              <w:bottom w:val="single" w:color="000000" w:sz="6" w:space="0"/>
              <w:right w:val="single" w:color="000000" w:sz="6" w:space="0"/>
            </w:tcBorders>
            <w:shd w:val="clear" w:color="auto" w:fill="auto"/>
            <w:tcMar>
              <w:left w:w="105" w:type="dxa"/>
              <w:right w:w="105" w:type="dxa"/>
            </w:tcMar>
            <w:vAlign w:val="center"/>
          </w:tcPr>
          <w:p>
            <w:pPr>
              <w:tabs>
                <w:tab w:val="left" w:pos="276"/>
                <w:tab w:val="center" w:pos="633"/>
              </w:tabs>
              <w:jc w:val="center"/>
              <w:rPr>
                <w:rFonts w:ascii="宋体" w:hAnsi="宋体" w:cs="宋体"/>
                <w:color w:val="333333"/>
                <w:sz w:val="24"/>
              </w:rPr>
            </w:pPr>
            <w:r>
              <w:rPr>
                <w:rFonts w:hint="eastAsia" w:ascii="宋体" w:hAnsi="宋体" w:cs="宋体"/>
                <w:color w:val="333333"/>
                <w:sz w:val="24"/>
              </w:rPr>
              <w:t>水质保证（自来水发票）</w:t>
            </w:r>
          </w:p>
        </w:tc>
        <w:tc>
          <w:tcPr>
            <w:tcW w:w="614"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sz w:val="24"/>
              </w:rPr>
            </w:pPr>
            <w:r>
              <w:rPr>
                <w:rFonts w:hint="eastAsia" w:ascii="宋体" w:hAnsi="宋体" w:cs="宋体"/>
                <w:color w:val="000000"/>
                <w:sz w:val="24"/>
              </w:rPr>
              <w:t>4</w:t>
            </w:r>
          </w:p>
        </w:tc>
        <w:tc>
          <w:tcPr>
            <w:tcW w:w="7588"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rPr>
                <w:sz w:val="24"/>
                <w:szCs w:val="32"/>
              </w:rPr>
            </w:pPr>
            <w:r>
              <w:rPr>
                <w:rFonts w:hint="eastAsia"/>
                <w:sz w:val="24"/>
                <w:szCs w:val="32"/>
              </w:rPr>
              <w:t>提供2018年1月以来购买自来水发票（复印件），金额达5万元的得1分，金额达10万元的得2分，金额达15万元的得3分，金额达20万元的得4分。</w:t>
            </w:r>
          </w:p>
        </w:tc>
      </w:tr>
      <w:tr>
        <w:tblPrEx>
          <w:tblCellMar>
            <w:top w:w="0" w:type="dxa"/>
            <w:left w:w="0" w:type="dxa"/>
            <w:bottom w:w="0" w:type="dxa"/>
            <w:right w:w="0" w:type="dxa"/>
          </w:tblCellMar>
        </w:tblPrEx>
        <w:trPr>
          <w:trHeight w:val="700" w:hRule="atLeast"/>
        </w:trPr>
        <w:tc>
          <w:tcPr>
            <w:tcW w:w="1476" w:type="dxa"/>
            <w:tcBorders>
              <w:top w:val="nil"/>
              <w:left w:val="single" w:color="000000" w:sz="6" w:space="0"/>
              <w:bottom w:val="single" w:color="auto" w:sz="4" w:space="0"/>
              <w:right w:val="single" w:color="000000" w:sz="6" w:space="0"/>
            </w:tcBorders>
            <w:shd w:val="clear" w:color="auto" w:fill="auto"/>
            <w:tcMar>
              <w:left w:w="105" w:type="dxa"/>
              <w:right w:w="105" w:type="dxa"/>
            </w:tcMar>
            <w:vAlign w:val="center"/>
          </w:tcPr>
          <w:p>
            <w:pPr>
              <w:pStyle w:val="15"/>
              <w:widowControl/>
              <w:spacing w:beforeAutospacing="0" w:afterAutospacing="0"/>
              <w:ind w:right="135"/>
              <w:jc w:val="center"/>
              <w:rPr>
                <w:rFonts w:ascii="宋体" w:hAnsi="宋体" w:cs="宋体"/>
                <w:color w:val="333333"/>
              </w:rPr>
            </w:pPr>
            <w:r>
              <w:rPr>
                <w:rFonts w:hint="eastAsia" w:ascii="宋体" w:hAnsi="宋体" w:cs="宋体"/>
                <w:color w:val="333333"/>
              </w:rPr>
              <w:t>投标文件</w:t>
            </w:r>
          </w:p>
        </w:tc>
        <w:tc>
          <w:tcPr>
            <w:tcW w:w="614"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5"/>
              <w:widowControl/>
              <w:spacing w:beforeAutospacing="0" w:afterAutospacing="0"/>
              <w:ind w:right="135"/>
              <w:jc w:val="center"/>
              <w:rPr>
                <w:rFonts w:ascii="宋体" w:hAnsi="宋体" w:cs="宋体"/>
                <w:color w:val="333333"/>
              </w:rPr>
            </w:pPr>
            <w:r>
              <w:rPr>
                <w:rFonts w:hint="eastAsia" w:ascii="宋体" w:hAnsi="宋体" w:cs="宋体"/>
                <w:color w:val="333333"/>
              </w:rPr>
              <w:t xml:space="preserve"> 1</w:t>
            </w:r>
          </w:p>
        </w:tc>
        <w:tc>
          <w:tcPr>
            <w:tcW w:w="7588"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5"/>
              <w:widowControl/>
              <w:spacing w:beforeAutospacing="0" w:afterAutospacing="0"/>
              <w:ind w:right="135" w:firstLine="420"/>
              <w:jc w:val="both"/>
              <w:rPr>
                <w:rFonts w:ascii="宋体" w:hAnsi="宋体" w:cs="宋体"/>
              </w:rPr>
            </w:pPr>
            <w:r>
              <w:rPr>
                <w:rFonts w:hint="eastAsia" w:ascii="宋体" w:hAnsi="宋体" w:cs="宋体"/>
              </w:rPr>
              <w:t>根据投标文件对投标文件的响应情况、表述清晰程度、规范性等评分，满分1分。</w:t>
            </w:r>
          </w:p>
        </w:tc>
      </w:tr>
      <w:tr>
        <w:tblPrEx>
          <w:tblCellMar>
            <w:top w:w="0" w:type="dxa"/>
            <w:left w:w="0" w:type="dxa"/>
            <w:bottom w:w="0" w:type="dxa"/>
            <w:right w:w="0" w:type="dxa"/>
          </w:tblCellMar>
        </w:tblPrEx>
        <w:trPr>
          <w:trHeight w:val="527" w:hRule="atLeast"/>
        </w:trPr>
        <w:tc>
          <w:tcPr>
            <w:tcW w:w="1476" w:type="dxa"/>
            <w:tcBorders>
              <w:top w:val="single" w:color="auto" w:sz="4" w:space="0"/>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sz w:val="24"/>
              </w:rPr>
            </w:pPr>
            <w:r>
              <w:rPr>
                <w:rFonts w:hint="eastAsia" w:ascii="宋体" w:hAnsi="宋体" w:cs="宋体"/>
                <w:color w:val="000000"/>
                <w:sz w:val="24"/>
              </w:rPr>
              <w:t>合计</w:t>
            </w:r>
          </w:p>
        </w:tc>
        <w:tc>
          <w:tcPr>
            <w:tcW w:w="614"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b/>
                <w:color w:val="000000"/>
                <w:sz w:val="24"/>
              </w:rPr>
            </w:pPr>
            <w:r>
              <w:rPr>
                <w:rFonts w:hint="eastAsia" w:ascii="宋体" w:hAnsi="宋体" w:cs="宋体"/>
                <w:b/>
                <w:color w:val="000000"/>
                <w:sz w:val="24"/>
              </w:rPr>
              <w:t>100</w:t>
            </w:r>
          </w:p>
        </w:tc>
        <w:tc>
          <w:tcPr>
            <w:tcW w:w="7588"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tabs>
                <w:tab w:val="left" w:pos="945"/>
              </w:tabs>
              <w:ind w:firstLine="480" w:firstLineChars="200"/>
              <w:rPr>
                <w:rFonts w:ascii="宋体" w:hAnsi="宋体" w:cs="宋体"/>
                <w:sz w:val="24"/>
              </w:rPr>
            </w:pPr>
            <w:r>
              <w:rPr>
                <w:rFonts w:hint="eastAsia" w:ascii="宋体" w:hAnsi="宋体" w:cs="宋体"/>
                <w:sz w:val="24"/>
              </w:rPr>
              <w:t>投标人最后得分保留两位小数</w:t>
            </w:r>
          </w:p>
        </w:tc>
      </w:tr>
    </w:tbl>
    <w:p>
      <w:pPr>
        <w:spacing w:line="353" w:lineRule="auto"/>
        <w:ind w:firstLine="482" w:firstLineChars="200"/>
        <w:rPr>
          <w:rFonts w:ascii="宋体" w:hAnsi="宋体"/>
          <w:bCs/>
          <w:sz w:val="24"/>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pStyle w:val="4"/>
        <w:rPr>
          <w:rFonts w:ascii="宋体"/>
          <w:bCs w:val="0"/>
          <w:sz w:val="24"/>
        </w:rPr>
      </w:pPr>
      <w:bookmarkStart w:id="11" w:name="_Toc76388976"/>
      <w:r>
        <w:rPr>
          <w:rFonts w:hint="eastAsia"/>
        </w:rPr>
        <w:t>六、</w:t>
      </w:r>
      <w:r>
        <w:t xml:space="preserve"> </w:t>
      </w:r>
      <w:r>
        <w:rPr>
          <w:rFonts w:hint="eastAsia"/>
        </w:rPr>
        <w:t>定标</w:t>
      </w:r>
      <w:bookmarkEnd w:id="11"/>
    </w:p>
    <w:p>
      <w:pPr>
        <w:spacing w:line="360" w:lineRule="auto"/>
        <w:ind w:firstLine="482" w:firstLineChars="200"/>
        <w:rPr>
          <w:color w:val="000000" w:themeColor="text1"/>
          <w:sz w:val="24"/>
          <w14:textFill>
            <w14:solidFill>
              <w14:schemeClr w14:val="tx1"/>
            </w14:solidFill>
          </w14:textFill>
        </w:rPr>
      </w:pPr>
      <w:r>
        <w:rPr>
          <w:rFonts w:hint="eastAsia"/>
          <w:b/>
          <w:sz w:val="24"/>
        </w:rPr>
        <w:t>6</w:t>
      </w:r>
      <w:r>
        <w:rPr>
          <w:b/>
          <w:sz w:val="24"/>
        </w:rPr>
        <w:t>.1.</w:t>
      </w:r>
      <w:r>
        <w:rPr>
          <w:sz w:val="24"/>
        </w:rPr>
        <w:t xml:space="preserve"> </w:t>
      </w:r>
      <w:r>
        <w:rPr>
          <w:rFonts w:hint="eastAsia"/>
          <w:color w:val="000000" w:themeColor="text1"/>
          <w:sz w:val="24"/>
          <w14:textFill>
            <w14:solidFill>
              <w14:schemeClr w14:val="tx1"/>
            </w14:solidFill>
          </w14:textFill>
        </w:rPr>
        <w:t>竞争性磋商小组</w:t>
      </w:r>
      <w:r>
        <w:rPr>
          <w:rFonts w:hint="eastAsia" w:ascii="宋体"/>
          <w:color w:val="000000" w:themeColor="text1"/>
          <w:sz w:val="24"/>
          <w:lang w:val="zh-CN"/>
          <w14:textFill>
            <w14:solidFill>
              <w14:schemeClr w14:val="tx1"/>
            </w14:solidFill>
          </w14:textFill>
        </w:rPr>
        <w:t>按照</w:t>
      </w:r>
      <w:r>
        <w:rPr>
          <w:rFonts w:hint="eastAsia"/>
          <w:color w:val="000000" w:themeColor="text1"/>
          <w:sz w:val="24"/>
          <w14:textFill>
            <w14:solidFill>
              <w14:schemeClr w14:val="tx1"/>
            </w14:solidFill>
          </w14:textFill>
        </w:rPr>
        <w:t>综合评分结果</w:t>
      </w:r>
      <w:r>
        <w:rPr>
          <w:rFonts w:hint="eastAsia" w:ascii="宋体"/>
          <w:color w:val="000000" w:themeColor="text1"/>
          <w:sz w:val="24"/>
          <w:lang w:val="zh-CN"/>
          <w14:textFill>
            <w14:solidFill>
              <w14:schemeClr w14:val="tx1"/>
            </w14:solidFill>
          </w14:textFill>
        </w:rPr>
        <w:t>对投标人进行排序。</w:t>
      </w:r>
      <w:r>
        <w:rPr>
          <w:rFonts w:hint="eastAsia"/>
          <w:color w:val="000000" w:themeColor="text1"/>
          <w:sz w:val="24"/>
          <w14:textFill>
            <w14:solidFill>
              <w14:schemeClr w14:val="tx1"/>
            </w14:solidFill>
          </w14:textFill>
        </w:rPr>
        <w:t>排序相同的，按最后磋商价格由低到高顺序排列。得分最高且排名第一的投标人将被推荐为中标候选人或者直接被确定为中标人。</w:t>
      </w:r>
    </w:p>
    <w:p>
      <w:pPr>
        <w:spacing w:line="360" w:lineRule="auto"/>
        <w:ind w:firstLine="482" w:firstLineChars="200"/>
        <w:rPr>
          <w:sz w:val="24"/>
        </w:rPr>
      </w:pPr>
      <w:r>
        <w:rPr>
          <w:rFonts w:hint="eastAsia"/>
          <w:b/>
          <w:sz w:val="24"/>
        </w:rPr>
        <w:t>6</w:t>
      </w:r>
      <w:r>
        <w:rPr>
          <w:b/>
          <w:sz w:val="24"/>
        </w:rPr>
        <w:t xml:space="preserve">.2. </w:t>
      </w:r>
      <w:r>
        <w:rPr>
          <w:rFonts w:hint="eastAsia"/>
          <w:color w:val="000000" w:themeColor="text1"/>
          <w:sz w:val="24"/>
          <w14:textFill>
            <w14:solidFill>
              <w14:schemeClr w14:val="tx1"/>
            </w14:solidFill>
          </w14:textFill>
        </w:rPr>
        <w:t>竞争性磋商小组</w:t>
      </w:r>
      <w:r>
        <w:rPr>
          <w:rFonts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w:t>
      </w:r>
      <w:r>
        <w:rPr>
          <w:rFonts w:hint="eastAsia" w:ascii="宋体"/>
          <w:color w:val="000000" w:themeColor="text1"/>
          <w:sz w:val="24"/>
          <w:lang w:val="zh-CN"/>
          <w14:textFill>
            <w14:solidFill>
              <w14:schemeClr w14:val="tx1"/>
            </w14:solidFill>
          </w14:textFill>
        </w:rPr>
        <w:t>若</w:t>
      </w:r>
      <w:r>
        <w:rPr>
          <w:rFonts w:ascii="宋体"/>
          <w:color w:val="000000" w:themeColor="text1"/>
          <w:sz w:val="24"/>
          <w:lang w:val="zh-CN"/>
          <w14:textFill>
            <w14:solidFill>
              <w14:schemeClr w14:val="tx1"/>
            </w14:solidFill>
          </w14:textFill>
        </w:rPr>
        <w:t>无合理说明，不能证明其报价合理性的，</w:t>
      </w:r>
      <w:r>
        <w:rPr>
          <w:rFonts w:hint="eastAsia"/>
          <w:color w:val="000000" w:themeColor="text1"/>
          <w:sz w:val="24"/>
          <w14:textFill>
            <w14:solidFill>
              <w14:schemeClr w14:val="tx1"/>
            </w14:solidFill>
          </w14:textFill>
        </w:rPr>
        <w:t>竞争性磋商小组</w:t>
      </w:r>
      <w:r>
        <w:rPr>
          <w:rFonts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.3. </w:t>
      </w:r>
      <w:r>
        <w:rPr>
          <w:rFonts w:hint="eastAsia"/>
          <w:color w:val="000000" w:themeColor="text1"/>
          <w:sz w:val="24"/>
          <w14:textFill>
            <w14:solidFill>
              <w14:schemeClr w14:val="tx1"/>
            </w14:solidFill>
          </w14:textFill>
        </w:rPr>
        <w:t>竞争性磋商小组认为所有投标报价均不合理或所有投标方案均不能满足招标人要求时，有权否决所有投标，竞争性磋商小组也没有义务必须接受最低报价的投标。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rFonts w:ascii="宋体"/>
          <w:b/>
          <w:sz w:val="24"/>
        </w:rPr>
      </w:pP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.5. </w:t>
      </w:r>
      <w:r>
        <w:rPr>
          <w:rFonts w:hint="eastAsia"/>
          <w:color w:val="000000" w:themeColor="text1"/>
          <w:sz w:val="24"/>
          <w14:textFill>
            <w14:solidFill>
              <w14:schemeClr w14:val="tx1"/>
            </w14:solidFill>
          </w14:textFill>
        </w:rPr>
        <w:t>对未中标的投标人，招标人不做未中标解释。</w:t>
      </w:r>
    </w:p>
    <w:p>
      <w:pPr>
        <w:pStyle w:val="4"/>
      </w:pPr>
      <w:bookmarkStart w:id="12" w:name="_Toc76388977"/>
      <w:r>
        <w:rPr>
          <w:rFonts w:hint="eastAsia"/>
        </w:rPr>
        <w:t>七、合同的签订</w:t>
      </w:r>
      <w:bookmarkEnd w:id="12"/>
    </w:p>
    <w:p>
      <w:pPr>
        <w:spacing w:line="360" w:lineRule="auto"/>
        <w:ind w:right="-4" w:rightChars="-2" w:firstLine="475" w:firstLineChars="197"/>
        <w:rPr>
          <w:b/>
          <w:sz w:val="24"/>
        </w:rPr>
      </w:pPr>
      <w:r>
        <w:rPr>
          <w:rFonts w:hint="eastAsia"/>
          <w:b/>
          <w:sz w:val="24"/>
        </w:rPr>
        <w:t>7</w:t>
      </w:r>
      <w:r>
        <w:rPr>
          <w:b/>
          <w:sz w:val="24"/>
        </w:rPr>
        <w:t xml:space="preserve">.1. </w:t>
      </w:r>
      <w:r>
        <w:rPr>
          <w:rFonts w:hint="eastAsia" w:ascii="宋体" w:hAnsi="宋体" w:cs="宋体"/>
          <w:kern w:val="0"/>
          <w:sz w:val="24"/>
        </w:rPr>
        <w:t>中标人确定后，采购人将通过学校招标网公示1天，公示期满无异议，中标人应在</w:t>
      </w:r>
      <w:r>
        <w:rPr>
          <w:rFonts w:ascii="宋体" w:hAnsi="宋体" w:cs="宋体"/>
          <w:kern w:val="0"/>
          <w:sz w:val="24"/>
        </w:rPr>
        <w:t>10</w:t>
      </w:r>
      <w:r>
        <w:rPr>
          <w:rFonts w:hint="eastAsia" w:ascii="宋体" w:hAnsi="宋体" w:cs="宋体"/>
          <w:kern w:val="0"/>
          <w:sz w:val="24"/>
        </w:rPr>
        <w:t>日内与采购人签订采购合同，过期视为放弃中标。</w:t>
      </w:r>
    </w:p>
    <w:p>
      <w:pPr>
        <w:spacing w:line="360" w:lineRule="auto"/>
        <w:ind w:firstLine="482" w:firstLineChars="200"/>
        <w:rPr>
          <w:b/>
          <w:sz w:val="24"/>
        </w:rPr>
      </w:pPr>
      <w:r>
        <w:rPr>
          <w:rFonts w:hint="eastAsia"/>
          <w:b/>
          <w:sz w:val="24"/>
        </w:rPr>
        <w:t>7</w:t>
      </w:r>
      <w:r>
        <w:rPr>
          <w:b/>
          <w:sz w:val="24"/>
        </w:rPr>
        <w:t>.</w:t>
      </w:r>
      <w:r>
        <w:rPr>
          <w:rFonts w:hint="eastAsia"/>
          <w:b/>
          <w:sz w:val="24"/>
        </w:rPr>
        <w:t>2</w:t>
      </w:r>
      <w:r>
        <w:rPr>
          <w:b/>
          <w:sz w:val="24"/>
        </w:rPr>
        <w:t xml:space="preserve">. </w:t>
      </w:r>
      <w:r>
        <w:rPr>
          <w:rFonts w:hint="eastAsia" w:ascii="宋体" w:hAnsi="宋体" w:cs="宋体"/>
          <w:kern w:val="0"/>
          <w:sz w:val="24"/>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sz w:val="24"/>
        </w:rPr>
      </w:pPr>
      <w:r>
        <w:rPr>
          <w:rFonts w:hint="eastAsia"/>
          <w:b/>
          <w:sz w:val="24"/>
        </w:rPr>
        <w:t>7</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pPr>
        <w:pStyle w:val="4"/>
        <w:spacing w:line="480" w:lineRule="exact"/>
        <w:rPr>
          <w:color w:val="000000" w:themeColor="text1"/>
          <w14:textFill>
            <w14:solidFill>
              <w14:schemeClr w14:val="tx1"/>
            </w14:solidFill>
          </w14:textFill>
        </w:rPr>
      </w:pPr>
      <w:bookmarkStart w:id="13" w:name="_Toc76388978"/>
      <w:r>
        <w:rPr>
          <w:rFonts w:hint="eastAsia"/>
          <w:color w:val="000000" w:themeColor="text1"/>
          <w14:textFill>
            <w14:solidFill>
              <w14:schemeClr w14:val="tx1"/>
            </w14:solidFill>
          </w14:textFill>
        </w:rPr>
        <w:t>八、合同</w:t>
      </w:r>
      <w:r>
        <w:rPr>
          <w:color w:val="000000" w:themeColor="text1"/>
          <w14:textFill>
            <w14:solidFill>
              <w14:schemeClr w14:val="tx1"/>
            </w14:solidFill>
          </w14:textFill>
        </w:rPr>
        <w:t>履约保证金</w:t>
      </w:r>
      <w:bookmarkEnd w:id="13"/>
    </w:p>
    <w:p>
      <w:pPr>
        <w:spacing w:line="480" w:lineRule="exact"/>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8.1. </w:t>
      </w:r>
      <w:r>
        <w:rPr>
          <w:rFonts w:hint="eastAsia"/>
          <w:color w:val="000000" w:themeColor="text1"/>
          <w:sz w:val="24"/>
          <w14:textFill>
            <w14:solidFill>
              <w14:schemeClr w14:val="tx1"/>
            </w14:solidFill>
          </w14:textFill>
        </w:rPr>
        <w:t>中标单位在签订合同时需缴存</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万元合同履约保证金，在</w:t>
      </w:r>
      <w:r>
        <w:rPr>
          <w:color w:val="000000" w:themeColor="text1"/>
          <w:sz w:val="24"/>
          <w14:textFill>
            <w14:solidFill>
              <w14:schemeClr w14:val="tx1"/>
            </w14:solidFill>
          </w14:textFill>
        </w:rPr>
        <w:t>较好地履行</w:t>
      </w:r>
      <w:r>
        <w:rPr>
          <w:rFonts w:hint="eastAsia"/>
          <w:color w:val="000000" w:themeColor="text1"/>
          <w:sz w:val="24"/>
          <w14:textFill>
            <w14:solidFill>
              <w14:schemeClr w14:val="tx1"/>
            </w14:solidFill>
          </w14:textFill>
        </w:rPr>
        <w:t>供货服务</w:t>
      </w:r>
      <w:r>
        <w:rPr>
          <w:color w:val="000000" w:themeColor="text1"/>
          <w:sz w:val="24"/>
          <w14:textFill>
            <w14:solidFill>
              <w14:schemeClr w14:val="tx1"/>
            </w14:solidFill>
          </w14:textFill>
        </w:rPr>
        <w:t>合同</w:t>
      </w:r>
      <w:r>
        <w:rPr>
          <w:rFonts w:hint="eastAsia"/>
          <w:color w:val="000000" w:themeColor="text1"/>
          <w:sz w:val="24"/>
          <w14:textFill>
            <w14:solidFill>
              <w14:schemeClr w14:val="tx1"/>
            </w14:solidFill>
          </w14:textFill>
        </w:rPr>
        <w:t>后</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招标人</w:t>
      </w:r>
      <w:r>
        <w:rPr>
          <w:color w:val="000000" w:themeColor="text1"/>
          <w:sz w:val="24"/>
          <w14:textFill>
            <w14:solidFill>
              <w14:schemeClr w14:val="tx1"/>
            </w14:solidFill>
          </w14:textFill>
        </w:rPr>
        <w:t>无息退还</w:t>
      </w:r>
      <w:r>
        <w:rPr>
          <w:rFonts w:hint="eastAsia"/>
          <w:color w:val="000000" w:themeColor="text1"/>
          <w:sz w:val="24"/>
          <w14:textFill>
            <w14:solidFill>
              <w14:schemeClr w14:val="tx1"/>
            </w14:solidFill>
          </w14:textFill>
        </w:rPr>
        <w:t>合同履约</w:t>
      </w:r>
      <w:r>
        <w:rPr>
          <w:color w:val="000000" w:themeColor="text1"/>
          <w:sz w:val="24"/>
          <w14:textFill>
            <w14:solidFill>
              <w14:schemeClr w14:val="tx1"/>
            </w14:solidFill>
          </w14:textFill>
        </w:rPr>
        <w:t>保证金</w:t>
      </w:r>
      <w:r>
        <w:rPr>
          <w:rFonts w:hint="eastAsia"/>
          <w:color w:val="000000" w:themeColor="text1"/>
          <w:sz w:val="24"/>
          <w14:textFill>
            <w14:solidFill>
              <w14:schemeClr w14:val="tx1"/>
            </w14:solidFill>
          </w14:textFill>
        </w:rPr>
        <w:t>。</w:t>
      </w:r>
    </w:p>
    <w:p>
      <w:pPr>
        <w:spacing w:line="480" w:lineRule="exact"/>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8.2. </w:t>
      </w:r>
      <w:r>
        <w:rPr>
          <w:color w:val="000000" w:themeColor="text1"/>
          <w:sz w:val="24"/>
          <w14:textFill>
            <w14:solidFill>
              <w14:schemeClr w14:val="tx1"/>
            </w14:solidFill>
          </w14:textFill>
        </w:rPr>
        <w:t>如中标投标人未能履行投标时的相关承诺，或提供假冒伪劣产品，</w:t>
      </w:r>
      <w:r>
        <w:rPr>
          <w:rFonts w:hint="eastAsia"/>
          <w:color w:val="000000" w:themeColor="text1"/>
          <w:sz w:val="24"/>
          <w14:textFill>
            <w14:solidFill>
              <w14:schemeClr w14:val="tx1"/>
            </w14:solidFill>
          </w14:textFill>
        </w:rPr>
        <w:t>招标人</w:t>
      </w:r>
      <w:r>
        <w:rPr>
          <w:color w:val="000000" w:themeColor="text1"/>
          <w:sz w:val="24"/>
          <w14:textFill>
            <w14:solidFill>
              <w14:schemeClr w14:val="tx1"/>
            </w14:solidFill>
          </w14:textFill>
        </w:rPr>
        <w:t>有权从履约保证金中取得补偿，不予退还部分或全部履约保证金，并按相关法律规定处理。</w:t>
      </w:r>
    </w:p>
    <w:p>
      <w:pPr>
        <w:pStyle w:val="2"/>
      </w:pPr>
    </w:p>
    <w:p>
      <w:pPr>
        <w:pStyle w:val="4"/>
      </w:pPr>
      <w:bookmarkStart w:id="14" w:name="_Toc76388979"/>
      <w:r>
        <w:rPr>
          <w:rFonts w:hint="eastAsia"/>
        </w:rPr>
        <w:t>九、其他</w:t>
      </w:r>
      <w:bookmarkEnd w:id="14"/>
    </w:p>
    <w:p>
      <w:pPr>
        <w:spacing w:line="360" w:lineRule="auto"/>
        <w:ind w:firstLine="482" w:firstLineChars="200"/>
        <w:rPr>
          <w:rFonts w:ascii="宋体"/>
          <w:b/>
          <w:spacing w:val="4"/>
          <w:sz w:val="44"/>
          <w:szCs w:val="44"/>
        </w:rPr>
      </w:pPr>
      <w:r>
        <w:rPr>
          <w:rFonts w:hint="eastAsia" w:ascii="黑体" w:eastAsia="黑体"/>
          <w:b/>
          <w:sz w:val="24"/>
        </w:rPr>
        <w:t>9.</w:t>
      </w:r>
      <w:r>
        <w:rPr>
          <w:rFonts w:ascii="黑体" w:eastAsia="黑体"/>
          <w:b/>
          <w:sz w:val="24"/>
        </w:rPr>
        <w:t xml:space="preserve">1. </w:t>
      </w:r>
      <w:r>
        <w:rPr>
          <w:rFonts w:hint="eastAsia" w:ascii="黑体" w:eastAsia="黑体"/>
          <w:b/>
          <w:sz w:val="24"/>
        </w:rPr>
        <w:t>投标人无论中标与否，采购人不承担投标人参加投标的任何费用。</w:t>
      </w:r>
    </w:p>
    <w:p>
      <w:pPr>
        <w:pStyle w:val="3"/>
        <w:jc w:val="center"/>
      </w:pPr>
      <w:r>
        <w:rPr>
          <w:rFonts w:ascii="宋体"/>
          <w:spacing w:val="4"/>
        </w:rPr>
        <w:br w:type="page"/>
      </w:r>
      <w:bookmarkStart w:id="15" w:name="_Toc76388980"/>
      <w:r>
        <w:rPr>
          <w:rFonts w:hint="eastAsia"/>
        </w:rPr>
        <w:t>第三部分</w:t>
      </w:r>
      <w:r>
        <w:t xml:space="preserve">  </w:t>
      </w:r>
      <w:r>
        <w:rPr>
          <w:rFonts w:hint="eastAsia"/>
        </w:rPr>
        <w:t>招标货物要求及相关说明</w:t>
      </w:r>
      <w:bookmarkEnd w:id="15"/>
    </w:p>
    <w:p>
      <w:pPr>
        <w:widowControl/>
        <w:spacing w:line="460" w:lineRule="exact"/>
        <w:ind w:firstLine="480" w:firstLineChars="200"/>
        <w:rPr>
          <w:rFonts w:ascii="宋体" w:hAnsi="宋体" w:cs="宋体"/>
          <w:sz w:val="24"/>
        </w:rPr>
      </w:pPr>
      <w:r>
        <w:rPr>
          <w:rFonts w:hint="eastAsia" w:ascii="宋体" w:hAnsi="宋体" w:cs="宋体"/>
          <w:sz w:val="24"/>
        </w:rPr>
        <w:t>一、产品质量及数量要求</w:t>
      </w:r>
    </w:p>
    <w:p>
      <w:pPr>
        <w:widowControl/>
        <w:spacing w:line="460" w:lineRule="exact"/>
        <w:ind w:firstLine="496" w:firstLineChars="200"/>
        <w:rPr>
          <w:rFonts w:asciiTheme="minorEastAsia" w:hAnsiTheme="minorEastAsia" w:eastAsiaTheme="minorEastAsia" w:cstheme="minorEastAsia"/>
          <w:bCs/>
          <w:color w:val="000000"/>
          <w:spacing w:val="4"/>
          <w:sz w:val="24"/>
        </w:rPr>
      </w:pPr>
      <w:r>
        <w:rPr>
          <w:rFonts w:hint="eastAsia" w:asciiTheme="minorEastAsia" w:hAnsiTheme="minorEastAsia" w:eastAsiaTheme="minorEastAsia" w:cstheme="minorEastAsia"/>
          <w:bCs/>
          <w:color w:val="000000"/>
          <w:spacing w:val="4"/>
          <w:sz w:val="24"/>
        </w:rPr>
        <w:t>90</w:t>
      </w:r>
      <w:r>
        <w:rPr>
          <w:rFonts w:hint="eastAsia" w:ascii="宋体" w:hAnsi="宋体" w:cs="宋体"/>
          <w:bCs/>
          <w:color w:val="000000"/>
          <w:spacing w:val="4"/>
          <w:sz w:val="24"/>
        </w:rPr>
        <w:t>℃</w:t>
      </w:r>
      <w:r>
        <w:rPr>
          <w:rFonts w:hint="eastAsia" w:asciiTheme="minorEastAsia" w:hAnsiTheme="minorEastAsia" w:eastAsiaTheme="minorEastAsia" w:cstheme="minorEastAsia"/>
          <w:bCs/>
          <w:color w:val="000000"/>
          <w:spacing w:val="4"/>
          <w:sz w:val="24"/>
        </w:rPr>
        <w:t>生活热水，供应啬园校区公寓楼11#-19</w:t>
      </w:r>
      <w:r>
        <w:rPr>
          <w:rFonts w:hint="eastAsia" w:ascii="宋体" w:hAnsi="宋体" w:cs="宋体"/>
          <w:bCs/>
          <w:color w:val="000000"/>
          <w:spacing w:val="4"/>
          <w:sz w:val="24"/>
        </w:rPr>
        <w:t>＃</w:t>
      </w:r>
      <w:r>
        <w:rPr>
          <w:rFonts w:hint="eastAsia" w:asciiTheme="minorEastAsia" w:hAnsiTheme="minorEastAsia" w:eastAsiaTheme="minorEastAsia" w:cstheme="minorEastAsia"/>
          <w:bCs/>
          <w:color w:val="000000"/>
          <w:spacing w:val="4"/>
          <w:sz w:val="24"/>
        </w:rPr>
        <w:t>、22#、23#，每年约33000吨，质量符合国家生活用水标准。</w:t>
      </w:r>
    </w:p>
    <w:p>
      <w:pPr>
        <w:widowControl/>
        <w:spacing w:line="460" w:lineRule="exact"/>
        <w:ind w:firstLine="480" w:firstLineChars="200"/>
        <w:rPr>
          <w:rFonts w:ascii="宋体" w:hAnsi="宋体" w:cs="宋体"/>
          <w:sz w:val="24"/>
        </w:rPr>
      </w:pPr>
      <w:r>
        <w:rPr>
          <w:rFonts w:hint="eastAsia" w:ascii="宋体" w:hAnsi="宋体" w:cs="宋体"/>
          <w:sz w:val="24"/>
        </w:rPr>
        <w:t>二、供货</w:t>
      </w:r>
    </w:p>
    <w:p>
      <w:pPr>
        <w:widowControl/>
        <w:spacing w:line="460" w:lineRule="exact"/>
        <w:ind w:firstLine="480" w:firstLineChars="200"/>
        <w:rPr>
          <w:rFonts w:ascii="宋体" w:hAnsi="宋体" w:cs="宋体"/>
          <w:sz w:val="24"/>
        </w:rPr>
      </w:pPr>
      <w:r>
        <w:rPr>
          <w:rFonts w:hint="eastAsia" w:ascii="宋体" w:hAnsi="宋体" w:cs="宋体"/>
          <w:sz w:val="24"/>
        </w:rPr>
        <w:t>供货期限内供货价格、质量应与中标的价格、质量相符，对擅自调高供货价格、降低供货质量的供应商后勤保障部有权随时取消该单位定点供货资格，若市场价格发生较大变化，双方另行协商解决，并报相关部门备案。</w:t>
      </w:r>
    </w:p>
    <w:p>
      <w:pPr>
        <w:widowControl/>
        <w:spacing w:line="460" w:lineRule="exact"/>
        <w:ind w:firstLine="480" w:firstLineChars="200"/>
        <w:rPr>
          <w:rFonts w:ascii="宋体" w:hAnsi="宋体" w:cs="宋体"/>
          <w:sz w:val="24"/>
        </w:rPr>
      </w:pPr>
      <w:r>
        <w:rPr>
          <w:rFonts w:hint="eastAsia" w:ascii="宋体" w:hAnsi="宋体" w:cs="宋体"/>
          <w:sz w:val="24"/>
        </w:rPr>
        <w:t>三、供货数量</w:t>
      </w:r>
    </w:p>
    <w:p>
      <w:pPr>
        <w:widowControl/>
        <w:spacing w:line="460" w:lineRule="exact"/>
        <w:ind w:firstLine="480" w:firstLineChars="200"/>
        <w:rPr>
          <w:rFonts w:ascii="宋体" w:hAnsi="宋体" w:cs="宋体"/>
          <w:sz w:val="24"/>
          <w:lang w:eastAsia="zh-Hans"/>
        </w:rPr>
      </w:pPr>
      <w:r>
        <w:rPr>
          <w:rFonts w:hint="eastAsia" w:ascii="宋体" w:hAnsi="宋体" w:cs="宋体"/>
          <w:sz w:val="24"/>
        </w:rPr>
        <w:t>供货数量为年度的大概需求量，</w:t>
      </w:r>
      <w:r>
        <w:rPr>
          <w:rFonts w:hint="eastAsia" w:ascii="宋体" w:hAnsi="宋体" w:cs="宋体"/>
          <w:sz w:val="24"/>
          <w:lang w:eastAsia="zh-Hans"/>
        </w:rPr>
        <w:t>中标单位</w:t>
      </w:r>
      <w:r>
        <w:rPr>
          <w:rFonts w:hint="eastAsia" w:ascii="宋体" w:hAnsi="宋体" w:cs="宋体"/>
          <w:sz w:val="24"/>
        </w:rPr>
        <w:t>根据实际需要供应热水；</w:t>
      </w:r>
      <w:r>
        <w:rPr>
          <w:rFonts w:hint="eastAsia" w:ascii="宋体" w:hAnsi="宋体" w:cs="宋体"/>
          <w:sz w:val="24"/>
          <w:lang w:eastAsia="zh-Hans"/>
        </w:rPr>
        <w:t>对不符合国家标准（行业标准）</w:t>
      </w:r>
      <w:r>
        <w:rPr>
          <w:rFonts w:hint="eastAsia" w:ascii="宋体" w:hAnsi="宋体" w:cs="宋体"/>
          <w:sz w:val="24"/>
        </w:rPr>
        <w:t>的</w:t>
      </w:r>
      <w:r>
        <w:rPr>
          <w:rFonts w:hint="eastAsia" w:ascii="宋体" w:hAnsi="宋体" w:cs="宋体"/>
          <w:sz w:val="24"/>
          <w:lang w:eastAsia="zh-Hans"/>
        </w:rPr>
        <w:t>有权拒收</w:t>
      </w:r>
      <w:r>
        <w:rPr>
          <w:rFonts w:hint="eastAsia" w:ascii="宋体" w:hAnsi="宋体" w:cs="宋体"/>
          <w:sz w:val="24"/>
        </w:rPr>
        <w:t>；如</w:t>
      </w:r>
      <w:r>
        <w:rPr>
          <w:rFonts w:hint="eastAsia" w:ascii="宋体" w:hAnsi="宋体" w:cs="宋体"/>
          <w:sz w:val="24"/>
          <w:lang w:eastAsia="zh-Hans"/>
        </w:rPr>
        <w:t>擅自提高</w:t>
      </w:r>
      <w:r>
        <w:rPr>
          <w:rFonts w:hint="eastAsia" w:ascii="宋体" w:hAnsi="宋体" w:cs="宋体"/>
          <w:sz w:val="24"/>
        </w:rPr>
        <w:t>供应</w:t>
      </w:r>
      <w:r>
        <w:rPr>
          <w:rFonts w:hint="eastAsia" w:ascii="宋体" w:hAnsi="宋体" w:cs="宋体"/>
          <w:sz w:val="24"/>
          <w:lang w:eastAsia="zh-Hans"/>
        </w:rPr>
        <w:t>价格或降低质量</w:t>
      </w:r>
      <w:r>
        <w:rPr>
          <w:rFonts w:hint="eastAsia" w:ascii="宋体" w:hAnsi="宋体" w:cs="宋体"/>
          <w:sz w:val="24"/>
        </w:rPr>
        <w:t>的，</w:t>
      </w:r>
      <w:r>
        <w:rPr>
          <w:rFonts w:hint="eastAsia" w:ascii="宋体" w:hAnsi="宋体" w:cs="宋体"/>
          <w:sz w:val="24"/>
          <w:lang w:eastAsia="zh-Hans"/>
        </w:rPr>
        <w:t>有权拒绝结算。</w:t>
      </w:r>
    </w:p>
    <w:p>
      <w:pPr>
        <w:pStyle w:val="2"/>
        <w:rPr>
          <w:lang w:eastAsia="zh-Hans"/>
        </w:rPr>
      </w:pPr>
      <w:r>
        <w:rPr>
          <w:lang w:eastAsia="zh-Hans"/>
        </w:rPr>
        <w:br w:type="page"/>
      </w:r>
    </w:p>
    <w:p>
      <w:pPr>
        <w:widowControl/>
        <w:spacing w:line="460" w:lineRule="exact"/>
        <w:ind w:firstLine="560" w:firstLineChars="200"/>
        <w:rPr>
          <w:rFonts w:asciiTheme="minorEastAsia" w:hAnsiTheme="minorEastAsia" w:eastAsiaTheme="minorEastAsia" w:cstheme="minorEastAsia"/>
          <w:sz w:val="28"/>
          <w:szCs w:val="28"/>
        </w:rPr>
      </w:pPr>
    </w:p>
    <w:p>
      <w:pPr>
        <w:pStyle w:val="3"/>
        <w:jc w:val="center"/>
      </w:pPr>
      <w:bookmarkStart w:id="16" w:name="_Toc76388981"/>
      <w:r>
        <w:rPr>
          <w:rFonts w:hint="eastAsia"/>
        </w:rPr>
        <w:t>第四部分 商务条款</w:t>
      </w:r>
      <w:bookmarkEnd w:id="16"/>
    </w:p>
    <w:p>
      <w:pPr>
        <w:spacing w:line="360" w:lineRule="auto"/>
        <w:ind w:firstLine="480" w:firstLineChars="200"/>
        <w:rPr>
          <w:rFonts w:ascii="宋体" w:hAnsi="宋体" w:cs="宋体"/>
          <w:sz w:val="24"/>
        </w:rPr>
      </w:pPr>
      <w:r>
        <w:rPr>
          <w:rFonts w:hint="eastAsia" w:ascii="宋体" w:hAnsi="宋体" w:cs="宋体"/>
          <w:sz w:val="24"/>
        </w:rPr>
        <w:t>一、付款方式：每月5日前将上月招标方签字的用水清单和正式发票交招标方验收，每月10日前将结款。</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二、协议期限与其他</w:t>
      </w:r>
    </w:p>
    <w:p>
      <w:pPr>
        <w:spacing w:line="360" w:lineRule="auto"/>
        <w:ind w:firstLine="480" w:firstLineChars="20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1、本项目合同有效期限为</w:t>
      </w:r>
      <w:r>
        <w:rPr>
          <w:rFonts w:hint="eastAsia" w:asciiTheme="minorEastAsia" w:hAnsiTheme="minorEastAsia" w:eastAsiaTheme="minorEastAsia" w:cstheme="minorEastAsia"/>
          <w:b/>
          <w:bCs/>
          <w:sz w:val="24"/>
        </w:rPr>
        <w:t>2021年9月1日至</w:t>
      </w:r>
      <w:r>
        <w:rPr>
          <w:rFonts w:hint="eastAsia" w:asciiTheme="minorEastAsia" w:hAnsiTheme="minorEastAsia" w:eastAsiaTheme="minorEastAsia" w:cstheme="minorEastAsia"/>
          <w:b/>
          <w:bCs/>
          <w:color w:val="000000" w:themeColor="text1"/>
          <w:sz w:val="24"/>
          <w14:textFill>
            <w14:solidFill>
              <w14:schemeClr w14:val="tx1"/>
            </w14:solidFill>
          </w14:textFill>
        </w:rPr>
        <w:t>2023年7月31日</w:t>
      </w:r>
      <w:r>
        <w:rPr>
          <w:rFonts w:hint="eastAsia" w:asciiTheme="minorEastAsia" w:hAnsiTheme="minorEastAsia" w:eastAsiaTheme="minorEastAsia" w:cstheme="minorEastAsia"/>
          <w:sz w:val="24"/>
        </w:rPr>
        <w:t>，合同经双方签字盖章之日起生效。</w:t>
      </w:r>
      <w:r>
        <w:rPr>
          <w:rFonts w:asciiTheme="minorEastAsia" w:hAnsiTheme="minorEastAsia" w:eastAsiaTheme="minorEastAsia" w:cstheme="minorEastAsia"/>
          <w:sz w:val="24"/>
        </w:rPr>
        <w:t>中标</w:t>
      </w:r>
      <w:r>
        <w:rPr>
          <w:rFonts w:hint="eastAsia" w:asciiTheme="minorEastAsia" w:hAnsiTheme="minorEastAsia" w:eastAsiaTheme="minorEastAsia" w:cstheme="minorEastAsia"/>
          <w:sz w:val="24"/>
        </w:rPr>
        <w:t>单位签订合同</w:t>
      </w:r>
      <w:r>
        <w:rPr>
          <w:rFonts w:asciiTheme="minorEastAsia" w:hAnsiTheme="minorEastAsia" w:eastAsiaTheme="minorEastAsia" w:cstheme="minorEastAsia"/>
          <w:sz w:val="24"/>
        </w:rPr>
        <w:t>时</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需签订</w:t>
      </w:r>
      <w:r>
        <w:rPr>
          <w:rFonts w:hint="eastAsia" w:asciiTheme="minorEastAsia" w:hAnsiTheme="minorEastAsia" w:eastAsiaTheme="minorEastAsia" w:cstheme="minorEastAsia"/>
          <w:sz w:val="24"/>
        </w:rPr>
        <w:t>《热水供应安全管理责任书》</w:t>
      </w:r>
      <w:r>
        <w:rPr>
          <w:rFonts w:hint="eastAsia" w:asciiTheme="minorEastAsia" w:hAnsiTheme="minorEastAsia" w:eastAsiaTheme="minorEastAsia" w:cstheme="minorEastAsia"/>
          <w:sz w:val="24"/>
          <w:lang w:eastAsia="zh-CN"/>
        </w:rPr>
        <w:t>。</w:t>
      </w:r>
    </w:p>
    <w:p>
      <w:pPr>
        <w:pStyle w:val="2"/>
        <w:spacing w:line="360" w:lineRule="auto"/>
        <w:ind w:firstLine="482" w:firstLineChars="200"/>
        <w:rPr>
          <w:rFonts w:ascii="宋体" w:hAnsi="宋体" w:cs="宋体"/>
          <w:b/>
          <w:bCs/>
        </w:rPr>
      </w:pPr>
      <w:r>
        <w:rPr>
          <w:rFonts w:hint="eastAsia" w:ascii="宋体" w:hAnsi="宋体" w:cs="宋体"/>
          <w:b/>
          <w:bCs/>
        </w:rPr>
        <w:t>2、因前期合作单位于2017年8月为啬园校区公寓楼22#、23#提供了热水设备各一套及相关管路，价值24万元，按六年折旧，截止2021年7月余残值8万元。此费用由中标单位支付给该合作单位。</w:t>
      </w:r>
    </w:p>
    <w:p>
      <w:pPr>
        <w:pStyle w:val="2"/>
        <w:spacing w:line="360" w:lineRule="auto"/>
        <w:ind w:firstLine="482" w:firstLineChars="200"/>
        <w:rPr>
          <w:rFonts w:ascii="宋体" w:hAnsi="宋体" w:cs="宋体"/>
          <w:b/>
          <w:bCs/>
        </w:rPr>
      </w:pPr>
      <w:r>
        <w:rPr>
          <w:rFonts w:hint="eastAsia" w:ascii="宋体" w:hAnsi="宋体" w:cs="宋体"/>
          <w:b/>
          <w:bCs/>
        </w:rPr>
        <w:t>3、因前期合作单位于2017年8月为啬园校区公寓楼11#-19#提供了热水设备及相关管路，价值为12万元，按六年折旧，截止2021年7月余残值4万元，此费用由中标单位支付给该合作单位。</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2、在热水供需合作过程中，中标单位必须按时、保质、保量送到指定位置。</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3、中标单位若因设备检修，必须提前一天通知，以便双方都能从容处置。</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4、中标单位设施、设备需临时抢修，必须提前通知招标方，若遇自然灾害等不可抗力的原因影响，则按《合同法》的规定执行。</w:t>
      </w:r>
    </w:p>
    <w:p>
      <w:pPr>
        <w:widowControl/>
        <w:jc w:val="left"/>
        <w:rPr>
          <w:b/>
          <w:bCs/>
          <w:sz w:val="44"/>
          <w:szCs w:val="44"/>
        </w:rPr>
      </w:pPr>
      <w:r>
        <w:rPr>
          <w:b/>
          <w:bCs/>
          <w:sz w:val="44"/>
          <w:szCs w:val="44"/>
        </w:rPr>
        <w:br w:type="page"/>
      </w:r>
    </w:p>
    <w:p>
      <w:pPr>
        <w:pStyle w:val="3"/>
        <w:jc w:val="center"/>
        <w:rPr>
          <w:rFonts w:ascii="宋体"/>
          <w:b w:val="0"/>
          <w:spacing w:val="4"/>
        </w:rPr>
      </w:pPr>
      <w:bookmarkStart w:id="17" w:name="_Toc76388982"/>
      <w:r>
        <w:rPr>
          <w:rFonts w:hint="eastAsia"/>
        </w:rPr>
        <w:t>第六部分</w:t>
      </w:r>
      <w:r>
        <w:t xml:space="preserve">  </w:t>
      </w:r>
      <w:r>
        <w:rPr>
          <w:rFonts w:hint="eastAsia"/>
        </w:rPr>
        <w:t>附</w:t>
      </w:r>
      <w:r>
        <w:t xml:space="preserve">  </w:t>
      </w:r>
      <w:r>
        <w:rPr>
          <w:rFonts w:hint="eastAsia"/>
        </w:rPr>
        <w:t>件</w:t>
      </w:r>
      <w:bookmarkEnd w:id="17"/>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hAnsi="宋体"/>
          <w:spacing w:val="4"/>
          <w:sz w:val="24"/>
        </w:rPr>
      </w:pPr>
      <w:r>
        <w:rPr>
          <w:rFonts w:hint="eastAsia" w:ascii="宋体" w:hAnsi="宋体"/>
          <w:spacing w:val="4"/>
          <w:sz w:val="24"/>
        </w:rPr>
        <w:t>附件2：服务业绩表</w:t>
      </w:r>
    </w:p>
    <w:p>
      <w:pPr>
        <w:spacing w:line="360" w:lineRule="auto"/>
        <w:rPr>
          <w:rFonts w:ascii="宋体" w:hAnsi="宋体"/>
          <w:spacing w:val="4"/>
          <w:sz w:val="24"/>
        </w:rPr>
      </w:pPr>
      <w:r>
        <w:rPr>
          <w:rFonts w:hint="eastAsia" w:ascii="宋体" w:hAnsi="宋体"/>
          <w:spacing w:val="4"/>
          <w:sz w:val="24"/>
        </w:rPr>
        <w:t>附件3：投标报价总表</w:t>
      </w:r>
    </w:p>
    <w:p>
      <w:pPr>
        <w:spacing w:line="360" w:lineRule="auto"/>
        <w:rPr>
          <w:rFonts w:ascii="宋体" w:hAnsi="宋体"/>
          <w:spacing w:val="4"/>
          <w:sz w:val="24"/>
        </w:rPr>
      </w:pPr>
      <w:r>
        <w:rPr>
          <w:rFonts w:hint="eastAsia" w:ascii="宋体" w:hAnsi="宋体"/>
          <w:spacing w:val="4"/>
          <w:sz w:val="24"/>
        </w:rPr>
        <w:t>附件4：法定代表人资格证明</w:t>
      </w:r>
    </w:p>
    <w:p>
      <w:pPr>
        <w:spacing w:line="360" w:lineRule="auto"/>
        <w:rPr>
          <w:rFonts w:ascii="宋体" w:hAnsi="宋体"/>
          <w:spacing w:val="4"/>
          <w:sz w:val="24"/>
        </w:rPr>
      </w:pPr>
      <w:r>
        <w:rPr>
          <w:rFonts w:hint="eastAsia" w:ascii="宋体" w:hAnsi="宋体"/>
          <w:spacing w:val="4"/>
          <w:sz w:val="24"/>
        </w:rPr>
        <w:t>附件5：法定代表人授权书</w:t>
      </w:r>
    </w:p>
    <w:p>
      <w:pPr>
        <w:spacing w:line="360" w:lineRule="auto"/>
        <w:rPr>
          <w:rFonts w:ascii="宋体" w:hAnsi="宋体"/>
          <w:spacing w:val="4"/>
          <w:sz w:val="24"/>
        </w:rPr>
      </w:pPr>
      <w:bookmarkStart w:id="18" w:name="_Toc22457"/>
      <w:bookmarkStart w:id="19" w:name="_Toc28655"/>
      <w:r>
        <w:rPr>
          <w:rFonts w:hint="eastAsia" w:ascii="宋体" w:hAnsi="宋体"/>
          <w:spacing w:val="4"/>
          <w:sz w:val="24"/>
        </w:rPr>
        <w:t>附件6：南通大学采购谈判二次报价单</w:t>
      </w:r>
      <w:bookmarkEnd w:id="18"/>
      <w:bookmarkEnd w:id="19"/>
    </w:p>
    <w:p>
      <w:pPr>
        <w:spacing w:line="360" w:lineRule="auto"/>
        <w:rPr>
          <w:rFonts w:ascii="宋体" w:hAnsi="宋体"/>
          <w:spacing w:val="4"/>
          <w:sz w:val="24"/>
        </w:rPr>
      </w:pPr>
      <w:bookmarkStart w:id="20" w:name="_Toc5641"/>
      <w:bookmarkStart w:id="21" w:name="_Toc5505"/>
      <w:r>
        <w:rPr>
          <w:rFonts w:hint="eastAsia" w:ascii="宋体" w:hAnsi="宋体"/>
          <w:spacing w:val="4"/>
          <w:sz w:val="24"/>
        </w:rPr>
        <w:t>附件7：</w:t>
      </w:r>
      <w:r>
        <w:rPr>
          <w:rFonts w:ascii="宋体" w:hAnsi="宋体"/>
          <w:spacing w:val="4"/>
          <w:sz w:val="24"/>
        </w:rPr>
        <w:t>无重大违法记录声明</w:t>
      </w:r>
      <w:bookmarkEnd w:id="20"/>
      <w:bookmarkEnd w:id="21"/>
    </w:p>
    <w:p>
      <w:pPr>
        <w:spacing w:line="360" w:lineRule="auto"/>
        <w:rPr>
          <w:rFonts w:ascii="宋体" w:hAnsi="宋体"/>
          <w:spacing w:val="4"/>
          <w:sz w:val="24"/>
        </w:rPr>
      </w:pPr>
      <w:bookmarkStart w:id="22" w:name="_Toc2806"/>
      <w:bookmarkStart w:id="23" w:name="_Toc32445"/>
      <w:r>
        <w:rPr>
          <w:rFonts w:hint="eastAsia" w:ascii="宋体" w:hAnsi="宋体"/>
          <w:spacing w:val="4"/>
          <w:sz w:val="24"/>
        </w:rPr>
        <w:t>附件8：诚信承诺书</w:t>
      </w:r>
      <w:bookmarkEnd w:id="22"/>
      <w:bookmarkEnd w:id="23"/>
    </w:p>
    <w:p>
      <w:pPr>
        <w:spacing w:line="360" w:lineRule="auto"/>
        <w:rPr>
          <w:rFonts w:hint="eastAsia" w:ascii="宋体" w:hAnsi="宋体"/>
          <w:spacing w:val="4"/>
          <w:sz w:val="24"/>
        </w:rPr>
      </w:pPr>
      <w:r>
        <w:rPr>
          <w:rFonts w:hint="eastAsia" w:ascii="宋体" w:hAnsi="宋体"/>
          <w:spacing w:val="4"/>
          <w:sz w:val="24"/>
        </w:rPr>
        <w:t>附件</w:t>
      </w:r>
      <w:r>
        <w:rPr>
          <w:rFonts w:ascii="宋体" w:hAnsi="宋体"/>
          <w:spacing w:val="4"/>
          <w:sz w:val="24"/>
        </w:rPr>
        <w:t>9</w:t>
      </w:r>
      <w:r>
        <w:rPr>
          <w:rFonts w:hint="eastAsia" w:ascii="宋体" w:hAnsi="宋体"/>
          <w:spacing w:val="4"/>
          <w:sz w:val="24"/>
        </w:rPr>
        <w:t>：《热水供应安全管理责任书》</w:t>
      </w:r>
    </w:p>
    <w:p>
      <w:pPr>
        <w:spacing w:line="360" w:lineRule="auto"/>
        <w:outlineLvl w:val="0"/>
        <w:rPr>
          <w:rFonts w:cs="宋体"/>
          <w:color w:val="000000" w:themeColor="text1"/>
          <w:sz w:val="24"/>
          <w14:textFill>
            <w14:solidFill>
              <w14:schemeClr w14:val="tx1"/>
            </w14:solidFill>
          </w14:textFill>
        </w:rPr>
      </w:pPr>
    </w:p>
    <w:p>
      <w:pPr>
        <w:pStyle w:val="2"/>
        <w:rPr>
          <w:rFonts w:hint="eastAsia"/>
        </w:rPr>
      </w:pPr>
    </w:p>
    <w:p>
      <w:pPr>
        <w:pStyle w:val="4"/>
        <w:rPr>
          <w:b w:val="0"/>
          <w:sz w:val="21"/>
          <w:szCs w:val="21"/>
        </w:rPr>
      </w:pPr>
      <w:r>
        <w:rPr>
          <w:sz w:val="24"/>
        </w:rPr>
        <w:br w:type="page"/>
      </w:r>
      <w:bookmarkStart w:id="24" w:name="_Toc76388983"/>
      <w:r>
        <w:rPr>
          <w:rFonts w:hint="eastAsia"/>
          <w:b w:val="0"/>
          <w:sz w:val="21"/>
          <w:szCs w:val="21"/>
        </w:rPr>
        <w:t>附件</w:t>
      </w:r>
      <w:r>
        <w:rPr>
          <w:b w:val="0"/>
          <w:sz w:val="21"/>
          <w:szCs w:val="21"/>
        </w:rPr>
        <w:t>1</w:t>
      </w:r>
      <w:r>
        <w:rPr>
          <w:rFonts w:hint="eastAsia"/>
          <w:b w:val="0"/>
          <w:sz w:val="21"/>
          <w:szCs w:val="21"/>
        </w:rPr>
        <w:t>：投标函</w:t>
      </w:r>
      <w:bookmarkEnd w:id="24"/>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sz w:val="24"/>
        </w:rPr>
      </w:pPr>
      <w:r>
        <w:rPr>
          <w:sz w:val="24"/>
        </w:rPr>
        <w:t>2</w:t>
      </w:r>
      <w:r>
        <w:rPr>
          <w:rFonts w:hint="eastAsia"/>
          <w:sz w:val="24"/>
        </w:rPr>
        <w:t>、愿按竞争性磋商文件的要求提供热水供应服务，投标单价为：（小写）每吨</w:t>
      </w:r>
      <w:r>
        <w:rPr>
          <w:sz w:val="24"/>
          <w:u w:val="single"/>
        </w:rPr>
        <w:t xml:space="preserve">   </w:t>
      </w:r>
      <w:r>
        <w:rPr>
          <w:rFonts w:hint="eastAsia"/>
          <w:sz w:val="24"/>
          <w:u w:val="single"/>
        </w:rPr>
        <w:t xml:space="preserve">     </w:t>
      </w:r>
      <w:r>
        <w:rPr>
          <w:rFonts w:hint="eastAsia"/>
          <w:sz w:val="24"/>
        </w:rPr>
        <w:t>元，</w:t>
      </w:r>
    </w:p>
    <w:p>
      <w:pPr>
        <w:spacing w:line="360" w:lineRule="auto"/>
        <w:rPr>
          <w:sz w:val="24"/>
        </w:rPr>
      </w:pPr>
      <w:r>
        <w:rPr>
          <w:rFonts w:hint="eastAsia"/>
          <w:sz w:val="24"/>
        </w:rPr>
        <w:t>（大写）每吨</w:t>
      </w:r>
      <w:r>
        <w:rPr>
          <w:sz w:val="24"/>
          <w:u w:val="single"/>
        </w:rPr>
        <w:t xml:space="preserve">   </w:t>
      </w:r>
      <w:r>
        <w:rPr>
          <w:rFonts w:hint="eastAsia"/>
          <w:sz w:val="24"/>
          <w:u w:val="single"/>
        </w:rPr>
        <w:t xml:space="preserve">        </w:t>
      </w:r>
      <w:r>
        <w:rPr>
          <w:rFonts w:hint="eastAsia"/>
          <w:sz w:val="24"/>
        </w:rPr>
        <w:t>元。</w:t>
      </w:r>
    </w:p>
    <w:p>
      <w:pPr>
        <w:spacing w:line="360" w:lineRule="auto"/>
        <w:ind w:firstLine="480" w:firstLineChars="200"/>
        <w:rPr>
          <w:sz w:val="24"/>
        </w:rPr>
      </w:pPr>
      <w:r>
        <w:rPr>
          <w:sz w:val="24"/>
        </w:rPr>
        <w:t>3</w:t>
      </w:r>
      <w:r>
        <w:rPr>
          <w:rFonts w:hint="eastAsia"/>
          <w:sz w:val="24"/>
        </w:rPr>
        <w:t>、接受竞争性磋商文件的所有条款、条件和</w:t>
      </w:r>
      <w:r>
        <w:rPr>
          <w:rFonts w:hint="eastAsia" w:ascii="宋体" w:hAnsi="宋体"/>
          <w:bCs/>
          <w:sz w:val="24"/>
        </w:rPr>
        <w:t>规定</w:t>
      </w:r>
      <w:r>
        <w:rPr>
          <w:rFonts w:hint="eastAsia"/>
          <w:sz w:val="24"/>
        </w:rPr>
        <w:t>，</w:t>
      </w:r>
      <w:r>
        <w:rPr>
          <w:rFonts w:hint="eastAsia" w:ascii="宋体" w:hAnsi="宋体"/>
          <w:bCs/>
          <w:sz w:val="24"/>
        </w:rPr>
        <w:t>放弃对竞争性磋商文件提出质疑的权利。</w:t>
      </w:r>
    </w:p>
    <w:p>
      <w:pPr>
        <w:spacing w:line="360" w:lineRule="auto"/>
        <w:ind w:firstLine="480" w:firstLineChars="200"/>
        <w:rPr>
          <w:sz w:val="24"/>
        </w:rPr>
      </w:pPr>
      <w:r>
        <w:rPr>
          <w:sz w:val="24"/>
        </w:rPr>
        <w:t>4</w:t>
      </w:r>
      <w:r>
        <w:rPr>
          <w:rFonts w:hint="eastAsia"/>
          <w:sz w:val="24"/>
        </w:rPr>
        <w:t>、同意按照竞争性磋商文件的要求提供所有资料、数据或信息。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、我方如中标，将保证遵守竞争性磋商文件对投标人的所有要求和规定，履行自己在投标文件中承诺的全部责任和义务。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6"/>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sz w:val="24"/>
              </w:rPr>
            </w:pPr>
            <w:r>
              <w:rPr>
                <w:rFonts w:hint="eastAsia"/>
                <w:sz w:val="24"/>
              </w:rPr>
              <w:t>投 标 人（公章）：</w:t>
            </w:r>
          </w:p>
        </w:tc>
        <w:tc>
          <w:tcPr>
            <w:tcW w:w="4678" w:type="dxa"/>
            <w:tcBorders>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ascii="Adobe 黑体 Std R" w:hAnsi="Adobe 黑体 Std R" w:eastAsia="Adobe 黑体 Std R"/>
                <w:sz w:val="24"/>
              </w:rPr>
              <w:t>E  m  a  i  l</w:t>
            </w:r>
            <w:r>
              <w:rPr>
                <w:rFonts w:hint="eastAsia"/>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spacing w:line="360" w:lineRule="auto"/>
        <w:ind w:firstLine="480" w:firstLineChars="200"/>
        <w:rPr>
          <w:sz w:val="24"/>
        </w:rPr>
      </w:pPr>
    </w:p>
    <w:p>
      <w:pPr>
        <w:rPr>
          <w:color w:val="000000" w:themeColor="text1"/>
          <w:szCs w:val="21"/>
          <w14:textFill>
            <w14:solidFill>
              <w14:schemeClr w14:val="tx1"/>
            </w14:solidFill>
          </w14:textFill>
        </w:rPr>
      </w:pPr>
      <w:bookmarkStart w:id="25" w:name="_Toc40968813"/>
      <w:bookmarkStart w:id="26" w:name="_Toc37838053"/>
      <w:r>
        <w:rPr>
          <w:rFonts w:hint="eastAsia"/>
          <w:color w:val="000000" w:themeColor="text1"/>
          <w:szCs w:val="21"/>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7" w:name="_Toc76388984"/>
      <w:r>
        <w:rPr>
          <w:rFonts w:hint="eastAsia"/>
          <w:b w:val="0"/>
          <w:color w:val="000000" w:themeColor="text1"/>
          <w:sz w:val="21"/>
          <w:szCs w:val="21"/>
          <w14:textFill>
            <w14:solidFill>
              <w14:schemeClr w14:val="tx1"/>
            </w14:solidFill>
          </w14:textFill>
        </w:rPr>
        <w:t>附件2 :服务业绩表</w:t>
      </w:r>
      <w:bookmarkEnd w:id="25"/>
      <w:bookmarkEnd w:id="26"/>
      <w:bookmarkEnd w:id="27"/>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服务业绩表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项目编号：</w:t>
      </w:r>
      <w:r>
        <w:rPr>
          <w:rFonts w:hint="eastAsia"/>
          <w:color w:val="000000" w:themeColor="text1"/>
          <w:sz w:val="24"/>
          <w:u w:val="single"/>
          <w14:textFill>
            <w14:solidFill>
              <w14:schemeClr w14:val="tx1"/>
            </w14:solidFill>
          </w14:textFill>
        </w:rPr>
        <w:t xml:space="preserve">                       </w:t>
      </w:r>
    </w:p>
    <w:p>
      <w:pPr>
        <w:spacing w:line="360" w:lineRule="auto"/>
        <w:rPr>
          <w:color w:val="000000" w:themeColor="text1"/>
          <w:sz w:val="24"/>
          <w:u w:val="single"/>
          <w14:textFill>
            <w14:solidFill>
              <w14:schemeClr w14:val="tx1"/>
            </w14:solidFill>
          </w14:textFill>
        </w:rPr>
      </w:pPr>
    </w:p>
    <w:p>
      <w:pPr>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投标人按年度列出2018年1月至今与本次采购项目类似的服务业绩（合同原件携带备查）</w:t>
      </w:r>
    </w:p>
    <w:tbl>
      <w:tblPr>
        <w:tblStyle w:val="16"/>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436"/>
        <w:gridCol w:w="2258"/>
        <w:gridCol w:w="2053"/>
        <w:gridCol w:w="3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序号</w:t>
            </w:r>
          </w:p>
        </w:tc>
        <w:tc>
          <w:tcPr>
            <w:tcW w:w="1436"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服务时间</w:t>
            </w:r>
          </w:p>
        </w:tc>
        <w:tc>
          <w:tcPr>
            <w:tcW w:w="225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单位名称</w:t>
            </w:r>
          </w:p>
        </w:tc>
        <w:tc>
          <w:tcPr>
            <w:tcW w:w="2053"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联系人</w:t>
            </w:r>
          </w:p>
        </w:tc>
        <w:tc>
          <w:tcPr>
            <w:tcW w:w="308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bl>
    <w:p>
      <w:pPr>
        <w:snapToGrid w:val="0"/>
        <w:spacing w:line="360" w:lineRule="auto"/>
        <w:ind w:right="-351" w:rightChars="-167"/>
        <w:rPr>
          <w:rFonts w:ascii="宋体"/>
          <w:spacing w:val="4"/>
          <w:sz w:val="24"/>
        </w:rPr>
        <w:sectPr>
          <w:footerReference r:id="rId5" w:type="first"/>
          <w:footerReference r:id="rId4" w:type="default"/>
          <w:pgSz w:w="11906" w:h="16838"/>
          <w:pgMar w:top="1440" w:right="746" w:bottom="1440" w:left="1080" w:header="851" w:footer="992" w:gutter="0"/>
          <w:pgNumType w:start="1"/>
          <w:cols w:space="425" w:num="1"/>
          <w:titlePg/>
          <w:docGrid w:type="lines" w:linePitch="312" w:charSpace="0"/>
        </w:sectPr>
      </w:pPr>
    </w:p>
    <w:p>
      <w:pPr>
        <w:pStyle w:val="4"/>
        <w:rPr>
          <w:b w:val="0"/>
          <w:sz w:val="21"/>
          <w:szCs w:val="21"/>
        </w:rPr>
      </w:pPr>
      <w:bookmarkStart w:id="28" w:name="_Toc76388985"/>
      <w:r>
        <w:rPr>
          <w:rFonts w:hint="eastAsia"/>
          <w:b w:val="0"/>
          <w:sz w:val="21"/>
          <w:szCs w:val="21"/>
        </w:rPr>
        <w:t>附件3：投标报价总表</w:t>
      </w:r>
      <w:bookmarkEnd w:id="28"/>
    </w:p>
    <w:p>
      <w:pPr>
        <w:snapToGrid w:val="0"/>
        <w:spacing w:line="360" w:lineRule="auto"/>
        <w:ind w:right="-350" w:rightChars="-167"/>
        <w:jc w:val="center"/>
        <w:rPr>
          <w:rFonts w:ascii="宋体"/>
          <w:b/>
          <w:sz w:val="36"/>
          <w:szCs w:val="36"/>
        </w:rPr>
      </w:pPr>
      <w:r>
        <w:rPr>
          <w:rFonts w:hint="eastAsia" w:ascii="宋体"/>
          <w:b/>
          <w:sz w:val="36"/>
          <w:szCs w:val="36"/>
        </w:rPr>
        <w:t>投</w:t>
      </w:r>
      <w:r>
        <w:rPr>
          <w:rFonts w:ascii="宋体"/>
          <w:b/>
          <w:sz w:val="36"/>
          <w:szCs w:val="36"/>
        </w:rPr>
        <w:t xml:space="preserve"> </w:t>
      </w:r>
      <w:r>
        <w:rPr>
          <w:rFonts w:hint="eastAsia" w:ascii="宋体"/>
          <w:b/>
          <w:sz w:val="36"/>
          <w:szCs w:val="36"/>
        </w:rPr>
        <w:t>标</w:t>
      </w:r>
      <w:r>
        <w:rPr>
          <w:rFonts w:ascii="宋体"/>
          <w:b/>
          <w:sz w:val="36"/>
          <w:szCs w:val="36"/>
        </w:rPr>
        <w:t xml:space="preserve"> </w:t>
      </w:r>
      <w:r>
        <w:rPr>
          <w:rFonts w:hint="eastAsia" w:ascii="宋体"/>
          <w:b/>
          <w:sz w:val="36"/>
          <w:szCs w:val="36"/>
        </w:rPr>
        <w:t>报</w:t>
      </w:r>
      <w:r>
        <w:rPr>
          <w:rFonts w:ascii="宋体"/>
          <w:b/>
          <w:sz w:val="36"/>
          <w:szCs w:val="36"/>
        </w:rPr>
        <w:t xml:space="preserve"> </w:t>
      </w:r>
      <w:r>
        <w:rPr>
          <w:rFonts w:hint="eastAsia" w:ascii="宋体"/>
          <w:b/>
          <w:sz w:val="36"/>
          <w:szCs w:val="36"/>
        </w:rPr>
        <w:t>价</w:t>
      </w:r>
      <w:r>
        <w:rPr>
          <w:rFonts w:ascii="宋体"/>
          <w:b/>
          <w:sz w:val="36"/>
          <w:szCs w:val="36"/>
        </w:rPr>
        <w:t xml:space="preserve"> </w:t>
      </w:r>
      <w:r>
        <w:rPr>
          <w:rFonts w:hint="eastAsia" w:ascii="宋体"/>
          <w:b/>
          <w:sz w:val="36"/>
          <w:szCs w:val="36"/>
        </w:rPr>
        <w:t>总</w:t>
      </w:r>
      <w:r>
        <w:rPr>
          <w:rFonts w:ascii="宋体"/>
          <w:b/>
          <w:sz w:val="36"/>
          <w:szCs w:val="36"/>
        </w:rPr>
        <w:t xml:space="preserve"> </w:t>
      </w:r>
      <w:r>
        <w:rPr>
          <w:rFonts w:hint="eastAsia" w:ascii="宋体"/>
          <w:b/>
          <w:sz w:val="36"/>
          <w:szCs w:val="36"/>
        </w:rPr>
        <w:t>表</w:t>
      </w:r>
    </w:p>
    <w:tbl>
      <w:tblPr>
        <w:tblStyle w:val="16"/>
        <w:tblW w:w="140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40"/>
        <w:gridCol w:w="1064"/>
        <w:gridCol w:w="3631"/>
        <w:gridCol w:w="1770"/>
        <w:gridCol w:w="2205"/>
        <w:gridCol w:w="1950"/>
        <w:gridCol w:w="20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trPr>
        <w:tc>
          <w:tcPr>
            <w:tcW w:w="1440" w:type="dxa"/>
            <w:vAlign w:val="center"/>
          </w:tcPr>
          <w:p>
            <w:pPr>
              <w:spacing w:line="360" w:lineRule="auto"/>
              <w:jc w:val="center"/>
              <w:rPr>
                <w:rFonts w:ascii="宋体" w:hAnsi="宋体"/>
                <w:b/>
                <w:szCs w:val="21"/>
              </w:rPr>
            </w:pPr>
            <w:r>
              <w:rPr>
                <w:rFonts w:hint="eastAsia" w:ascii="宋体" w:hAnsi="宋体"/>
                <w:b/>
                <w:sz w:val="24"/>
              </w:rPr>
              <w:t>项目名称</w:t>
            </w:r>
          </w:p>
        </w:tc>
        <w:tc>
          <w:tcPr>
            <w:tcW w:w="4695" w:type="dxa"/>
            <w:gridSpan w:val="2"/>
            <w:vAlign w:val="center"/>
          </w:tcPr>
          <w:p>
            <w:pPr>
              <w:spacing w:line="360" w:lineRule="auto"/>
              <w:rPr>
                <w:rFonts w:ascii="宋体" w:hAnsi="宋体"/>
                <w:b/>
                <w:sz w:val="24"/>
              </w:rPr>
            </w:pPr>
          </w:p>
        </w:tc>
        <w:tc>
          <w:tcPr>
            <w:tcW w:w="1770" w:type="dxa"/>
            <w:vAlign w:val="center"/>
          </w:tcPr>
          <w:p>
            <w:pPr>
              <w:spacing w:line="360" w:lineRule="auto"/>
              <w:jc w:val="center"/>
              <w:rPr>
                <w:rFonts w:ascii="宋体" w:hAnsi="宋体"/>
                <w:b/>
                <w:szCs w:val="21"/>
              </w:rPr>
            </w:pPr>
            <w:r>
              <w:rPr>
                <w:rFonts w:hint="eastAsia" w:ascii="宋体" w:hAnsi="宋体"/>
                <w:b/>
                <w:sz w:val="24"/>
              </w:rPr>
              <w:t>项目编号</w:t>
            </w:r>
          </w:p>
        </w:tc>
        <w:tc>
          <w:tcPr>
            <w:tcW w:w="6192" w:type="dxa"/>
            <w:gridSpan w:val="3"/>
            <w:vAlign w:val="center"/>
          </w:tcPr>
          <w:p>
            <w:pPr>
              <w:spacing w:line="360" w:lineRule="auto"/>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trPr>
        <w:tc>
          <w:tcPr>
            <w:tcW w:w="1440" w:type="dxa"/>
            <w:vAlign w:val="center"/>
          </w:tcPr>
          <w:p>
            <w:pPr>
              <w:spacing w:line="360" w:lineRule="auto"/>
              <w:jc w:val="center"/>
              <w:rPr>
                <w:rFonts w:ascii="宋体"/>
                <w:b/>
                <w:sz w:val="24"/>
              </w:rPr>
            </w:pPr>
            <w:r>
              <w:rPr>
                <w:rFonts w:hint="eastAsia" w:ascii="宋体" w:hAnsi="宋体"/>
                <w:b/>
                <w:sz w:val="24"/>
              </w:rPr>
              <w:t>序号</w:t>
            </w:r>
          </w:p>
        </w:tc>
        <w:tc>
          <w:tcPr>
            <w:tcW w:w="4695" w:type="dxa"/>
            <w:gridSpan w:val="2"/>
            <w:vAlign w:val="center"/>
          </w:tcPr>
          <w:p>
            <w:pPr>
              <w:spacing w:line="360" w:lineRule="auto"/>
              <w:jc w:val="center"/>
              <w:rPr>
                <w:rFonts w:ascii="宋体"/>
                <w:b/>
                <w:sz w:val="24"/>
              </w:rPr>
            </w:pPr>
            <w:r>
              <w:rPr>
                <w:rFonts w:hint="eastAsia" w:ascii="宋体" w:hAnsi="宋体"/>
                <w:b/>
                <w:sz w:val="24"/>
              </w:rPr>
              <w:t>货物名称</w:t>
            </w:r>
          </w:p>
        </w:tc>
        <w:tc>
          <w:tcPr>
            <w:tcW w:w="1770" w:type="dxa"/>
            <w:vAlign w:val="center"/>
          </w:tcPr>
          <w:p>
            <w:pPr>
              <w:spacing w:line="360" w:lineRule="auto"/>
              <w:jc w:val="center"/>
              <w:rPr>
                <w:rFonts w:ascii="宋体" w:hAnsi="宋体"/>
                <w:b/>
                <w:sz w:val="24"/>
              </w:rPr>
            </w:pPr>
            <w:r>
              <w:rPr>
                <w:rFonts w:hint="eastAsia" w:ascii="宋体" w:hAnsi="宋体"/>
                <w:b/>
                <w:sz w:val="24"/>
              </w:rPr>
              <w:t>数量（吨）</w:t>
            </w:r>
          </w:p>
        </w:tc>
        <w:tc>
          <w:tcPr>
            <w:tcW w:w="2205" w:type="dxa"/>
            <w:vAlign w:val="center"/>
          </w:tcPr>
          <w:p>
            <w:pPr>
              <w:spacing w:line="360" w:lineRule="auto"/>
              <w:jc w:val="center"/>
              <w:rPr>
                <w:rFonts w:ascii="宋体"/>
                <w:b/>
                <w:sz w:val="24"/>
              </w:rPr>
            </w:pPr>
            <w:r>
              <w:rPr>
                <w:rFonts w:hint="eastAsia" w:ascii="宋体" w:hAnsi="宋体"/>
                <w:b/>
                <w:sz w:val="24"/>
              </w:rPr>
              <w:t>单价（元/吨）</w:t>
            </w:r>
          </w:p>
        </w:tc>
        <w:tc>
          <w:tcPr>
            <w:tcW w:w="1950" w:type="dxa"/>
            <w:vAlign w:val="center"/>
          </w:tcPr>
          <w:p>
            <w:pPr>
              <w:spacing w:line="360" w:lineRule="auto"/>
              <w:jc w:val="center"/>
              <w:rPr>
                <w:rFonts w:ascii="宋体"/>
                <w:b/>
                <w:sz w:val="24"/>
              </w:rPr>
            </w:pPr>
            <w:r>
              <w:rPr>
                <w:rFonts w:hint="eastAsia" w:ascii="宋体" w:hAnsi="宋体"/>
                <w:b/>
                <w:sz w:val="24"/>
              </w:rPr>
              <w:t>总价（元）</w:t>
            </w:r>
          </w:p>
        </w:tc>
        <w:tc>
          <w:tcPr>
            <w:tcW w:w="2037" w:type="dxa"/>
            <w:vAlign w:val="center"/>
          </w:tcPr>
          <w:p>
            <w:pPr>
              <w:spacing w:line="360" w:lineRule="auto"/>
              <w:jc w:val="center"/>
              <w:rPr>
                <w:rFonts w:ascii="宋体"/>
                <w:b/>
                <w:sz w:val="24"/>
              </w:rPr>
            </w:pPr>
            <w:r>
              <w:rPr>
                <w:rFonts w:hint="eastAsia" w:ascii="宋体" w:hAnsi="宋体"/>
                <w:b/>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7" w:hRule="exact"/>
        </w:trPr>
        <w:tc>
          <w:tcPr>
            <w:tcW w:w="1440" w:type="dxa"/>
            <w:vAlign w:val="center"/>
          </w:tcPr>
          <w:p>
            <w:pPr>
              <w:spacing w:line="360" w:lineRule="auto"/>
              <w:jc w:val="center"/>
              <w:rPr>
                <w:rFonts w:ascii="宋体"/>
                <w:sz w:val="24"/>
              </w:rPr>
            </w:pPr>
            <w:r>
              <w:rPr>
                <w:rFonts w:hint="eastAsia" w:ascii="宋体"/>
                <w:sz w:val="24"/>
              </w:rPr>
              <w:t>1</w:t>
            </w:r>
          </w:p>
        </w:tc>
        <w:tc>
          <w:tcPr>
            <w:tcW w:w="4695" w:type="dxa"/>
            <w:gridSpan w:val="2"/>
            <w:vAlign w:val="center"/>
          </w:tcPr>
          <w:p>
            <w:pPr>
              <w:spacing w:line="360" w:lineRule="auto"/>
              <w:jc w:val="center"/>
              <w:rPr>
                <w:rFonts w:ascii="宋体"/>
                <w:sz w:val="24"/>
              </w:rPr>
            </w:pPr>
            <w:r>
              <w:rPr>
                <w:rFonts w:hint="eastAsia" w:ascii="宋体"/>
                <w:sz w:val="24"/>
              </w:rPr>
              <w:t>洗浴用热水</w:t>
            </w:r>
          </w:p>
        </w:tc>
        <w:tc>
          <w:tcPr>
            <w:tcW w:w="1770" w:type="dxa"/>
            <w:vAlign w:val="center"/>
          </w:tcPr>
          <w:p>
            <w:pPr>
              <w:spacing w:line="360" w:lineRule="auto"/>
              <w:jc w:val="center"/>
              <w:rPr>
                <w:rFonts w:ascii="宋体"/>
                <w:sz w:val="24"/>
              </w:rPr>
            </w:pPr>
            <w:r>
              <w:rPr>
                <w:rFonts w:hint="eastAsia" w:ascii="宋体"/>
                <w:sz w:val="24"/>
              </w:rPr>
              <w:t>约33000吨</w:t>
            </w:r>
          </w:p>
        </w:tc>
        <w:tc>
          <w:tcPr>
            <w:tcW w:w="2205" w:type="dxa"/>
            <w:vAlign w:val="center"/>
          </w:tcPr>
          <w:p>
            <w:pPr>
              <w:spacing w:line="360" w:lineRule="auto"/>
              <w:jc w:val="center"/>
              <w:rPr>
                <w:rFonts w:ascii="宋体"/>
                <w:sz w:val="28"/>
                <w:szCs w:val="28"/>
              </w:rPr>
            </w:pPr>
          </w:p>
        </w:tc>
        <w:tc>
          <w:tcPr>
            <w:tcW w:w="1950" w:type="dxa"/>
            <w:vAlign w:val="center"/>
          </w:tcPr>
          <w:p>
            <w:pPr>
              <w:spacing w:line="360" w:lineRule="auto"/>
              <w:jc w:val="center"/>
              <w:rPr>
                <w:rFonts w:ascii="宋体"/>
                <w:sz w:val="28"/>
                <w:szCs w:val="28"/>
              </w:rPr>
            </w:pPr>
          </w:p>
        </w:tc>
        <w:tc>
          <w:tcPr>
            <w:tcW w:w="2037" w:type="dxa"/>
            <w:vAlign w:val="center"/>
          </w:tcPr>
          <w:p>
            <w:pPr>
              <w:spacing w:line="360" w:lineRule="auto"/>
              <w:jc w:val="center"/>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7" w:hRule="exact"/>
        </w:trPr>
        <w:tc>
          <w:tcPr>
            <w:tcW w:w="1440" w:type="dxa"/>
          </w:tcPr>
          <w:p>
            <w:pPr>
              <w:spacing w:line="360" w:lineRule="auto"/>
              <w:rPr>
                <w:rFonts w:ascii="宋体"/>
                <w:sz w:val="28"/>
                <w:szCs w:val="28"/>
              </w:rPr>
            </w:pPr>
          </w:p>
        </w:tc>
        <w:tc>
          <w:tcPr>
            <w:tcW w:w="4695" w:type="dxa"/>
            <w:gridSpan w:val="2"/>
          </w:tcPr>
          <w:p>
            <w:pPr>
              <w:spacing w:line="360" w:lineRule="auto"/>
              <w:rPr>
                <w:rFonts w:ascii="宋体"/>
                <w:sz w:val="28"/>
                <w:szCs w:val="28"/>
              </w:rPr>
            </w:pPr>
          </w:p>
        </w:tc>
        <w:tc>
          <w:tcPr>
            <w:tcW w:w="1770" w:type="dxa"/>
            <w:vAlign w:val="center"/>
          </w:tcPr>
          <w:p>
            <w:pPr>
              <w:spacing w:line="360" w:lineRule="auto"/>
              <w:jc w:val="center"/>
              <w:rPr>
                <w:rFonts w:ascii="宋体"/>
                <w:sz w:val="28"/>
                <w:szCs w:val="28"/>
              </w:rPr>
            </w:pPr>
          </w:p>
        </w:tc>
        <w:tc>
          <w:tcPr>
            <w:tcW w:w="2205" w:type="dxa"/>
          </w:tcPr>
          <w:p>
            <w:pPr>
              <w:spacing w:line="360" w:lineRule="auto"/>
              <w:rPr>
                <w:rFonts w:ascii="宋体"/>
                <w:sz w:val="28"/>
                <w:szCs w:val="28"/>
              </w:rPr>
            </w:pPr>
          </w:p>
        </w:tc>
        <w:tc>
          <w:tcPr>
            <w:tcW w:w="1950" w:type="dxa"/>
          </w:tcPr>
          <w:p>
            <w:pPr>
              <w:spacing w:line="360" w:lineRule="auto"/>
              <w:rPr>
                <w:rFonts w:ascii="宋体"/>
                <w:sz w:val="28"/>
                <w:szCs w:val="28"/>
              </w:rPr>
            </w:pPr>
          </w:p>
        </w:tc>
        <w:tc>
          <w:tcPr>
            <w:tcW w:w="2037" w:type="dxa"/>
          </w:tcPr>
          <w:p>
            <w:pPr>
              <w:spacing w:line="360" w:lineRule="auto"/>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2" w:hRule="exact"/>
        </w:trPr>
        <w:tc>
          <w:tcPr>
            <w:tcW w:w="1440" w:type="dxa"/>
          </w:tcPr>
          <w:p>
            <w:pPr>
              <w:spacing w:line="360" w:lineRule="auto"/>
              <w:rPr>
                <w:rFonts w:ascii="宋体"/>
                <w:sz w:val="28"/>
                <w:szCs w:val="28"/>
              </w:rPr>
            </w:pPr>
          </w:p>
        </w:tc>
        <w:tc>
          <w:tcPr>
            <w:tcW w:w="4695" w:type="dxa"/>
            <w:gridSpan w:val="2"/>
          </w:tcPr>
          <w:p>
            <w:pPr>
              <w:spacing w:line="360" w:lineRule="auto"/>
              <w:rPr>
                <w:rFonts w:ascii="宋体"/>
                <w:sz w:val="28"/>
                <w:szCs w:val="28"/>
              </w:rPr>
            </w:pPr>
          </w:p>
        </w:tc>
        <w:tc>
          <w:tcPr>
            <w:tcW w:w="1770" w:type="dxa"/>
            <w:vAlign w:val="center"/>
          </w:tcPr>
          <w:p>
            <w:pPr>
              <w:spacing w:line="360" w:lineRule="auto"/>
              <w:jc w:val="center"/>
              <w:rPr>
                <w:rFonts w:ascii="宋体"/>
                <w:sz w:val="28"/>
                <w:szCs w:val="28"/>
              </w:rPr>
            </w:pPr>
          </w:p>
        </w:tc>
        <w:tc>
          <w:tcPr>
            <w:tcW w:w="2205" w:type="dxa"/>
          </w:tcPr>
          <w:p>
            <w:pPr>
              <w:spacing w:line="360" w:lineRule="auto"/>
              <w:rPr>
                <w:rFonts w:ascii="宋体"/>
                <w:sz w:val="28"/>
                <w:szCs w:val="28"/>
              </w:rPr>
            </w:pPr>
          </w:p>
        </w:tc>
        <w:tc>
          <w:tcPr>
            <w:tcW w:w="1950" w:type="dxa"/>
          </w:tcPr>
          <w:p>
            <w:pPr>
              <w:spacing w:line="360" w:lineRule="auto"/>
              <w:rPr>
                <w:rFonts w:ascii="宋体"/>
                <w:sz w:val="28"/>
                <w:szCs w:val="28"/>
              </w:rPr>
            </w:pPr>
          </w:p>
        </w:tc>
        <w:tc>
          <w:tcPr>
            <w:tcW w:w="2037" w:type="dxa"/>
          </w:tcPr>
          <w:p>
            <w:pPr>
              <w:spacing w:line="360" w:lineRule="auto"/>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trPr>
        <w:tc>
          <w:tcPr>
            <w:tcW w:w="2504" w:type="dxa"/>
            <w:gridSpan w:val="2"/>
            <w:vAlign w:val="center"/>
          </w:tcPr>
          <w:p>
            <w:pPr>
              <w:spacing w:line="360" w:lineRule="auto"/>
              <w:jc w:val="center"/>
              <w:rPr>
                <w:rFonts w:ascii="宋体" w:hAnsi="宋体"/>
                <w:b/>
                <w:sz w:val="28"/>
                <w:szCs w:val="28"/>
              </w:rPr>
            </w:pPr>
            <w:r>
              <w:rPr>
                <w:rFonts w:hint="eastAsia" w:ascii="宋体" w:hAnsi="宋体"/>
                <w:b/>
                <w:sz w:val="28"/>
                <w:szCs w:val="28"/>
              </w:rPr>
              <w:t>投标人名称</w:t>
            </w:r>
          </w:p>
          <w:p>
            <w:pPr>
              <w:spacing w:line="360" w:lineRule="auto"/>
              <w:jc w:val="center"/>
              <w:rPr>
                <w:rFonts w:ascii="宋体"/>
                <w:b/>
                <w:sz w:val="28"/>
                <w:szCs w:val="28"/>
              </w:rPr>
            </w:pPr>
            <w:r>
              <w:rPr>
                <w:rFonts w:hint="eastAsia" w:ascii="宋体" w:hAnsi="宋体"/>
                <w:b/>
                <w:sz w:val="28"/>
                <w:szCs w:val="28"/>
              </w:rPr>
              <w:t>（公章）</w:t>
            </w:r>
          </w:p>
        </w:tc>
        <w:tc>
          <w:tcPr>
            <w:tcW w:w="3631" w:type="dxa"/>
            <w:vAlign w:val="center"/>
          </w:tcPr>
          <w:p>
            <w:pPr>
              <w:spacing w:line="360" w:lineRule="auto"/>
              <w:jc w:val="center"/>
              <w:rPr>
                <w:rFonts w:ascii="宋体"/>
                <w:b/>
                <w:sz w:val="28"/>
                <w:szCs w:val="28"/>
              </w:rPr>
            </w:pPr>
          </w:p>
        </w:tc>
        <w:tc>
          <w:tcPr>
            <w:tcW w:w="1770" w:type="dxa"/>
            <w:vAlign w:val="center"/>
          </w:tcPr>
          <w:p>
            <w:pPr>
              <w:spacing w:line="360" w:lineRule="auto"/>
              <w:jc w:val="center"/>
              <w:rPr>
                <w:rFonts w:ascii="宋体" w:hAnsi="宋体"/>
                <w:b/>
                <w:sz w:val="28"/>
                <w:szCs w:val="28"/>
              </w:rPr>
            </w:pPr>
            <w:r>
              <w:rPr>
                <w:rFonts w:hint="eastAsia" w:ascii="宋体" w:hAnsi="宋体"/>
                <w:b/>
                <w:sz w:val="28"/>
                <w:szCs w:val="28"/>
              </w:rPr>
              <w:t>授权代表</w:t>
            </w:r>
          </w:p>
          <w:p>
            <w:pPr>
              <w:spacing w:line="360" w:lineRule="auto"/>
              <w:jc w:val="center"/>
              <w:rPr>
                <w:rFonts w:ascii="宋体"/>
                <w:b/>
                <w:sz w:val="28"/>
                <w:szCs w:val="28"/>
              </w:rPr>
            </w:pPr>
            <w:r>
              <w:rPr>
                <w:rFonts w:hint="eastAsia" w:ascii="宋体" w:hAnsi="宋体"/>
                <w:b/>
                <w:sz w:val="28"/>
                <w:szCs w:val="28"/>
              </w:rPr>
              <w:t>（签名）</w:t>
            </w:r>
          </w:p>
        </w:tc>
        <w:tc>
          <w:tcPr>
            <w:tcW w:w="2205" w:type="dxa"/>
            <w:vAlign w:val="center"/>
          </w:tcPr>
          <w:p>
            <w:pPr>
              <w:spacing w:line="360" w:lineRule="auto"/>
              <w:jc w:val="center"/>
              <w:rPr>
                <w:rFonts w:ascii="宋体"/>
                <w:b/>
                <w:sz w:val="28"/>
                <w:szCs w:val="28"/>
              </w:rPr>
            </w:pPr>
          </w:p>
        </w:tc>
        <w:tc>
          <w:tcPr>
            <w:tcW w:w="1950" w:type="dxa"/>
            <w:vAlign w:val="center"/>
          </w:tcPr>
          <w:p>
            <w:pPr>
              <w:spacing w:line="360" w:lineRule="auto"/>
              <w:jc w:val="center"/>
              <w:rPr>
                <w:rFonts w:ascii="宋体"/>
                <w:b/>
                <w:sz w:val="28"/>
                <w:szCs w:val="28"/>
              </w:rPr>
            </w:pPr>
            <w:r>
              <w:rPr>
                <w:rFonts w:hint="eastAsia" w:ascii="宋体" w:hAnsi="宋体"/>
                <w:b/>
                <w:sz w:val="28"/>
                <w:szCs w:val="28"/>
              </w:rPr>
              <w:t>日期</w:t>
            </w:r>
          </w:p>
        </w:tc>
        <w:tc>
          <w:tcPr>
            <w:tcW w:w="2037" w:type="dxa"/>
            <w:vAlign w:val="center"/>
          </w:tcPr>
          <w:p>
            <w:pPr>
              <w:spacing w:line="360" w:lineRule="auto"/>
              <w:jc w:val="center"/>
              <w:rPr>
                <w:rFonts w:ascii="宋体"/>
                <w:b/>
                <w:sz w:val="28"/>
                <w:szCs w:val="28"/>
              </w:rPr>
            </w:pPr>
          </w:p>
        </w:tc>
      </w:tr>
    </w:tbl>
    <w:p>
      <w:pPr>
        <w:spacing w:line="360" w:lineRule="auto"/>
        <w:rPr>
          <w:rFonts w:ascii="宋体"/>
          <w:spacing w:val="4"/>
          <w:sz w:val="24"/>
        </w:rPr>
        <w:sectPr>
          <w:pgSz w:w="16838" w:h="11906" w:orient="landscape"/>
          <w:pgMar w:top="1418" w:right="1440" w:bottom="1134" w:left="1440" w:header="851" w:footer="992" w:gutter="0"/>
          <w:cols w:space="425" w:num="1"/>
          <w:docGrid w:type="linesAndChars" w:linePitch="312" w:charSpace="0"/>
        </w:sectPr>
      </w:pPr>
      <w:r>
        <w:rPr>
          <w:rFonts w:ascii="宋体"/>
          <w:spacing w:val="4"/>
          <w:sz w:val="24"/>
        </w:rPr>
        <w:br w:type="page"/>
      </w:r>
    </w:p>
    <w:p>
      <w:pPr>
        <w:pStyle w:val="4"/>
        <w:rPr>
          <w:b w:val="0"/>
          <w:sz w:val="21"/>
          <w:szCs w:val="21"/>
        </w:rPr>
      </w:pPr>
      <w:bookmarkStart w:id="29" w:name="_Toc24446812"/>
      <w:bookmarkStart w:id="30" w:name="_Toc76388986"/>
      <w:r>
        <w:rPr>
          <w:rFonts w:hint="eastAsia"/>
          <w:b w:val="0"/>
          <w:sz w:val="21"/>
          <w:szCs w:val="21"/>
        </w:rPr>
        <w:t>附件4：法定代表人资格证明</w:t>
      </w:r>
      <w:bookmarkEnd w:id="29"/>
      <w:bookmarkEnd w:id="30"/>
    </w:p>
    <w:p>
      <w:pPr>
        <w:snapToGrid w:val="0"/>
        <w:spacing w:line="360" w:lineRule="auto"/>
        <w:ind w:right="-350" w:rightChars="-167"/>
        <w:jc w:val="center"/>
        <w:rPr>
          <w:rFonts w:ascii="宋体"/>
          <w:b/>
          <w:sz w:val="36"/>
          <w:szCs w:val="36"/>
        </w:rPr>
      </w:pPr>
      <w:r>
        <w:rPr>
          <w:rFonts w:hint="eastAsia" w:ascii="宋体"/>
          <w:b/>
          <w:sz w:val="36"/>
          <w:szCs w:val="36"/>
        </w:rPr>
        <w:t>法定代表人资格证明</w:t>
      </w:r>
    </w:p>
    <w:p>
      <w:pPr>
        <w:spacing w:after="312" w:afterLines="100" w:line="480" w:lineRule="auto"/>
        <w:ind w:left="-136" w:right="-350" w:rightChars="-167"/>
        <w:rPr>
          <w:rFonts w:ascii="宋体" w:cs="宋体"/>
          <w:kern w:val="0"/>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pStyle w:val="4"/>
        <w:rPr>
          <w:b w:val="0"/>
          <w:sz w:val="21"/>
          <w:szCs w:val="21"/>
        </w:rPr>
      </w:pPr>
      <w:bookmarkStart w:id="31" w:name="_Toc76388987"/>
      <w:bookmarkStart w:id="32" w:name="_Toc24446813"/>
      <w:r>
        <w:rPr>
          <w:color w:val="000000" w:themeColor="text1"/>
          <w:u w:val="singl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2959735</wp:posOffset>
                </wp:positionH>
                <wp:positionV relativeFrom="paragraph">
                  <wp:posOffset>827405</wp:posOffset>
                </wp:positionV>
                <wp:extent cx="2990850" cy="2257425"/>
                <wp:effectExtent l="4445" t="5080" r="14605" b="444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33.05pt;margin-top:65.15pt;height:177.75pt;width:235.5pt;z-index:251660288;mso-width-relative:page;mso-height-relative:page;" fillcolor="#FFFFFF" filled="t" stroked="t" coordsize="21600,21600" o:gfxdata="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hBsLzZAAAACwEAAA8AAAAAAAAAAQAgAAAAIgAA&#10;AGRycy9kb3ducmV2LnhtbFBLAQIUABQAAAAIAIdO4kCBneJSQAIAAIgEAAAOAAAAAAAAAAEAIAAA&#10;ACgBAABkcnMvZTJvRG9jLnhtbFBLBQYAAAAABgAGAFkBAADa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u w:val="singl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-116840</wp:posOffset>
                </wp:positionH>
                <wp:positionV relativeFrom="paragraph">
                  <wp:posOffset>827405</wp:posOffset>
                </wp:positionV>
                <wp:extent cx="2990850" cy="2257425"/>
                <wp:effectExtent l="4445" t="5080" r="14605" b="4445"/>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9.2pt;margin-top:65.15pt;height:177.75pt;width:235.5pt;z-index:251659264;mso-width-relative:page;mso-height-relative:page;" fillcolor="#FFFFFF" filled="t" stroked="t" coordsize="21600,21600" o:gfxdata="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zPE0vaAAAACwEAAA8AAAAAAAAAAQAgAAAAIgAA&#10;AGRycy9kb3ducmV2LnhtbFBLAQIUABQAAAAIAIdO4kDGMTzsPwIAAIgEAAAOAAAAAAAAAAEAIAAA&#10;ACkBAABkcnMvZTJvRG9jLnhtbFBLBQYAAAAABgAGAFkBAADa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sz w:val="30"/>
        </w:rPr>
        <w:br w:type="page"/>
      </w:r>
      <w:r>
        <w:rPr>
          <w:rFonts w:hint="eastAsia"/>
          <w:b w:val="0"/>
          <w:sz w:val="21"/>
          <w:szCs w:val="21"/>
        </w:rPr>
        <w:t>附件5：法定代表人授权书</w:t>
      </w:r>
      <w:bookmarkEnd w:id="31"/>
      <w:bookmarkEnd w:id="32"/>
    </w:p>
    <w:p>
      <w:pPr>
        <w:spacing w:line="500" w:lineRule="exact"/>
        <w:ind w:right="32"/>
        <w:rPr>
          <w:rFonts w:ascii="楷体_GB2312" w:hAnsi="宋体" w:eastAsia="楷体_GB2312"/>
          <w:sz w:val="22"/>
          <w:szCs w:val="22"/>
        </w:rPr>
      </w:pPr>
    </w:p>
    <w:p>
      <w:pPr>
        <w:snapToGrid w:val="0"/>
        <w:spacing w:line="360" w:lineRule="auto"/>
        <w:ind w:right="-350" w:rightChars="-167"/>
        <w:jc w:val="center"/>
        <w:rPr>
          <w:rFonts w:ascii="宋体"/>
          <w:b/>
          <w:sz w:val="36"/>
          <w:szCs w:val="36"/>
        </w:rPr>
      </w:pPr>
      <w:r>
        <w:rPr>
          <w:rFonts w:hint="eastAsia" w:ascii="宋体"/>
          <w:b/>
          <w:sz w:val="36"/>
          <w:szCs w:val="36"/>
        </w:rPr>
        <w:t>法定代表人授权书</w:t>
      </w:r>
    </w:p>
    <w:p>
      <w:pPr>
        <w:spacing w:line="480" w:lineRule="auto"/>
        <w:ind w:left="-137" w:right="-350"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 xml:space="preserve">（单位名称）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spacing w:line="360" w:lineRule="auto"/>
        <w:ind w:right="-350" w:rightChars="-167"/>
        <w:rPr>
          <w:sz w:val="28"/>
          <w:szCs w:val="28"/>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2902585</wp:posOffset>
                </wp:positionH>
                <wp:positionV relativeFrom="paragraph">
                  <wp:posOffset>-315595</wp:posOffset>
                </wp:positionV>
                <wp:extent cx="2647950" cy="2179320"/>
                <wp:effectExtent l="5080" t="4445" r="13970" b="6985"/>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8.55pt;margin-top:-24.85pt;height:171.6pt;width:208.5pt;z-index:251662336;mso-width-relative:page;mso-height-relative:page;" fillcolor="#FFFFFF" filled="t" stroked="t" coordsize="21600,21600" o:gfxdata="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bADWv2wAAAAsBAAAPAAAAAAAAAAEAIAAA&#10;ACIAAABkcnMvZG93bnJldi54bWxQSwECFAAUAAAACACHTuJAcTUrH0ICAACIBAAADgAAAAAAAAAB&#10;ACAAAAAqAQAAZHJzL2Uyb0RvYy54bWxQSwUGAAAAAAYABgBZAQAA3g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64135</wp:posOffset>
                </wp:positionH>
                <wp:positionV relativeFrom="paragraph">
                  <wp:posOffset>-315595</wp:posOffset>
                </wp:positionV>
                <wp:extent cx="2647950" cy="2179320"/>
                <wp:effectExtent l="5080" t="4445" r="13970" b="6985"/>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05pt;margin-top:-24.85pt;height:171.6pt;width:208.5pt;z-index:251661312;mso-width-relative:page;mso-height-relative:page;" fillcolor="#FFFFFF" filled="t" stroked="t" coordsize="21600,21600" o:gfxdata="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fO9sYNkAAAAKAQAADwAAAAAAAAABACAAAAAi&#10;AAAAZHJzL2Rvd25yZXYueG1sUEsBAhQAFAAAAAgAh07iQCnImxpCAgAAiAQAAA4AAAAAAAAAAQAg&#10;AAAAKAEAAGRycy9lMm9Eb2MueG1sUEsFBgAAAAAGAAYAWQEAANw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0" w:rightChars="-167"/>
        <w:rPr>
          <w:sz w:val="28"/>
          <w:szCs w:val="28"/>
        </w:rPr>
      </w:pPr>
    </w:p>
    <w:p>
      <w:pPr>
        <w:spacing w:line="360" w:lineRule="auto"/>
        <w:ind w:right="-350" w:rightChars="-167"/>
        <w:rPr>
          <w:sz w:val="28"/>
          <w:szCs w:val="28"/>
        </w:rPr>
      </w:pPr>
    </w:p>
    <w:p>
      <w:pPr>
        <w:pStyle w:val="35"/>
        <w:shd w:val="clear" w:color="auto" w:fill="FFFFFF"/>
        <w:spacing w:before="0" w:beforeAutospacing="0" w:after="0" w:afterAutospacing="0" w:line="2160" w:lineRule="atLeast"/>
        <w:rPr>
          <w:spacing w:val="4"/>
        </w:rPr>
      </w:pPr>
      <w:r>
        <w:rPr>
          <w:rFonts w:hint="eastAsia"/>
        </w:rPr>
        <w:t>注：“法定代表人”直接参加投标和签署投标文件的无需提供该授权书。</w:t>
      </w:r>
    </w:p>
    <w:p>
      <w:pPr>
        <w:pStyle w:val="4"/>
        <w:spacing w:before="0" w:after="0"/>
        <w:rPr>
          <w:b w:val="0"/>
          <w:sz w:val="24"/>
          <w:szCs w:val="24"/>
        </w:rPr>
      </w:pPr>
      <w:bookmarkStart w:id="33" w:name="_Toc76388988"/>
      <w:bookmarkStart w:id="34" w:name="_Toc42777890"/>
      <w:bookmarkStart w:id="35" w:name="_Toc5504"/>
      <w:bookmarkStart w:id="36" w:name="_Toc53484117"/>
      <w:bookmarkStart w:id="37" w:name="_Toc47173813"/>
      <w:r>
        <w:rPr>
          <w:rFonts w:hint="eastAsia"/>
          <w:b w:val="0"/>
          <w:sz w:val="24"/>
          <w:szCs w:val="24"/>
        </w:rPr>
        <w:t>附件6：南通大学采购谈判二次报价单</w:t>
      </w:r>
      <w:bookmarkEnd w:id="33"/>
      <w:bookmarkEnd w:id="34"/>
      <w:bookmarkEnd w:id="35"/>
      <w:bookmarkEnd w:id="36"/>
      <w:bookmarkEnd w:id="37"/>
    </w:p>
    <w:p>
      <w:pPr>
        <w:jc w:val="center"/>
        <w:rPr>
          <w:b/>
          <w:color w:val="000000" w:themeColor="text1"/>
          <w:sz w:val="44"/>
          <w:szCs w:val="44"/>
          <w14:textFill>
            <w14:solidFill>
              <w14:schemeClr w14:val="tx1"/>
            </w14:solidFill>
          </w14:textFill>
        </w:rPr>
      </w:pPr>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16"/>
        <w:tblW w:w="0" w:type="auto"/>
        <w:tblInd w:w="2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0"/>
        <w:gridCol w:w="7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740" w:type="dxa"/>
            <w:shd w:val="clear" w:color="auto" w:fill="auto"/>
            <w:vAlign w:val="center"/>
          </w:tcPr>
          <w:p>
            <w:pPr>
              <w:jc w:val="center"/>
              <w:rPr>
                <w:sz w:val="28"/>
                <w:szCs w:val="28"/>
              </w:rPr>
            </w:pPr>
            <w:r>
              <w:rPr>
                <w:rFonts w:hint="eastAsia"/>
                <w:sz w:val="28"/>
                <w:szCs w:val="28"/>
              </w:rPr>
              <w:t>项目名称</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740" w:type="dxa"/>
            <w:shd w:val="clear" w:color="auto" w:fill="auto"/>
            <w:vAlign w:val="center"/>
          </w:tcPr>
          <w:p>
            <w:pPr>
              <w:jc w:val="center"/>
              <w:rPr>
                <w:sz w:val="28"/>
                <w:szCs w:val="28"/>
              </w:rPr>
            </w:pPr>
            <w:r>
              <w:rPr>
                <w:rFonts w:hint="eastAsia"/>
                <w:sz w:val="28"/>
                <w:szCs w:val="28"/>
              </w:rPr>
              <w:t>报    价</w:t>
            </w:r>
          </w:p>
        </w:tc>
        <w:tc>
          <w:tcPr>
            <w:tcW w:w="7230" w:type="dxa"/>
            <w:shd w:val="clear" w:color="auto" w:fill="auto"/>
            <w:vAlign w:val="center"/>
          </w:tcPr>
          <w:p>
            <w:pPr>
              <w:jc w:val="left"/>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740" w:type="dxa"/>
            <w:shd w:val="clear" w:color="auto" w:fill="auto"/>
            <w:vAlign w:val="center"/>
          </w:tcPr>
          <w:p>
            <w:pPr>
              <w:jc w:val="center"/>
              <w:rPr>
                <w:sz w:val="28"/>
                <w:szCs w:val="28"/>
              </w:rPr>
            </w:pPr>
            <w:r>
              <w:rPr>
                <w:rFonts w:hint="eastAsia"/>
                <w:sz w:val="28"/>
                <w:szCs w:val="28"/>
              </w:rPr>
              <w:t>其他</w:t>
            </w:r>
          </w:p>
          <w:p>
            <w:pPr>
              <w:jc w:val="center"/>
              <w:rPr>
                <w:sz w:val="28"/>
                <w:szCs w:val="28"/>
              </w:rPr>
            </w:pPr>
            <w:r>
              <w:rPr>
                <w:rFonts w:hint="eastAsia"/>
                <w:sz w:val="28"/>
                <w:szCs w:val="28"/>
              </w:rPr>
              <w:t>优惠承诺</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40" w:type="dxa"/>
            <w:shd w:val="clear" w:color="auto" w:fill="auto"/>
            <w:vAlign w:val="center"/>
          </w:tcPr>
          <w:p>
            <w:pPr>
              <w:jc w:val="center"/>
              <w:rPr>
                <w:sz w:val="28"/>
                <w:szCs w:val="28"/>
              </w:rPr>
            </w:pPr>
            <w:r>
              <w:rPr>
                <w:rFonts w:hint="eastAsia"/>
                <w:sz w:val="28"/>
                <w:szCs w:val="28"/>
              </w:rPr>
              <w:t>投标单位</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740" w:type="dxa"/>
            <w:tcBorders>
              <w:bottom w:val="dashSmallGap" w:color="auto" w:sz="12" w:space="0"/>
            </w:tcBorders>
            <w:shd w:val="clear" w:color="auto" w:fill="auto"/>
            <w:vAlign w:val="center"/>
          </w:tcPr>
          <w:p>
            <w:pPr>
              <w:jc w:val="center"/>
              <w:rPr>
                <w:sz w:val="28"/>
                <w:szCs w:val="28"/>
              </w:rPr>
            </w:pPr>
            <w:r>
              <w:rPr>
                <w:rFonts w:hint="eastAsia"/>
                <w:sz w:val="28"/>
                <w:szCs w:val="28"/>
              </w:rPr>
              <w:t>报 价 人</w:t>
            </w:r>
          </w:p>
          <w:p>
            <w:pPr>
              <w:jc w:val="center"/>
              <w:rPr>
                <w:sz w:val="28"/>
                <w:szCs w:val="28"/>
              </w:rPr>
            </w:pPr>
            <w:r>
              <w:rPr>
                <w:rFonts w:hint="eastAsia"/>
                <w:sz w:val="28"/>
                <w:szCs w:val="28"/>
              </w:rPr>
              <w:t>联系方式</w:t>
            </w:r>
          </w:p>
        </w:tc>
        <w:tc>
          <w:tcPr>
            <w:tcW w:w="7230" w:type="dxa"/>
            <w:tcBorders>
              <w:bottom w:val="dashSmallGap" w:color="auto" w:sz="12" w:space="0"/>
            </w:tcBorders>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740" w:type="dxa"/>
            <w:tcBorders>
              <w:top w:val="dashSmallGap" w:color="auto" w:sz="12" w:space="0"/>
            </w:tcBorders>
            <w:shd w:val="clear" w:color="auto" w:fill="auto"/>
            <w:vAlign w:val="center"/>
          </w:tcPr>
          <w:p>
            <w:pPr>
              <w:jc w:val="center"/>
              <w:rPr>
                <w:sz w:val="28"/>
                <w:szCs w:val="28"/>
              </w:rPr>
            </w:pPr>
            <w:r>
              <w:rPr>
                <w:rFonts w:hint="eastAsia"/>
                <w:sz w:val="28"/>
                <w:szCs w:val="28"/>
              </w:rPr>
              <w:t>使用部门</w:t>
            </w:r>
          </w:p>
        </w:tc>
        <w:tc>
          <w:tcPr>
            <w:tcW w:w="7230" w:type="dxa"/>
            <w:tcBorders>
              <w:top w:val="dashSmallGap" w:color="auto" w:sz="12" w:space="0"/>
            </w:tcBorders>
            <w:shd w:val="clear" w:color="auto" w:fill="auto"/>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740" w:type="dxa"/>
            <w:shd w:val="clear" w:color="auto" w:fill="auto"/>
            <w:vAlign w:val="center"/>
          </w:tcPr>
          <w:p>
            <w:pPr>
              <w:jc w:val="center"/>
              <w:rPr>
                <w:sz w:val="28"/>
                <w:szCs w:val="28"/>
              </w:rPr>
            </w:pPr>
            <w:r>
              <w:rPr>
                <w:rFonts w:hint="eastAsia"/>
                <w:sz w:val="28"/>
                <w:szCs w:val="28"/>
              </w:rPr>
              <w:t>联 系 人</w:t>
            </w:r>
          </w:p>
          <w:p>
            <w:pPr>
              <w:jc w:val="center"/>
              <w:rPr>
                <w:sz w:val="28"/>
                <w:szCs w:val="28"/>
              </w:rPr>
            </w:pPr>
            <w:r>
              <w:rPr>
                <w:rFonts w:hint="eastAsia"/>
                <w:sz w:val="28"/>
                <w:szCs w:val="28"/>
              </w:rPr>
              <w:t>联系方式</w:t>
            </w:r>
          </w:p>
        </w:tc>
        <w:tc>
          <w:tcPr>
            <w:tcW w:w="7230" w:type="dxa"/>
            <w:shd w:val="clear" w:color="auto" w:fill="auto"/>
            <w:vAlign w:val="center"/>
          </w:tcPr>
          <w:p>
            <w:pPr>
              <w:jc w:val="center"/>
            </w:pPr>
          </w:p>
        </w:tc>
      </w:tr>
    </w:tbl>
    <w:p>
      <w:pPr>
        <w:rPr>
          <w:szCs w:val="21"/>
        </w:rPr>
      </w:pPr>
      <w:r>
        <w:rPr>
          <w:rFonts w:hint="eastAsia"/>
          <w:szCs w:val="21"/>
        </w:rPr>
        <w:t>备注：商务标开标后填写。</w:t>
      </w:r>
      <w:r>
        <w:fldChar w:fldCharType="begin"/>
      </w:r>
      <w:r>
        <w:instrText xml:space="preserve"> HYPERLINK "mailto:请各授权代表二次报价签字盖章后通过pdf发送到ztb@ntu.edu.cn，联系方式0513-85012138" </w:instrText>
      </w:r>
      <w:r>
        <w:fldChar w:fldCharType="separate"/>
      </w:r>
      <w:r>
        <w:rPr>
          <w:rStyle w:val="22"/>
          <w:rFonts w:hint="eastAsia"/>
          <w:szCs w:val="21"/>
        </w:rPr>
        <w:t>联系方式0513-85012138</w:t>
      </w:r>
      <w:r>
        <w:rPr>
          <w:rStyle w:val="22"/>
          <w:rFonts w:hint="eastAsia"/>
          <w:szCs w:val="21"/>
        </w:rPr>
        <w:fldChar w:fldCharType="end"/>
      </w:r>
      <w:r>
        <w:rPr>
          <w:rFonts w:hint="eastAsia"/>
          <w:szCs w:val="21"/>
        </w:rPr>
        <w:t>。</w:t>
      </w:r>
    </w:p>
    <w:p>
      <w:pPr>
        <w:widowControl/>
        <w:jc w:val="left"/>
        <w:rPr>
          <w:szCs w:val="21"/>
        </w:rPr>
      </w:pPr>
      <w:r>
        <w:rPr>
          <w:szCs w:val="21"/>
        </w:rPr>
        <w:br w:type="page"/>
      </w:r>
    </w:p>
    <w:p>
      <w:pPr>
        <w:pStyle w:val="4"/>
        <w:spacing w:before="0" w:after="0"/>
        <w:rPr>
          <w:color w:val="000000" w:themeColor="text1"/>
          <w14:textFill>
            <w14:solidFill>
              <w14:schemeClr w14:val="tx1"/>
            </w14:solidFill>
          </w14:textFill>
        </w:rPr>
      </w:pPr>
      <w:bookmarkStart w:id="38" w:name="_Toc49847305"/>
      <w:bookmarkStart w:id="39" w:name="_Toc53484118"/>
      <w:bookmarkStart w:id="40" w:name="_Toc50645818"/>
      <w:bookmarkStart w:id="41" w:name="_Toc50642504"/>
      <w:bookmarkStart w:id="42" w:name="_Toc76388989"/>
      <w:bookmarkStart w:id="43" w:name="_Toc16513"/>
      <w:r>
        <w:rPr>
          <w:rFonts w:hint="eastAsia"/>
          <w:b w:val="0"/>
          <w:color w:val="000000" w:themeColor="text1"/>
          <w:sz w:val="24"/>
          <w:szCs w:val="24"/>
          <w14:textFill>
            <w14:solidFill>
              <w14:schemeClr w14:val="tx1"/>
            </w14:solidFill>
          </w14:textFill>
        </w:rPr>
        <w:t>附件7：无重大违法记录声明</w:t>
      </w:r>
      <w:bookmarkEnd w:id="38"/>
      <w:bookmarkEnd w:id="39"/>
      <w:bookmarkEnd w:id="40"/>
      <w:bookmarkEnd w:id="41"/>
      <w:bookmarkEnd w:id="42"/>
      <w:bookmarkEnd w:id="43"/>
    </w:p>
    <w:p>
      <w:pPr>
        <w:pStyle w:val="2"/>
        <w:rPr>
          <w:b/>
          <w:color w:val="000000" w:themeColor="text1"/>
          <w:sz w:val="30"/>
          <w:szCs w:val="30"/>
          <w14:textFill>
            <w14:solidFill>
              <w14:schemeClr w14:val="tx1"/>
            </w14:solidFill>
          </w14:textFill>
        </w:rPr>
      </w:pPr>
    </w:p>
    <w:p>
      <w:pPr>
        <w:pStyle w:val="2"/>
        <w:rPr>
          <w:b/>
          <w:color w:val="000000" w:themeColor="text1"/>
          <w:sz w:val="30"/>
          <w:szCs w:val="30"/>
          <w14:textFill>
            <w14:solidFill>
              <w14:schemeClr w14:val="tx1"/>
            </w14:solidFill>
          </w14:textFill>
        </w:rPr>
      </w:pPr>
    </w:p>
    <w:p>
      <w:pPr>
        <w:pStyle w:val="2"/>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2"/>
        <w:rPr>
          <w:b/>
          <w:color w:val="000000" w:themeColor="text1"/>
          <w:sz w:val="30"/>
          <w:szCs w:val="30"/>
          <w14:textFill>
            <w14:solidFill>
              <w14:schemeClr w14:val="tx1"/>
            </w14:solidFill>
          </w14:textFill>
        </w:rPr>
      </w:pPr>
    </w:p>
    <w:p>
      <w:pPr>
        <w:pStyle w:val="2"/>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rPr>
          <w:color w:val="000000" w:themeColor="text1"/>
          <w:sz w:val="28"/>
          <w:szCs w:val="28"/>
          <w14:textFill>
            <w14:solidFill>
              <w14:schemeClr w14:val="tx1"/>
            </w14:solidFill>
          </w14:textFill>
        </w:rPr>
      </w:pPr>
    </w:p>
    <w:p>
      <w:pPr>
        <w:pStyle w:val="4"/>
        <w:spacing w:before="0" w:after="0"/>
        <w:rPr>
          <w:b w:val="0"/>
          <w:color w:val="000000" w:themeColor="text1"/>
          <w:sz w:val="24"/>
          <w:szCs w:val="24"/>
          <w14:textFill>
            <w14:solidFill>
              <w14:schemeClr w14:val="tx1"/>
            </w14:solidFill>
          </w14:textFill>
        </w:rPr>
      </w:pPr>
      <w:bookmarkStart w:id="44" w:name="_Toc23734"/>
      <w:bookmarkStart w:id="45" w:name="_Toc53484119"/>
      <w:bookmarkStart w:id="46" w:name="_Toc50645819"/>
      <w:bookmarkStart w:id="47" w:name="_Toc76388990"/>
      <w:bookmarkStart w:id="48" w:name="_Toc50642505"/>
      <w:bookmarkStart w:id="49" w:name="_Toc49847306"/>
      <w:r>
        <w:rPr>
          <w:rFonts w:hint="eastAsia"/>
          <w:b w:val="0"/>
          <w:color w:val="000000" w:themeColor="text1"/>
          <w:sz w:val="24"/>
          <w:szCs w:val="24"/>
          <w14:textFill>
            <w14:solidFill>
              <w14:schemeClr w14:val="tx1"/>
            </w14:solidFill>
          </w14:textFill>
        </w:rPr>
        <w:t>附件8：诚信承诺书</w:t>
      </w:r>
      <w:bookmarkEnd w:id="44"/>
      <w:bookmarkEnd w:id="45"/>
      <w:bookmarkEnd w:id="46"/>
      <w:bookmarkEnd w:id="47"/>
      <w:bookmarkEnd w:id="48"/>
      <w:bookmarkEnd w:id="49"/>
    </w:p>
    <w:p>
      <w:pPr>
        <w:pStyle w:val="2"/>
        <w:jc w:val="center"/>
        <w:rPr>
          <w:b/>
          <w:color w:val="000000" w:themeColor="text1"/>
          <w:sz w:val="44"/>
          <w:szCs w:val="44"/>
          <w14:textFill>
            <w14:solidFill>
              <w14:schemeClr w14:val="tx1"/>
            </w14:solidFill>
          </w14:textFill>
        </w:rPr>
      </w:pPr>
    </w:p>
    <w:p>
      <w:pPr>
        <w:pStyle w:val="2"/>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2"/>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法定代表人或被委托代表人（签字）</w:t>
      </w:r>
      <w:r>
        <w:rPr>
          <w:rFonts w:hint="eastAsia"/>
          <w:color w:val="000000" w:themeColor="text1"/>
          <w:sz w:val="28"/>
          <w:szCs w:val="28"/>
          <w:u w:val="single"/>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widowControl/>
        <w:jc w:val="left"/>
        <w:rPr>
          <w:color w:val="000000" w:themeColor="text1"/>
          <w:sz w:val="28"/>
          <w:szCs w:val="28"/>
          <w14:textFill>
            <w14:solidFill>
              <w14:schemeClr w14:val="tx1"/>
            </w14:solidFill>
          </w14:textFill>
        </w:rPr>
      </w:pPr>
    </w:p>
    <w:p>
      <w:pPr>
        <w:ind w:firstLine="6020" w:firstLineChars="2150"/>
        <w:rPr>
          <w:color w:val="000000" w:themeColor="text1"/>
          <w:sz w:val="28"/>
          <w:szCs w:val="28"/>
          <w14:textFill>
            <w14:solidFill>
              <w14:schemeClr w14:val="tx1"/>
            </w14:solidFill>
          </w14:textFill>
        </w:rPr>
      </w:pPr>
    </w:p>
    <w:p>
      <w:pPr>
        <w:widowControl/>
        <w:jc w:val="left"/>
        <w:rPr>
          <w:color w:val="000000" w:themeColor="text1"/>
          <w:sz w:val="28"/>
          <w:szCs w:val="28"/>
          <w14:textFill>
            <w14:solidFill>
              <w14:schemeClr w14:val="tx1"/>
            </w14:solidFill>
          </w14:textFill>
        </w:rPr>
      </w:pPr>
    </w:p>
    <w:p>
      <w:pPr>
        <w:widowControl/>
        <w:jc w:val="left"/>
        <w:rPr>
          <w:rFonts w:ascii="宋体" w:hAnsi="宋体" w:cs="宋体"/>
          <w:kern w:val="0"/>
          <w:sz w:val="28"/>
          <w:szCs w:val="28"/>
        </w:rPr>
      </w:pPr>
      <w:r>
        <w:rPr>
          <w:rFonts w:ascii="宋体" w:hAnsi="宋体" w:cs="宋体"/>
          <w:kern w:val="0"/>
          <w:sz w:val="28"/>
          <w:szCs w:val="28"/>
        </w:rPr>
        <w:br w:type="page"/>
      </w:r>
    </w:p>
    <w:p>
      <w:pPr>
        <w:pStyle w:val="4"/>
        <w:spacing w:before="0" w:after="0"/>
        <w:rPr>
          <w:rFonts w:hint="eastAsia"/>
          <w:b w:val="0"/>
          <w:color w:val="000000" w:themeColor="text1"/>
          <w:sz w:val="24"/>
          <w:szCs w:val="24"/>
          <w14:textFill>
            <w14:solidFill>
              <w14:schemeClr w14:val="tx1"/>
            </w14:solidFill>
          </w14:textFill>
        </w:rPr>
      </w:pPr>
      <w:bookmarkStart w:id="50" w:name="_Toc76388991"/>
      <w:r>
        <w:rPr>
          <w:rFonts w:hint="eastAsia"/>
          <w:b w:val="0"/>
          <w:color w:val="000000" w:themeColor="text1"/>
          <w:sz w:val="24"/>
          <w:szCs w:val="24"/>
          <w14:textFill>
            <w14:solidFill>
              <w14:schemeClr w14:val="tx1"/>
            </w14:solidFill>
          </w14:textFill>
        </w:rPr>
        <w:t>附件</w:t>
      </w:r>
      <w:r>
        <w:rPr>
          <w:b w:val="0"/>
          <w:color w:val="000000" w:themeColor="text1"/>
          <w:sz w:val="24"/>
          <w:szCs w:val="24"/>
          <w14:textFill>
            <w14:solidFill>
              <w14:schemeClr w14:val="tx1"/>
            </w14:solidFill>
          </w14:textFill>
        </w:rPr>
        <w:t>9</w:t>
      </w:r>
      <w:r>
        <w:rPr>
          <w:rFonts w:hint="eastAsia"/>
          <w:b w:val="0"/>
          <w:color w:val="000000" w:themeColor="text1"/>
          <w:sz w:val="24"/>
          <w:szCs w:val="24"/>
          <w14:textFill>
            <w14:solidFill>
              <w14:schemeClr w14:val="tx1"/>
            </w14:solidFill>
          </w14:textFill>
        </w:rPr>
        <w:t>：热水供应</w:t>
      </w:r>
      <w:r>
        <w:rPr>
          <w:b w:val="0"/>
          <w:color w:val="000000" w:themeColor="text1"/>
          <w:sz w:val="24"/>
          <w:szCs w:val="24"/>
          <w14:textFill>
            <w14:solidFill>
              <w14:schemeClr w14:val="tx1"/>
            </w14:solidFill>
          </w14:textFill>
        </w:rPr>
        <w:t>安全管理责任书</w:t>
      </w:r>
      <w:bookmarkEnd w:id="50"/>
    </w:p>
    <w:p>
      <w:pPr>
        <w:pStyle w:val="2"/>
        <w:spacing w:line="400" w:lineRule="exact"/>
        <w:jc w:val="center"/>
        <w:rPr>
          <w:b/>
          <w:color w:val="000000" w:themeColor="text1"/>
          <w:sz w:val="44"/>
          <w:szCs w:val="44"/>
          <w14:textFill>
            <w14:solidFill>
              <w14:schemeClr w14:val="tx1"/>
            </w14:solidFill>
          </w14:textFill>
        </w:rPr>
      </w:pPr>
    </w:p>
    <w:p>
      <w:pPr>
        <w:pStyle w:val="2"/>
        <w:spacing w:line="560" w:lineRule="exact"/>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热水供应安全管理责任书</w:t>
      </w:r>
    </w:p>
    <w:p>
      <w:pPr>
        <w:pStyle w:val="2"/>
        <w:spacing w:line="560" w:lineRule="exact"/>
        <w:jc w:val="center"/>
        <w:rPr>
          <w:rFonts w:hint="eastAsia"/>
          <w:b/>
          <w:color w:val="000000" w:themeColor="text1"/>
          <w:sz w:val="44"/>
          <w:szCs w:val="44"/>
          <w14:textFill>
            <w14:solidFill>
              <w14:schemeClr w14:val="tx1"/>
            </w14:solidFill>
          </w14:textFill>
        </w:rPr>
      </w:pPr>
    </w:p>
    <w:p>
      <w:pPr>
        <w:spacing w:line="560" w:lineRule="exact"/>
        <w:ind w:firstLine="56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为了加强洗浴热水供应的安全工作，预防和减少安全事故的发生，根据《热水供需协议书》，结合热水供应过程中的实际情况，制定本责任书。</w:t>
      </w:r>
    </w:p>
    <w:p>
      <w:pPr>
        <w:numPr>
          <w:ilvl w:val="0"/>
          <w:numId w:val="1"/>
        </w:numPr>
        <w:spacing w:line="560" w:lineRule="exact"/>
        <w:ind w:firstLine="56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安全责任范围</w:t>
      </w:r>
    </w:p>
    <w:p>
      <w:p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热水供应商对热水运输过程中的安全负全部责任，保证热水的质量符合生活用水标准。</w:t>
      </w:r>
    </w:p>
    <w:p>
      <w:pPr>
        <w:numPr>
          <w:ilvl w:val="0"/>
          <w:numId w:val="1"/>
        </w:numPr>
        <w:spacing w:line="560" w:lineRule="exact"/>
        <w:ind w:firstLine="56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具体措施要求</w:t>
      </w:r>
    </w:p>
    <w:p>
      <w:pPr>
        <w:numPr>
          <w:ilvl w:val="0"/>
          <w:numId w:val="2"/>
        </w:num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热水运输车辆进入南通大学校园内的速度控制在20公里/小时内。</w:t>
      </w:r>
    </w:p>
    <w:p>
      <w:pPr>
        <w:numPr>
          <w:ilvl w:val="0"/>
          <w:numId w:val="2"/>
        </w:num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高峰时段7：00-8：00、11：30-12：30、16：30-17：30禁止热水车辆在校园内行驶。</w:t>
      </w:r>
    </w:p>
    <w:p>
      <w:pPr>
        <w:numPr>
          <w:ilvl w:val="0"/>
          <w:numId w:val="2"/>
        </w:num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热水运输车辆应做好各项安全防护措施，防止热水外溢伤人。</w:t>
      </w:r>
    </w:p>
    <w:p>
      <w:pPr>
        <w:numPr>
          <w:ilvl w:val="0"/>
          <w:numId w:val="2"/>
        </w:num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做好热水生产过程中的安全防护工作，确保热水质量符合生活用水标准。</w:t>
      </w:r>
    </w:p>
    <w:p>
      <w:pPr>
        <w:numPr>
          <w:ilvl w:val="0"/>
          <w:numId w:val="2"/>
        </w:num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做好热水生产过程中的温度控制与监督工作，确保热水出厂温度为90℃±2℃，热水送达甲方指定地点时汽车水箱内水温不低于85℃。</w:t>
      </w:r>
    </w:p>
    <w:p>
      <w:pPr>
        <w:numPr>
          <w:ilvl w:val="0"/>
          <w:numId w:val="1"/>
        </w:numPr>
        <w:spacing w:line="560" w:lineRule="exact"/>
        <w:ind w:firstLine="56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奖惩措施</w:t>
      </w:r>
    </w:p>
    <w:p>
      <w:pPr>
        <w:numPr>
          <w:ilvl w:val="0"/>
          <w:numId w:val="3"/>
        </w:numPr>
        <w:spacing w:line="560" w:lineRule="exact"/>
        <w:ind w:left="0"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热水运输车辆在校内行驶速度超过20公里/小时，第一次罚款1000元，第二次罚款2000元，第三次罚款3000元，第四次罚款4000元，第五次以后每次罚款5000元。</w:t>
      </w:r>
    </w:p>
    <w:p>
      <w:pPr>
        <w:numPr>
          <w:ilvl w:val="0"/>
          <w:numId w:val="3"/>
        </w:numPr>
        <w:spacing w:line="560" w:lineRule="exact"/>
        <w:ind w:left="0"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高峰时段在校内行驶的，第一次罚款1000元，第二次罚款2000元，第三次罚款3000元，第四次罚款4000元，第五次以后每次罚款5000元。</w:t>
      </w:r>
    </w:p>
    <w:p>
      <w:pPr>
        <w:numPr>
          <w:ilvl w:val="0"/>
          <w:numId w:val="3"/>
        </w:numPr>
        <w:spacing w:line="560" w:lineRule="exact"/>
        <w:ind w:left="0"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热水运输车辆在校内发生热水伤人事故，热水供应商承担全部责任，全额赔偿伤者的医疗费、营养费等一切费用，并处罚金10000元/次。</w:t>
      </w:r>
    </w:p>
    <w:p>
      <w:pPr>
        <w:numPr>
          <w:ilvl w:val="0"/>
          <w:numId w:val="3"/>
        </w:numPr>
        <w:spacing w:line="560" w:lineRule="exact"/>
        <w:ind w:left="0"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质量不符合生活用水标准，第一次发现扣减全部货款，第二次发现处以货款两倍的罚款，第三次发现处以货款三倍的罚款并终止合同。若热水中含有有毒有害物质，发生人身伤害事故，热水供应商应承担全部赔偿责任，同时按照法律规定承担相应的法律责任。</w:t>
      </w:r>
    </w:p>
    <w:p>
      <w:pPr>
        <w:numPr>
          <w:ilvl w:val="0"/>
          <w:numId w:val="3"/>
        </w:numPr>
        <w:spacing w:line="560" w:lineRule="exact"/>
        <w:ind w:left="0"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热水水温达不到既定温度，未及时通知后勤保障部楼宇服务中心备案的，除按照差额赔偿全部损失外，第一次罚款1000元，第二次罚款2000元，第三次罚款3000元，第四次罚款4000元，第五次以后每次罚款5000元。</w:t>
      </w:r>
    </w:p>
    <w:p>
      <w:pPr>
        <w:numPr>
          <w:ilvl w:val="0"/>
          <w:numId w:val="1"/>
        </w:numPr>
        <w:spacing w:line="560" w:lineRule="exact"/>
        <w:ind w:firstLine="56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热水供应商应做好工作人员的安全教育培训工作，定期开展安全生产大检查，确保热水生产运输安全。</w:t>
      </w:r>
    </w:p>
    <w:p>
      <w:pPr>
        <w:pStyle w:val="2"/>
        <w:spacing w:line="560" w:lineRule="exact"/>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r>
        <w:rPr>
          <w:color w:val="000000" w:themeColor="text1"/>
          <w:sz w:val="28"/>
          <w:szCs w:val="28"/>
          <w14:textFill>
            <w14:solidFill>
              <w14:schemeClr w14:val="tx1"/>
            </w14:solidFill>
          </w14:textFill>
        </w:rPr>
        <w:t xml:space="preserve">              </w:t>
      </w:r>
    </w:p>
    <w:p>
      <w:pPr>
        <w:pStyle w:val="2"/>
        <w:spacing w:line="560" w:lineRule="exact"/>
        <w:ind w:firstLine="540"/>
        <w:rPr>
          <w:color w:val="000000" w:themeColor="text1"/>
          <w:sz w:val="28"/>
          <w:szCs w:val="28"/>
          <w14:textFill>
            <w14:solidFill>
              <w14:schemeClr w14:val="tx1"/>
            </w14:solidFill>
          </w14:textFill>
        </w:rPr>
      </w:pPr>
    </w:p>
    <w:p>
      <w:pPr>
        <w:pStyle w:val="2"/>
        <w:spacing w:line="560" w:lineRule="exact"/>
        <w:ind w:firstLine="3080" w:firstLineChars="110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投标人（盖章）:</w:t>
      </w:r>
      <w:r>
        <w:rPr>
          <w:rFonts w:hint="eastAsia"/>
          <w:color w:val="000000" w:themeColor="text1"/>
          <w:sz w:val="28"/>
          <w:szCs w:val="28"/>
          <w:u w:val="single"/>
          <w14:textFill>
            <w14:solidFill>
              <w14:schemeClr w14:val="tx1"/>
            </w14:solidFill>
          </w14:textFill>
        </w:rPr>
        <w:t xml:space="preserve">               </w:t>
      </w:r>
    </w:p>
    <w:p>
      <w:pPr>
        <w:pStyle w:val="2"/>
        <w:spacing w:line="560" w:lineRule="exact"/>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法定代表人或被委托代表人（签字）</w:t>
      </w:r>
      <w:r>
        <w:rPr>
          <w:rFonts w:hint="eastAsia"/>
          <w:color w:val="000000" w:themeColor="text1"/>
          <w:sz w:val="28"/>
          <w:szCs w:val="28"/>
          <w:u w:val="single"/>
          <w14:textFill>
            <w14:solidFill>
              <w14:schemeClr w14:val="tx1"/>
            </w14:solidFill>
          </w14:textFill>
        </w:rPr>
        <w:t xml:space="preserve">      </w:t>
      </w:r>
    </w:p>
    <w:p>
      <w:pPr>
        <w:pStyle w:val="2"/>
        <w:spacing w:line="560" w:lineRule="exact"/>
        <w:ind w:firstLine="540"/>
        <w:rPr>
          <w:color w:val="000000" w:themeColor="text1"/>
          <w:sz w:val="28"/>
          <w:szCs w:val="28"/>
          <w14:textFill>
            <w14:solidFill>
              <w14:schemeClr w14:val="tx1"/>
            </w14:solidFill>
          </w14:textFill>
        </w:rPr>
      </w:pPr>
    </w:p>
    <w:p>
      <w:pPr>
        <w:pStyle w:val="2"/>
        <w:spacing w:line="560" w:lineRule="exact"/>
        <w:ind w:firstLine="540"/>
        <w:rPr>
          <w:color w:val="000000" w:themeColor="text1"/>
          <w:sz w:val="28"/>
          <w:szCs w:val="28"/>
          <w14:textFill>
            <w14:solidFill>
              <w14:schemeClr w14:val="tx1"/>
            </w14:solidFill>
          </w14:textFill>
        </w:rPr>
      </w:pPr>
    </w:p>
    <w:p>
      <w:pPr>
        <w:pStyle w:val="2"/>
        <w:spacing w:line="560" w:lineRule="exact"/>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2"/>
        <w:spacing w:line="560" w:lineRule="exact"/>
        <w:rPr>
          <w:rFonts w:hint="eastAsia"/>
        </w:rPr>
      </w:pPr>
    </w:p>
    <w:p>
      <w:pPr>
        <w:spacing w:line="560" w:lineRule="exact"/>
        <w:rPr>
          <w:rFonts w:ascii="宋体" w:hAnsi="宋体" w:cs="宋体"/>
          <w:kern w:val="0"/>
          <w:sz w:val="28"/>
          <w:szCs w:val="28"/>
        </w:rPr>
      </w:pPr>
    </w:p>
    <w:sectPr>
      <w:pgSz w:w="11906" w:h="16838"/>
      <w:pgMar w:top="1440" w:right="1422" w:bottom="1440" w:left="12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Style w:val="20"/>
                            </w:rPr>
                          </w:pPr>
                          <w:r>
                            <w:rPr>
                              <w:rStyle w:val="20"/>
                            </w:rPr>
                            <w:fldChar w:fldCharType="begin"/>
                          </w:r>
                          <w:r>
                            <w:rPr>
                              <w:rStyle w:val="20"/>
                            </w:rPr>
                            <w:instrText xml:space="preserve">PAGE  </w:instrText>
                          </w:r>
                          <w:r>
                            <w:rPr>
                              <w:rStyle w:val="20"/>
                            </w:rPr>
                            <w:fldChar w:fldCharType="separate"/>
                          </w:r>
                          <w:r>
                            <w:rPr>
                              <w:rStyle w:val="20"/>
                            </w:rPr>
                            <w:t>22</w:t>
                          </w:r>
                          <w:r>
                            <w:rPr>
                              <w:rStyle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11"/>
                      <w:rPr>
                        <w:rStyle w:val="20"/>
                      </w:rPr>
                    </w:pPr>
                    <w:r>
                      <w:rPr>
                        <w:rStyle w:val="20"/>
                      </w:rPr>
                      <w:fldChar w:fldCharType="begin"/>
                    </w:r>
                    <w:r>
                      <w:rPr>
                        <w:rStyle w:val="20"/>
                      </w:rPr>
                      <w:instrText xml:space="preserve">PAGE  </w:instrText>
                    </w:r>
                    <w:r>
                      <w:rPr>
                        <w:rStyle w:val="20"/>
                      </w:rPr>
                      <w:fldChar w:fldCharType="separate"/>
                    </w:r>
                    <w:r>
                      <w:rPr>
                        <w:rStyle w:val="20"/>
                      </w:rPr>
                      <w:t>22</w:t>
                    </w:r>
                    <w:r>
                      <w:rPr>
                        <w:rStyle w:val="20"/>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61312" behindDoc="0" locked="0" layoutInCell="1" allowOverlap="1">
              <wp:simplePos x="0" y="0"/>
              <wp:positionH relativeFrom="margin">
                <wp:posOffset>3025775</wp:posOffset>
              </wp:positionH>
              <wp:positionV relativeFrom="paragraph">
                <wp:posOffset>-9525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38.25pt;margin-top:-0.75pt;height:144pt;width:144pt;mso-position-horizontal-relative:margin;mso-wrap-style:none;z-index:251661312;mso-width-relative:page;mso-height-relative:page;" filled="f" stroked="f" coordsize="21600,21600" o:gfxdata="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aceN+1wAAAAoBAAAPAAAAAAAAAAEAIAAAACIAAABkcnMvZG93bnJldi54bWxQSwECFAAU&#10;AAAACACHTuJAYpCETCsCAABXBAAADgAAAAAAAAABACAAAAAmAQAAZHJzL2Uyb0RvYy54bWxQSwUG&#10;AAAAAAYABgBZAQAAwwUAAAAA&#10;">
              <v:fill on="f" focussize="0,0"/>
              <v:stroke on="f" weight="0.5pt"/>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E32A47"/>
    <w:multiLevelType w:val="singleLevel"/>
    <w:tmpl w:val="2DE32A47"/>
    <w:lvl w:ilvl="0" w:tentative="0">
      <w:start w:val="1"/>
      <w:numFmt w:val="decimal"/>
      <w:suff w:val="nothing"/>
      <w:lvlText w:val="%1、"/>
      <w:lvlJc w:val="left"/>
    </w:lvl>
  </w:abstractNum>
  <w:abstractNum w:abstractNumId="1">
    <w:nsid w:val="476D095D"/>
    <w:multiLevelType w:val="singleLevel"/>
    <w:tmpl w:val="476D095D"/>
    <w:lvl w:ilvl="0" w:tentative="0">
      <w:start w:val="1"/>
      <w:numFmt w:val="decimal"/>
      <w:suff w:val="nothing"/>
      <w:lvlText w:val="%1、"/>
      <w:lvlJc w:val="left"/>
      <w:pPr>
        <w:ind w:left="560" w:firstLine="0"/>
      </w:pPr>
    </w:lvl>
  </w:abstractNum>
  <w:abstractNum w:abstractNumId="2">
    <w:nsid w:val="6114C136"/>
    <w:multiLevelType w:val="singleLevel"/>
    <w:tmpl w:val="6114C136"/>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2648"/>
    <w:rsid w:val="00003421"/>
    <w:rsid w:val="00003D54"/>
    <w:rsid w:val="00004DBF"/>
    <w:rsid w:val="0000566B"/>
    <w:rsid w:val="00006484"/>
    <w:rsid w:val="00006C9F"/>
    <w:rsid w:val="0000725E"/>
    <w:rsid w:val="00012689"/>
    <w:rsid w:val="000147DD"/>
    <w:rsid w:val="00014858"/>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B37"/>
    <w:rsid w:val="00045790"/>
    <w:rsid w:val="000464A4"/>
    <w:rsid w:val="000465BB"/>
    <w:rsid w:val="00046E5B"/>
    <w:rsid w:val="0004737D"/>
    <w:rsid w:val="00051925"/>
    <w:rsid w:val="00053728"/>
    <w:rsid w:val="000568DD"/>
    <w:rsid w:val="00056FFE"/>
    <w:rsid w:val="00060724"/>
    <w:rsid w:val="00062561"/>
    <w:rsid w:val="00066248"/>
    <w:rsid w:val="00066555"/>
    <w:rsid w:val="0007344D"/>
    <w:rsid w:val="00073986"/>
    <w:rsid w:val="00076040"/>
    <w:rsid w:val="000767E7"/>
    <w:rsid w:val="00087074"/>
    <w:rsid w:val="000929F8"/>
    <w:rsid w:val="00093C37"/>
    <w:rsid w:val="000A14CD"/>
    <w:rsid w:val="000A3FA7"/>
    <w:rsid w:val="000A6B6B"/>
    <w:rsid w:val="000B1663"/>
    <w:rsid w:val="000B2031"/>
    <w:rsid w:val="000B5752"/>
    <w:rsid w:val="000B79AB"/>
    <w:rsid w:val="000C3DF6"/>
    <w:rsid w:val="000C6B0F"/>
    <w:rsid w:val="000D1EFE"/>
    <w:rsid w:val="000D3D91"/>
    <w:rsid w:val="000D4E4A"/>
    <w:rsid w:val="000E0DCE"/>
    <w:rsid w:val="000E24A3"/>
    <w:rsid w:val="000E3CB4"/>
    <w:rsid w:val="000E5136"/>
    <w:rsid w:val="000E56EE"/>
    <w:rsid w:val="000F0037"/>
    <w:rsid w:val="000F1EB9"/>
    <w:rsid w:val="000F272D"/>
    <w:rsid w:val="000F3C27"/>
    <w:rsid w:val="000F6945"/>
    <w:rsid w:val="001002B6"/>
    <w:rsid w:val="001005CB"/>
    <w:rsid w:val="0010325F"/>
    <w:rsid w:val="00103D20"/>
    <w:rsid w:val="00105698"/>
    <w:rsid w:val="00106C11"/>
    <w:rsid w:val="00107A7C"/>
    <w:rsid w:val="00112F22"/>
    <w:rsid w:val="00113E76"/>
    <w:rsid w:val="00114146"/>
    <w:rsid w:val="00116DDF"/>
    <w:rsid w:val="001210ED"/>
    <w:rsid w:val="001260E1"/>
    <w:rsid w:val="00126F73"/>
    <w:rsid w:val="0013026B"/>
    <w:rsid w:val="001310C3"/>
    <w:rsid w:val="00133398"/>
    <w:rsid w:val="001348D7"/>
    <w:rsid w:val="00136FBD"/>
    <w:rsid w:val="0014199F"/>
    <w:rsid w:val="00144B1A"/>
    <w:rsid w:val="0014661F"/>
    <w:rsid w:val="0014760E"/>
    <w:rsid w:val="00147AFB"/>
    <w:rsid w:val="00152BA3"/>
    <w:rsid w:val="00155F9B"/>
    <w:rsid w:val="00157DD1"/>
    <w:rsid w:val="001612D9"/>
    <w:rsid w:val="00161C3C"/>
    <w:rsid w:val="00163CFE"/>
    <w:rsid w:val="00163DDD"/>
    <w:rsid w:val="00164EEC"/>
    <w:rsid w:val="00166F0F"/>
    <w:rsid w:val="00167FFC"/>
    <w:rsid w:val="001705C2"/>
    <w:rsid w:val="00170859"/>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90BE9"/>
    <w:rsid w:val="00195537"/>
    <w:rsid w:val="001963B3"/>
    <w:rsid w:val="001A28E0"/>
    <w:rsid w:val="001A5AB3"/>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C36"/>
    <w:rsid w:val="001D344E"/>
    <w:rsid w:val="001D4A6F"/>
    <w:rsid w:val="001D739C"/>
    <w:rsid w:val="001D75ED"/>
    <w:rsid w:val="001D7DC1"/>
    <w:rsid w:val="001D7FD7"/>
    <w:rsid w:val="001E2FA8"/>
    <w:rsid w:val="001E4822"/>
    <w:rsid w:val="001E4910"/>
    <w:rsid w:val="001E6644"/>
    <w:rsid w:val="001E7B3B"/>
    <w:rsid w:val="001F076B"/>
    <w:rsid w:val="001F2B74"/>
    <w:rsid w:val="001F3D72"/>
    <w:rsid w:val="001F5C3F"/>
    <w:rsid w:val="001F6675"/>
    <w:rsid w:val="00200188"/>
    <w:rsid w:val="00204794"/>
    <w:rsid w:val="00205C7D"/>
    <w:rsid w:val="00205F34"/>
    <w:rsid w:val="00210550"/>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32DA"/>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35D4"/>
    <w:rsid w:val="002D42BA"/>
    <w:rsid w:val="002D45D2"/>
    <w:rsid w:val="002D4A2A"/>
    <w:rsid w:val="002D5351"/>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796"/>
    <w:rsid w:val="00301B81"/>
    <w:rsid w:val="00304BED"/>
    <w:rsid w:val="00306E39"/>
    <w:rsid w:val="003079A9"/>
    <w:rsid w:val="00310976"/>
    <w:rsid w:val="00310BCF"/>
    <w:rsid w:val="00311AE5"/>
    <w:rsid w:val="00311AE6"/>
    <w:rsid w:val="0031269D"/>
    <w:rsid w:val="00313E8D"/>
    <w:rsid w:val="0031585B"/>
    <w:rsid w:val="00315FEF"/>
    <w:rsid w:val="00317CBA"/>
    <w:rsid w:val="0032019B"/>
    <w:rsid w:val="00322DB7"/>
    <w:rsid w:val="00323698"/>
    <w:rsid w:val="003301D8"/>
    <w:rsid w:val="003356FE"/>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66198"/>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6502"/>
    <w:rsid w:val="003977BF"/>
    <w:rsid w:val="003A037F"/>
    <w:rsid w:val="003A1A52"/>
    <w:rsid w:val="003A7A7E"/>
    <w:rsid w:val="003B073C"/>
    <w:rsid w:val="003B397E"/>
    <w:rsid w:val="003C0236"/>
    <w:rsid w:val="003C0C2B"/>
    <w:rsid w:val="003C394B"/>
    <w:rsid w:val="003C5B21"/>
    <w:rsid w:val="003C7802"/>
    <w:rsid w:val="003C785A"/>
    <w:rsid w:val="003C7A16"/>
    <w:rsid w:val="003D0F40"/>
    <w:rsid w:val="003D3AD9"/>
    <w:rsid w:val="003D4EFD"/>
    <w:rsid w:val="003D5169"/>
    <w:rsid w:val="003D6E84"/>
    <w:rsid w:val="003D71A7"/>
    <w:rsid w:val="003D7C91"/>
    <w:rsid w:val="003E2381"/>
    <w:rsid w:val="003E3064"/>
    <w:rsid w:val="003E42FD"/>
    <w:rsid w:val="003E4D8A"/>
    <w:rsid w:val="003F389A"/>
    <w:rsid w:val="003F5054"/>
    <w:rsid w:val="003F7F43"/>
    <w:rsid w:val="0040043F"/>
    <w:rsid w:val="00402B39"/>
    <w:rsid w:val="00405924"/>
    <w:rsid w:val="00407D09"/>
    <w:rsid w:val="00410E6C"/>
    <w:rsid w:val="00411FBD"/>
    <w:rsid w:val="00412CE3"/>
    <w:rsid w:val="00417F11"/>
    <w:rsid w:val="00420018"/>
    <w:rsid w:val="00421E54"/>
    <w:rsid w:val="00422AEE"/>
    <w:rsid w:val="00424FEA"/>
    <w:rsid w:val="0042767A"/>
    <w:rsid w:val="00427A55"/>
    <w:rsid w:val="00430318"/>
    <w:rsid w:val="0043250B"/>
    <w:rsid w:val="00437498"/>
    <w:rsid w:val="00440341"/>
    <w:rsid w:val="00443318"/>
    <w:rsid w:val="004434A9"/>
    <w:rsid w:val="0044724E"/>
    <w:rsid w:val="00450469"/>
    <w:rsid w:val="004508AE"/>
    <w:rsid w:val="00452E3F"/>
    <w:rsid w:val="00457183"/>
    <w:rsid w:val="00457592"/>
    <w:rsid w:val="00461D81"/>
    <w:rsid w:val="00463C05"/>
    <w:rsid w:val="00463E43"/>
    <w:rsid w:val="004674C3"/>
    <w:rsid w:val="00470720"/>
    <w:rsid w:val="00470B60"/>
    <w:rsid w:val="00471430"/>
    <w:rsid w:val="00471A36"/>
    <w:rsid w:val="0047395D"/>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E7EB7"/>
    <w:rsid w:val="004F0A40"/>
    <w:rsid w:val="004F2B9D"/>
    <w:rsid w:val="004F3FEB"/>
    <w:rsid w:val="004F4F36"/>
    <w:rsid w:val="004F53D8"/>
    <w:rsid w:val="004F5BD0"/>
    <w:rsid w:val="004F61C1"/>
    <w:rsid w:val="004F6C83"/>
    <w:rsid w:val="005030BD"/>
    <w:rsid w:val="00510683"/>
    <w:rsid w:val="005112CC"/>
    <w:rsid w:val="00521626"/>
    <w:rsid w:val="00521ACC"/>
    <w:rsid w:val="00521BBE"/>
    <w:rsid w:val="005223D8"/>
    <w:rsid w:val="00523CC2"/>
    <w:rsid w:val="00524637"/>
    <w:rsid w:val="00527C7C"/>
    <w:rsid w:val="00532285"/>
    <w:rsid w:val="00532712"/>
    <w:rsid w:val="00532C73"/>
    <w:rsid w:val="005359C9"/>
    <w:rsid w:val="00540564"/>
    <w:rsid w:val="00542383"/>
    <w:rsid w:val="00564F6D"/>
    <w:rsid w:val="0056594E"/>
    <w:rsid w:val="00566901"/>
    <w:rsid w:val="005679BB"/>
    <w:rsid w:val="00570871"/>
    <w:rsid w:val="005728B8"/>
    <w:rsid w:val="00573F72"/>
    <w:rsid w:val="00575256"/>
    <w:rsid w:val="00580812"/>
    <w:rsid w:val="0058082F"/>
    <w:rsid w:val="005813EB"/>
    <w:rsid w:val="00581D4C"/>
    <w:rsid w:val="00582A99"/>
    <w:rsid w:val="005846F0"/>
    <w:rsid w:val="00584F71"/>
    <w:rsid w:val="00585610"/>
    <w:rsid w:val="00586D77"/>
    <w:rsid w:val="005876A7"/>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82167"/>
    <w:rsid w:val="006903D8"/>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5BF7"/>
    <w:rsid w:val="006C6AC6"/>
    <w:rsid w:val="006C6F8B"/>
    <w:rsid w:val="006D0BB9"/>
    <w:rsid w:val="006D6C48"/>
    <w:rsid w:val="006E0BAF"/>
    <w:rsid w:val="006E0DD7"/>
    <w:rsid w:val="006E1107"/>
    <w:rsid w:val="006E6395"/>
    <w:rsid w:val="006F4EDD"/>
    <w:rsid w:val="006F4F47"/>
    <w:rsid w:val="006F5A80"/>
    <w:rsid w:val="007028EF"/>
    <w:rsid w:val="00707DF8"/>
    <w:rsid w:val="0071104D"/>
    <w:rsid w:val="00714056"/>
    <w:rsid w:val="007176D5"/>
    <w:rsid w:val="007216F9"/>
    <w:rsid w:val="00721A03"/>
    <w:rsid w:val="00722F34"/>
    <w:rsid w:val="00723EC7"/>
    <w:rsid w:val="0072733C"/>
    <w:rsid w:val="007316D5"/>
    <w:rsid w:val="00731BFA"/>
    <w:rsid w:val="00731C64"/>
    <w:rsid w:val="007321A8"/>
    <w:rsid w:val="007338F9"/>
    <w:rsid w:val="0073706D"/>
    <w:rsid w:val="007425F2"/>
    <w:rsid w:val="00743B9C"/>
    <w:rsid w:val="00743F14"/>
    <w:rsid w:val="00745542"/>
    <w:rsid w:val="007459F7"/>
    <w:rsid w:val="0074604C"/>
    <w:rsid w:val="00750C73"/>
    <w:rsid w:val="00754DD8"/>
    <w:rsid w:val="00755168"/>
    <w:rsid w:val="00755B96"/>
    <w:rsid w:val="00756110"/>
    <w:rsid w:val="007570B4"/>
    <w:rsid w:val="007601BD"/>
    <w:rsid w:val="007622E3"/>
    <w:rsid w:val="007626D2"/>
    <w:rsid w:val="0076316B"/>
    <w:rsid w:val="00764C4D"/>
    <w:rsid w:val="00765AC1"/>
    <w:rsid w:val="00765F40"/>
    <w:rsid w:val="00766B6E"/>
    <w:rsid w:val="00773E47"/>
    <w:rsid w:val="007741D0"/>
    <w:rsid w:val="00775DEB"/>
    <w:rsid w:val="007764E0"/>
    <w:rsid w:val="00777987"/>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003E"/>
    <w:rsid w:val="007D2036"/>
    <w:rsid w:val="007D255C"/>
    <w:rsid w:val="007D59AB"/>
    <w:rsid w:val="007D5E38"/>
    <w:rsid w:val="007E04CA"/>
    <w:rsid w:val="007E29E2"/>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349B"/>
    <w:rsid w:val="00844BA1"/>
    <w:rsid w:val="00845B57"/>
    <w:rsid w:val="00845DD5"/>
    <w:rsid w:val="00846B43"/>
    <w:rsid w:val="00847519"/>
    <w:rsid w:val="00854AA1"/>
    <w:rsid w:val="0085589E"/>
    <w:rsid w:val="00857AAF"/>
    <w:rsid w:val="00860EFF"/>
    <w:rsid w:val="00864234"/>
    <w:rsid w:val="008649D3"/>
    <w:rsid w:val="0086552A"/>
    <w:rsid w:val="00865C24"/>
    <w:rsid w:val="00867A62"/>
    <w:rsid w:val="00876117"/>
    <w:rsid w:val="00880347"/>
    <w:rsid w:val="00880CE4"/>
    <w:rsid w:val="00887D17"/>
    <w:rsid w:val="00890ABC"/>
    <w:rsid w:val="00890D15"/>
    <w:rsid w:val="00891BFD"/>
    <w:rsid w:val="0089253C"/>
    <w:rsid w:val="00893B2D"/>
    <w:rsid w:val="008940E8"/>
    <w:rsid w:val="008A0476"/>
    <w:rsid w:val="008A17AD"/>
    <w:rsid w:val="008A1E78"/>
    <w:rsid w:val="008A1FBA"/>
    <w:rsid w:val="008A21D7"/>
    <w:rsid w:val="008B4557"/>
    <w:rsid w:val="008B5C62"/>
    <w:rsid w:val="008C1348"/>
    <w:rsid w:val="008C2051"/>
    <w:rsid w:val="008C311B"/>
    <w:rsid w:val="008C36AC"/>
    <w:rsid w:val="008C580E"/>
    <w:rsid w:val="008C7FD8"/>
    <w:rsid w:val="008D3054"/>
    <w:rsid w:val="008D30B7"/>
    <w:rsid w:val="008E163E"/>
    <w:rsid w:val="008E3C88"/>
    <w:rsid w:val="008E6016"/>
    <w:rsid w:val="008E6242"/>
    <w:rsid w:val="008E67A3"/>
    <w:rsid w:val="008F0B76"/>
    <w:rsid w:val="008F1F1D"/>
    <w:rsid w:val="008F2D95"/>
    <w:rsid w:val="008F4A55"/>
    <w:rsid w:val="008F70B1"/>
    <w:rsid w:val="008F7BC2"/>
    <w:rsid w:val="00900EDE"/>
    <w:rsid w:val="00902DA8"/>
    <w:rsid w:val="00903337"/>
    <w:rsid w:val="009041D2"/>
    <w:rsid w:val="00906214"/>
    <w:rsid w:val="00910E46"/>
    <w:rsid w:val="009128C0"/>
    <w:rsid w:val="00912904"/>
    <w:rsid w:val="009168E1"/>
    <w:rsid w:val="009200BB"/>
    <w:rsid w:val="009230AF"/>
    <w:rsid w:val="00923D29"/>
    <w:rsid w:val="009245D7"/>
    <w:rsid w:val="009253A6"/>
    <w:rsid w:val="00926102"/>
    <w:rsid w:val="00927304"/>
    <w:rsid w:val="009279B9"/>
    <w:rsid w:val="0093109A"/>
    <w:rsid w:val="00933BE7"/>
    <w:rsid w:val="00934F4B"/>
    <w:rsid w:val="00935175"/>
    <w:rsid w:val="0093558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0D98"/>
    <w:rsid w:val="00972BC6"/>
    <w:rsid w:val="0097578C"/>
    <w:rsid w:val="009757AE"/>
    <w:rsid w:val="00982498"/>
    <w:rsid w:val="009842D3"/>
    <w:rsid w:val="00985F92"/>
    <w:rsid w:val="00986550"/>
    <w:rsid w:val="00986E86"/>
    <w:rsid w:val="009906F7"/>
    <w:rsid w:val="009917DD"/>
    <w:rsid w:val="0099399A"/>
    <w:rsid w:val="00994A82"/>
    <w:rsid w:val="009951C8"/>
    <w:rsid w:val="0099648D"/>
    <w:rsid w:val="00996C0B"/>
    <w:rsid w:val="009972E6"/>
    <w:rsid w:val="009974D1"/>
    <w:rsid w:val="009A28EC"/>
    <w:rsid w:val="009A2E6A"/>
    <w:rsid w:val="009A380D"/>
    <w:rsid w:val="009A4155"/>
    <w:rsid w:val="009A4815"/>
    <w:rsid w:val="009A4C5B"/>
    <w:rsid w:val="009A78BC"/>
    <w:rsid w:val="009A79AD"/>
    <w:rsid w:val="009B008A"/>
    <w:rsid w:val="009B0E0C"/>
    <w:rsid w:val="009B1CA3"/>
    <w:rsid w:val="009B366D"/>
    <w:rsid w:val="009B580A"/>
    <w:rsid w:val="009B5F55"/>
    <w:rsid w:val="009C0A6E"/>
    <w:rsid w:val="009D25E7"/>
    <w:rsid w:val="009D2E5E"/>
    <w:rsid w:val="009D4353"/>
    <w:rsid w:val="009D4584"/>
    <w:rsid w:val="009D4AEA"/>
    <w:rsid w:val="009D5E0A"/>
    <w:rsid w:val="009E1FEF"/>
    <w:rsid w:val="009E2062"/>
    <w:rsid w:val="009E2E53"/>
    <w:rsid w:val="009E3013"/>
    <w:rsid w:val="009E6CCA"/>
    <w:rsid w:val="009E7074"/>
    <w:rsid w:val="009F047D"/>
    <w:rsid w:val="009F0663"/>
    <w:rsid w:val="009F0A45"/>
    <w:rsid w:val="009F0EEB"/>
    <w:rsid w:val="009F196D"/>
    <w:rsid w:val="009F4460"/>
    <w:rsid w:val="009F4DEB"/>
    <w:rsid w:val="00A0067A"/>
    <w:rsid w:val="00A01A91"/>
    <w:rsid w:val="00A020B2"/>
    <w:rsid w:val="00A028BE"/>
    <w:rsid w:val="00A036ED"/>
    <w:rsid w:val="00A063DC"/>
    <w:rsid w:val="00A06C56"/>
    <w:rsid w:val="00A07A53"/>
    <w:rsid w:val="00A1045B"/>
    <w:rsid w:val="00A12E4F"/>
    <w:rsid w:val="00A13E0F"/>
    <w:rsid w:val="00A13E70"/>
    <w:rsid w:val="00A175B8"/>
    <w:rsid w:val="00A22BA5"/>
    <w:rsid w:val="00A22CA1"/>
    <w:rsid w:val="00A24AFC"/>
    <w:rsid w:val="00A2675C"/>
    <w:rsid w:val="00A32CB5"/>
    <w:rsid w:val="00A352DC"/>
    <w:rsid w:val="00A37F8A"/>
    <w:rsid w:val="00A41273"/>
    <w:rsid w:val="00A41432"/>
    <w:rsid w:val="00A41751"/>
    <w:rsid w:val="00A42223"/>
    <w:rsid w:val="00A43F89"/>
    <w:rsid w:val="00A45A67"/>
    <w:rsid w:val="00A45B4A"/>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0D00"/>
    <w:rsid w:val="00A91D7F"/>
    <w:rsid w:val="00A9426A"/>
    <w:rsid w:val="00A94E60"/>
    <w:rsid w:val="00A972C0"/>
    <w:rsid w:val="00A9737B"/>
    <w:rsid w:val="00A974C0"/>
    <w:rsid w:val="00AA0AE1"/>
    <w:rsid w:val="00AA14A9"/>
    <w:rsid w:val="00AA1DE3"/>
    <w:rsid w:val="00AA2B0E"/>
    <w:rsid w:val="00AA2D7F"/>
    <w:rsid w:val="00AA553C"/>
    <w:rsid w:val="00AA70E0"/>
    <w:rsid w:val="00AA72CF"/>
    <w:rsid w:val="00AB2E04"/>
    <w:rsid w:val="00AB3B17"/>
    <w:rsid w:val="00AB6D14"/>
    <w:rsid w:val="00AC1A29"/>
    <w:rsid w:val="00AC27F8"/>
    <w:rsid w:val="00AC336A"/>
    <w:rsid w:val="00AC3407"/>
    <w:rsid w:val="00AC415D"/>
    <w:rsid w:val="00AC524F"/>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3029F"/>
    <w:rsid w:val="00B327A8"/>
    <w:rsid w:val="00B33A8E"/>
    <w:rsid w:val="00B359D8"/>
    <w:rsid w:val="00B373C9"/>
    <w:rsid w:val="00B410FD"/>
    <w:rsid w:val="00B411C8"/>
    <w:rsid w:val="00B411E0"/>
    <w:rsid w:val="00B42553"/>
    <w:rsid w:val="00B42A54"/>
    <w:rsid w:val="00B42C7D"/>
    <w:rsid w:val="00B50AE4"/>
    <w:rsid w:val="00B53D50"/>
    <w:rsid w:val="00B5444E"/>
    <w:rsid w:val="00B544D8"/>
    <w:rsid w:val="00B57000"/>
    <w:rsid w:val="00B57180"/>
    <w:rsid w:val="00B604CB"/>
    <w:rsid w:val="00B61680"/>
    <w:rsid w:val="00B61E89"/>
    <w:rsid w:val="00B62147"/>
    <w:rsid w:val="00B63798"/>
    <w:rsid w:val="00B64128"/>
    <w:rsid w:val="00B64130"/>
    <w:rsid w:val="00B64163"/>
    <w:rsid w:val="00B64726"/>
    <w:rsid w:val="00B65F90"/>
    <w:rsid w:val="00B66EBA"/>
    <w:rsid w:val="00B706A5"/>
    <w:rsid w:val="00B72AAC"/>
    <w:rsid w:val="00B735C5"/>
    <w:rsid w:val="00B74E6A"/>
    <w:rsid w:val="00B75EDF"/>
    <w:rsid w:val="00B762B9"/>
    <w:rsid w:val="00B76EAD"/>
    <w:rsid w:val="00B77E69"/>
    <w:rsid w:val="00B81EB9"/>
    <w:rsid w:val="00B82537"/>
    <w:rsid w:val="00B85A4E"/>
    <w:rsid w:val="00B869AD"/>
    <w:rsid w:val="00B906CF"/>
    <w:rsid w:val="00B90A1E"/>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853"/>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5880"/>
    <w:rsid w:val="00C26F5F"/>
    <w:rsid w:val="00C272FF"/>
    <w:rsid w:val="00C300DD"/>
    <w:rsid w:val="00C30D63"/>
    <w:rsid w:val="00C35E86"/>
    <w:rsid w:val="00C4284E"/>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1037"/>
    <w:rsid w:val="00C745F8"/>
    <w:rsid w:val="00C746FA"/>
    <w:rsid w:val="00C74F1D"/>
    <w:rsid w:val="00C754C7"/>
    <w:rsid w:val="00C77BAF"/>
    <w:rsid w:val="00C8053F"/>
    <w:rsid w:val="00C84688"/>
    <w:rsid w:val="00C86227"/>
    <w:rsid w:val="00C90103"/>
    <w:rsid w:val="00C90B8E"/>
    <w:rsid w:val="00C92C1C"/>
    <w:rsid w:val="00C93053"/>
    <w:rsid w:val="00C93F37"/>
    <w:rsid w:val="00C94320"/>
    <w:rsid w:val="00C95392"/>
    <w:rsid w:val="00C95FDD"/>
    <w:rsid w:val="00CA4643"/>
    <w:rsid w:val="00CA5564"/>
    <w:rsid w:val="00CA6174"/>
    <w:rsid w:val="00CA7EA1"/>
    <w:rsid w:val="00CB01B5"/>
    <w:rsid w:val="00CB04F4"/>
    <w:rsid w:val="00CB2152"/>
    <w:rsid w:val="00CB2FCD"/>
    <w:rsid w:val="00CB3D10"/>
    <w:rsid w:val="00CB4E1D"/>
    <w:rsid w:val="00CB4E7B"/>
    <w:rsid w:val="00CB5F7F"/>
    <w:rsid w:val="00CB7B68"/>
    <w:rsid w:val="00CC032D"/>
    <w:rsid w:val="00CC0521"/>
    <w:rsid w:val="00CC12C0"/>
    <w:rsid w:val="00CC353C"/>
    <w:rsid w:val="00CC5648"/>
    <w:rsid w:val="00CC6F6D"/>
    <w:rsid w:val="00CC766B"/>
    <w:rsid w:val="00CD0871"/>
    <w:rsid w:val="00CD1F8D"/>
    <w:rsid w:val="00CD2B85"/>
    <w:rsid w:val="00CD4382"/>
    <w:rsid w:val="00CD4DA4"/>
    <w:rsid w:val="00CD5236"/>
    <w:rsid w:val="00CD6F9F"/>
    <w:rsid w:val="00CD799E"/>
    <w:rsid w:val="00CE2C64"/>
    <w:rsid w:val="00CE33DC"/>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7AA0"/>
    <w:rsid w:val="00D1264D"/>
    <w:rsid w:val="00D13530"/>
    <w:rsid w:val="00D14004"/>
    <w:rsid w:val="00D15957"/>
    <w:rsid w:val="00D17713"/>
    <w:rsid w:val="00D20024"/>
    <w:rsid w:val="00D2041A"/>
    <w:rsid w:val="00D21DA7"/>
    <w:rsid w:val="00D22D44"/>
    <w:rsid w:val="00D26504"/>
    <w:rsid w:val="00D30280"/>
    <w:rsid w:val="00D3072D"/>
    <w:rsid w:val="00D31D1A"/>
    <w:rsid w:val="00D338E1"/>
    <w:rsid w:val="00D35E7E"/>
    <w:rsid w:val="00D3726B"/>
    <w:rsid w:val="00D4080B"/>
    <w:rsid w:val="00D42EA8"/>
    <w:rsid w:val="00D44518"/>
    <w:rsid w:val="00D44AE5"/>
    <w:rsid w:val="00D47A2A"/>
    <w:rsid w:val="00D502C7"/>
    <w:rsid w:val="00D51F54"/>
    <w:rsid w:val="00D544FB"/>
    <w:rsid w:val="00D556C6"/>
    <w:rsid w:val="00D56BF5"/>
    <w:rsid w:val="00D5708F"/>
    <w:rsid w:val="00D571C6"/>
    <w:rsid w:val="00D57627"/>
    <w:rsid w:val="00D61CA7"/>
    <w:rsid w:val="00D628C2"/>
    <w:rsid w:val="00D66246"/>
    <w:rsid w:val="00D707ED"/>
    <w:rsid w:val="00D70B36"/>
    <w:rsid w:val="00D72501"/>
    <w:rsid w:val="00D7368D"/>
    <w:rsid w:val="00D76A46"/>
    <w:rsid w:val="00D81C11"/>
    <w:rsid w:val="00D847F4"/>
    <w:rsid w:val="00D8566A"/>
    <w:rsid w:val="00D8599B"/>
    <w:rsid w:val="00D86279"/>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3C36"/>
    <w:rsid w:val="00DD5866"/>
    <w:rsid w:val="00DD5E3F"/>
    <w:rsid w:val="00DD6A0D"/>
    <w:rsid w:val="00DD7896"/>
    <w:rsid w:val="00DD7E79"/>
    <w:rsid w:val="00DE1283"/>
    <w:rsid w:val="00DE408F"/>
    <w:rsid w:val="00DE74EF"/>
    <w:rsid w:val="00DE765E"/>
    <w:rsid w:val="00DF0750"/>
    <w:rsid w:val="00DF0B03"/>
    <w:rsid w:val="00DF2748"/>
    <w:rsid w:val="00DF3608"/>
    <w:rsid w:val="00DF72B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1348"/>
    <w:rsid w:val="00E35138"/>
    <w:rsid w:val="00E35AB7"/>
    <w:rsid w:val="00E430AF"/>
    <w:rsid w:val="00E4324B"/>
    <w:rsid w:val="00E43975"/>
    <w:rsid w:val="00E43B42"/>
    <w:rsid w:val="00E46797"/>
    <w:rsid w:val="00E47E13"/>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D1335"/>
    <w:rsid w:val="00ED48A8"/>
    <w:rsid w:val="00ED4F16"/>
    <w:rsid w:val="00ED524E"/>
    <w:rsid w:val="00ED7321"/>
    <w:rsid w:val="00ED7853"/>
    <w:rsid w:val="00EE0059"/>
    <w:rsid w:val="00EE0AEA"/>
    <w:rsid w:val="00EE162E"/>
    <w:rsid w:val="00EE1802"/>
    <w:rsid w:val="00EE47E7"/>
    <w:rsid w:val="00EE483D"/>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594F"/>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3B9F"/>
    <w:rsid w:val="00F77881"/>
    <w:rsid w:val="00F77D99"/>
    <w:rsid w:val="00F77EE1"/>
    <w:rsid w:val="00F80343"/>
    <w:rsid w:val="00F81660"/>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24EC"/>
    <w:rsid w:val="00FC4D32"/>
    <w:rsid w:val="00FC53E5"/>
    <w:rsid w:val="00FC62EC"/>
    <w:rsid w:val="00FD19BC"/>
    <w:rsid w:val="00FD1C5D"/>
    <w:rsid w:val="00FE075F"/>
    <w:rsid w:val="00FE205A"/>
    <w:rsid w:val="00FE33A6"/>
    <w:rsid w:val="00FE41AD"/>
    <w:rsid w:val="00FE75CB"/>
    <w:rsid w:val="00FE76BE"/>
    <w:rsid w:val="00FF0384"/>
    <w:rsid w:val="00FF0A90"/>
    <w:rsid w:val="00FF4476"/>
    <w:rsid w:val="00FF6B5D"/>
    <w:rsid w:val="00FF6C8F"/>
    <w:rsid w:val="00FF7ED4"/>
    <w:rsid w:val="012E0AAB"/>
    <w:rsid w:val="012F5F8E"/>
    <w:rsid w:val="01394523"/>
    <w:rsid w:val="01442FE7"/>
    <w:rsid w:val="01484369"/>
    <w:rsid w:val="014D2AC7"/>
    <w:rsid w:val="015D3787"/>
    <w:rsid w:val="01640041"/>
    <w:rsid w:val="017802FB"/>
    <w:rsid w:val="01827547"/>
    <w:rsid w:val="018324D4"/>
    <w:rsid w:val="0183271D"/>
    <w:rsid w:val="019E5AF1"/>
    <w:rsid w:val="01A32C94"/>
    <w:rsid w:val="01A6700B"/>
    <w:rsid w:val="01BA7EF6"/>
    <w:rsid w:val="01BF3C78"/>
    <w:rsid w:val="01BF4920"/>
    <w:rsid w:val="01DE5944"/>
    <w:rsid w:val="01E81D06"/>
    <w:rsid w:val="01F1425B"/>
    <w:rsid w:val="02025F21"/>
    <w:rsid w:val="021026A9"/>
    <w:rsid w:val="02122399"/>
    <w:rsid w:val="02135FD8"/>
    <w:rsid w:val="02157C19"/>
    <w:rsid w:val="02193A75"/>
    <w:rsid w:val="0219552B"/>
    <w:rsid w:val="023B77CE"/>
    <w:rsid w:val="023C386A"/>
    <w:rsid w:val="0243000B"/>
    <w:rsid w:val="02511614"/>
    <w:rsid w:val="02556AC9"/>
    <w:rsid w:val="02584479"/>
    <w:rsid w:val="02787B01"/>
    <w:rsid w:val="027A40F1"/>
    <w:rsid w:val="02822C01"/>
    <w:rsid w:val="02931AEB"/>
    <w:rsid w:val="02B60105"/>
    <w:rsid w:val="02B72EAD"/>
    <w:rsid w:val="02C47C0F"/>
    <w:rsid w:val="02C53680"/>
    <w:rsid w:val="02D15D68"/>
    <w:rsid w:val="02D340BF"/>
    <w:rsid w:val="02D9059F"/>
    <w:rsid w:val="02E03E28"/>
    <w:rsid w:val="02FB2849"/>
    <w:rsid w:val="0315794B"/>
    <w:rsid w:val="031A6B18"/>
    <w:rsid w:val="031C0991"/>
    <w:rsid w:val="032B6CF2"/>
    <w:rsid w:val="032D120B"/>
    <w:rsid w:val="033A090A"/>
    <w:rsid w:val="03536FEA"/>
    <w:rsid w:val="0370293B"/>
    <w:rsid w:val="037148F8"/>
    <w:rsid w:val="03882996"/>
    <w:rsid w:val="03A1096E"/>
    <w:rsid w:val="03A14A44"/>
    <w:rsid w:val="03A9533C"/>
    <w:rsid w:val="03AC7F46"/>
    <w:rsid w:val="03AE4BFF"/>
    <w:rsid w:val="03C3026F"/>
    <w:rsid w:val="03CB33B6"/>
    <w:rsid w:val="03CC58C8"/>
    <w:rsid w:val="03D0617F"/>
    <w:rsid w:val="03F01F9B"/>
    <w:rsid w:val="03F23853"/>
    <w:rsid w:val="03F50ECE"/>
    <w:rsid w:val="03F73677"/>
    <w:rsid w:val="041051C8"/>
    <w:rsid w:val="0429677D"/>
    <w:rsid w:val="0436629B"/>
    <w:rsid w:val="04377A2D"/>
    <w:rsid w:val="046B280A"/>
    <w:rsid w:val="04833693"/>
    <w:rsid w:val="048E1E8D"/>
    <w:rsid w:val="04A5724C"/>
    <w:rsid w:val="04B44BE3"/>
    <w:rsid w:val="04BA41B3"/>
    <w:rsid w:val="04BC06B2"/>
    <w:rsid w:val="04CE6116"/>
    <w:rsid w:val="04DD61A8"/>
    <w:rsid w:val="04F25BC6"/>
    <w:rsid w:val="04FB4174"/>
    <w:rsid w:val="04FC1625"/>
    <w:rsid w:val="04FE7EDF"/>
    <w:rsid w:val="051F767C"/>
    <w:rsid w:val="05214666"/>
    <w:rsid w:val="05243694"/>
    <w:rsid w:val="052E5D4F"/>
    <w:rsid w:val="05447909"/>
    <w:rsid w:val="054E7FE7"/>
    <w:rsid w:val="0556634A"/>
    <w:rsid w:val="05585FB6"/>
    <w:rsid w:val="055A0568"/>
    <w:rsid w:val="055B37AD"/>
    <w:rsid w:val="05891349"/>
    <w:rsid w:val="059E22B8"/>
    <w:rsid w:val="05BB374E"/>
    <w:rsid w:val="063E4E61"/>
    <w:rsid w:val="066B3891"/>
    <w:rsid w:val="066C634F"/>
    <w:rsid w:val="067A1CFD"/>
    <w:rsid w:val="069E75A7"/>
    <w:rsid w:val="06AC4ADF"/>
    <w:rsid w:val="06B13E33"/>
    <w:rsid w:val="06B865EE"/>
    <w:rsid w:val="06BB5B82"/>
    <w:rsid w:val="06C32A92"/>
    <w:rsid w:val="06C50AB0"/>
    <w:rsid w:val="06CA3B88"/>
    <w:rsid w:val="06CB6158"/>
    <w:rsid w:val="06DF48CD"/>
    <w:rsid w:val="06F04907"/>
    <w:rsid w:val="07105187"/>
    <w:rsid w:val="07166B1C"/>
    <w:rsid w:val="0727453F"/>
    <w:rsid w:val="074C5EF1"/>
    <w:rsid w:val="075426AC"/>
    <w:rsid w:val="075939D2"/>
    <w:rsid w:val="075C3AEB"/>
    <w:rsid w:val="077D1D26"/>
    <w:rsid w:val="0797231C"/>
    <w:rsid w:val="079B0488"/>
    <w:rsid w:val="07A62EEA"/>
    <w:rsid w:val="07A92922"/>
    <w:rsid w:val="07C366EE"/>
    <w:rsid w:val="07C40602"/>
    <w:rsid w:val="07D774B8"/>
    <w:rsid w:val="07E11592"/>
    <w:rsid w:val="07F924AB"/>
    <w:rsid w:val="08050E64"/>
    <w:rsid w:val="080726F4"/>
    <w:rsid w:val="080F6497"/>
    <w:rsid w:val="084523AB"/>
    <w:rsid w:val="08465C1C"/>
    <w:rsid w:val="088D4D7F"/>
    <w:rsid w:val="0890686E"/>
    <w:rsid w:val="089132FC"/>
    <w:rsid w:val="089E6C10"/>
    <w:rsid w:val="08A257CB"/>
    <w:rsid w:val="08B823BC"/>
    <w:rsid w:val="08BC0234"/>
    <w:rsid w:val="08BF4ADB"/>
    <w:rsid w:val="08C00084"/>
    <w:rsid w:val="08C07FD0"/>
    <w:rsid w:val="08C57810"/>
    <w:rsid w:val="09022FF8"/>
    <w:rsid w:val="096F04FE"/>
    <w:rsid w:val="098E72C3"/>
    <w:rsid w:val="09AB58E5"/>
    <w:rsid w:val="09BF14C5"/>
    <w:rsid w:val="09D252B6"/>
    <w:rsid w:val="09E96D5D"/>
    <w:rsid w:val="09EF3B64"/>
    <w:rsid w:val="09F87FD8"/>
    <w:rsid w:val="09FD2780"/>
    <w:rsid w:val="0A08493F"/>
    <w:rsid w:val="0A0D1905"/>
    <w:rsid w:val="0A2E1B00"/>
    <w:rsid w:val="0A3658DA"/>
    <w:rsid w:val="0A3732A0"/>
    <w:rsid w:val="0A433184"/>
    <w:rsid w:val="0A6D2BF0"/>
    <w:rsid w:val="0AAE35BE"/>
    <w:rsid w:val="0ADB5C5E"/>
    <w:rsid w:val="0B1070AD"/>
    <w:rsid w:val="0B15158F"/>
    <w:rsid w:val="0B1830A6"/>
    <w:rsid w:val="0B1B69A4"/>
    <w:rsid w:val="0B22126C"/>
    <w:rsid w:val="0B306CA3"/>
    <w:rsid w:val="0B3660D3"/>
    <w:rsid w:val="0B522AEA"/>
    <w:rsid w:val="0B5B71A8"/>
    <w:rsid w:val="0B5D47A1"/>
    <w:rsid w:val="0B812745"/>
    <w:rsid w:val="0B8A2560"/>
    <w:rsid w:val="0B904891"/>
    <w:rsid w:val="0BA85BC1"/>
    <w:rsid w:val="0BAE7AE2"/>
    <w:rsid w:val="0BAF22B1"/>
    <w:rsid w:val="0BB14626"/>
    <w:rsid w:val="0BBD066E"/>
    <w:rsid w:val="0BD30D76"/>
    <w:rsid w:val="0BE24F0B"/>
    <w:rsid w:val="0BF45792"/>
    <w:rsid w:val="0C213161"/>
    <w:rsid w:val="0C2C5D54"/>
    <w:rsid w:val="0C313EBD"/>
    <w:rsid w:val="0C45321F"/>
    <w:rsid w:val="0C773E5F"/>
    <w:rsid w:val="0C7D6462"/>
    <w:rsid w:val="0C892681"/>
    <w:rsid w:val="0C8C3EC5"/>
    <w:rsid w:val="0C97797B"/>
    <w:rsid w:val="0C9E57CF"/>
    <w:rsid w:val="0CA04C11"/>
    <w:rsid w:val="0CA51118"/>
    <w:rsid w:val="0CB15C34"/>
    <w:rsid w:val="0CBF6693"/>
    <w:rsid w:val="0CC1151E"/>
    <w:rsid w:val="0CC9148F"/>
    <w:rsid w:val="0CEF6BE1"/>
    <w:rsid w:val="0CF322B0"/>
    <w:rsid w:val="0D013F84"/>
    <w:rsid w:val="0D455782"/>
    <w:rsid w:val="0D744D3A"/>
    <w:rsid w:val="0D7E2CA8"/>
    <w:rsid w:val="0D8A6317"/>
    <w:rsid w:val="0D8B69FD"/>
    <w:rsid w:val="0D9F6D83"/>
    <w:rsid w:val="0DA3478C"/>
    <w:rsid w:val="0DB54EF3"/>
    <w:rsid w:val="0DBA1A4A"/>
    <w:rsid w:val="0DC3400C"/>
    <w:rsid w:val="0DC50E0C"/>
    <w:rsid w:val="0DC766EE"/>
    <w:rsid w:val="0DE25287"/>
    <w:rsid w:val="0DFE2DB9"/>
    <w:rsid w:val="0E272954"/>
    <w:rsid w:val="0E2B6698"/>
    <w:rsid w:val="0E470D26"/>
    <w:rsid w:val="0E5D18CC"/>
    <w:rsid w:val="0E7A79C6"/>
    <w:rsid w:val="0E981C8B"/>
    <w:rsid w:val="0E9D3E45"/>
    <w:rsid w:val="0EAE6B39"/>
    <w:rsid w:val="0ED04A9C"/>
    <w:rsid w:val="0EEC28EB"/>
    <w:rsid w:val="0EF64E7D"/>
    <w:rsid w:val="0EFA1F8B"/>
    <w:rsid w:val="0EFE1C23"/>
    <w:rsid w:val="0F0F3542"/>
    <w:rsid w:val="0F1A7017"/>
    <w:rsid w:val="0F374341"/>
    <w:rsid w:val="0F4E5FE4"/>
    <w:rsid w:val="0F51776C"/>
    <w:rsid w:val="0F5F0CB1"/>
    <w:rsid w:val="0F7757D4"/>
    <w:rsid w:val="0F8008F4"/>
    <w:rsid w:val="0F8A154E"/>
    <w:rsid w:val="0F8D5D2F"/>
    <w:rsid w:val="0FA436D7"/>
    <w:rsid w:val="0FB926E2"/>
    <w:rsid w:val="0FC51C1D"/>
    <w:rsid w:val="0FCC53B0"/>
    <w:rsid w:val="0FD16571"/>
    <w:rsid w:val="0FE109A1"/>
    <w:rsid w:val="0FF13656"/>
    <w:rsid w:val="0FF507E3"/>
    <w:rsid w:val="10063503"/>
    <w:rsid w:val="101F46FA"/>
    <w:rsid w:val="10315FAA"/>
    <w:rsid w:val="10323338"/>
    <w:rsid w:val="1037094B"/>
    <w:rsid w:val="103A72A1"/>
    <w:rsid w:val="10687C1A"/>
    <w:rsid w:val="1074270C"/>
    <w:rsid w:val="10746308"/>
    <w:rsid w:val="1085033C"/>
    <w:rsid w:val="10A90F02"/>
    <w:rsid w:val="10AB3BC6"/>
    <w:rsid w:val="10AE5235"/>
    <w:rsid w:val="10BA591D"/>
    <w:rsid w:val="10D05C01"/>
    <w:rsid w:val="10DC59E5"/>
    <w:rsid w:val="10E434BE"/>
    <w:rsid w:val="10E716FC"/>
    <w:rsid w:val="10ED2FBA"/>
    <w:rsid w:val="10FD12EC"/>
    <w:rsid w:val="110E0D52"/>
    <w:rsid w:val="111A588F"/>
    <w:rsid w:val="111B19A8"/>
    <w:rsid w:val="11253E5C"/>
    <w:rsid w:val="1130516A"/>
    <w:rsid w:val="11412A4B"/>
    <w:rsid w:val="11785E7D"/>
    <w:rsid w:val="11813DC4"/>
    <w:rsid w:val="119B25B1"/>
    <w:rsid w:val="11C53933"/>
    <w:rsid w:val="11D12BB5"/>
    <w:rsid w:val="11D62EF8"/>
    <w:rsid w:val="11DA3F10"/>
    <w:rsid w:val="11F10B88"/>
    <w:rsid w:val="12385F2E"/>
    <w:rsid w:val="123B0A85"/>
    <w:rsid w:val="12426F1E"/>
    <w:rsid w:val="12690D26"/>
    <w:rsid w:val="12776888"/>
    <w:rsid w:val="12825008"/>
    <w:rsid w:val="12A0228B"/>
    <w:rsid w:val="12AD73D3"/>
    <w:rsid w:val="12B21732"/>
    <w:rsid w:val="12BA7827"/>
    <w:rsid w:val="12C531C0"/>
    <w:rsid w:val="12DC188A"/>
    <w:rsid w:val="12E121B3"/>
    <w:rsid w:val="12F1756B"/>
    <w:rsid w:val="13077D50"/>
    <w:rsid w:val="1357780E"/>
    <w:rsid w:val="13753205"/>
    <w:rsid w:val="1377748C"/>
    <w:rsid w:val="137E16A0"/>
    <w:rsid w:val="13897FC3"/>
    <w:rsid w:val="138F3C9E"/>
    <w:rsid w:val="13980255"/>
    <w:rsid w:val="139C2AB1"/>
    <w:rsid w:val="13A44FCB"/>
    <w:rsid w:val="13AF7FEF"/>
    <w:rsid w:val="13BA5299"/>
    <w:rsid w:val="13BE5B2C"/>
    <w:rsid w:val="13F43FCD"/>
    <w:rsid w:val="13F50ADD"/>
    <w:rsid w:val="140807C4"/>
    <w:rsid w:val="142F7336"/>
    <w:rsid w:val="144026F8"/>
    <w:rsid w:val="14417E05"/>
    <w:rsid w:val="144D37F7"/>
    <w:rsid w:val="145A3C05"/>
    <w:rsid w:val="145F4290"/>
    <w:rsid w:val="146367E3"/>
    <w:rsid w:val="149D7148"/>
    <w:rsid w:val="14AC6876"/>
    <w:rsid w:val="14C518A5"/>
    <w:rsid w:val="14D00FCC"/>
    <w:rsid w:val="14E14105"/>
    <w:rsid w:val="14E42D96"/>
    <w:rsid w:val="14F63966"/>
    <w:rsid w:val="14FD56E9"/>
    <w:rsid w:val="14FE2770"/>
    <w:rsid w:val="15091F01"/>
    <w:rsid w:val="151B52A5"/>
    <w:rsid w:val="151F3276"/>
    <w:rsid w:val="15331BA7"/>
    <w:rsid w:val="15344599"/>
    <w:rsid w:val="153A4888"/>
    <w:rsid w:val="15464267"/>
    <w:rsid w:val="15485986"/>
    <w:rsid w:val="15541338"/>
    <w:rsid w:val="15681DDA"/>
    <w:rsid w:val="15693EDD"/>
    <w:rsid w:val="157366AB"/>
    <w:rsid w:val="157458A9"/>
    <w:rsid w:val="1593542F"/>
    <w:rsid w:val="15952ACF"/>
    <w:rsid w:val="15A011A3"/>
    <w:rsid w:val="15A044B1"/>
    <w:rsid w:val="15C45EF9"/>
    <w:rsid w:val="15D53801"/>
    <w:rsid w:val="15D94F9F"/>
    <w:rsid w:val="16436A85"/>
    <w:rsid w:val="164454F6"/>
    <w:rsid w:val="16580284"/>
    <w:rsid w:val="166361B8"/>
    <w:rsid w:val="16662793"/>
    <w:rsid w:val="166708B3"/>
    <w:rsid w:val="16702080"/>
    <w:rsid w:val="168D7972"/>
    <w:rsid w:val="16A94C9B"/>
    <w:rsid w:val="16AA7474"/>
    <w:rsid w:val="16C06FA1"/>
    <w:rsid w:val="16CA4916"/>
    <w:rsid w:val="16D90D8A"/>
    <w:rsid w:val="16EE5DE4"/>
    <w:rsid w:val="16FF2B86"/>
    <w:rsid w:val="171A7E58"/>
    <w:rsid w:val="1723668C"/>
    <w:rsid w:val="172C5345"/>
    <w:rsid w:val="172D1DED"/>
    <w:rsid w:val="172F158A"/>
    <w:rsid w:val="173762D2"/>
    <w:rsid w:val="173B5AD6"/>
    <w:rsid w:val="1768141F"/>
    <w:rsid w:val="17726A62"/>
    <w:rsid w:val="177A2BB6"/>
    <w:rsid w:val="1780532D"/>
    <w:rsid w:val="179B283C"/>
    <w:rsid w:val="17A2577E"/>
    <w:rsid w:val="17A94DD7"/>
    <w:rsid w:val="17B04452"/>
    <w:rsid w:val="17B22B14"/>
    <w:rsid w:val="17C6460F"/>
    <w:rsid w:val="17D7111E"/>
    <w:rsid w:val="17EB1386"/>
    <w:rsid w:val="18050D91"/>
    <w:rsid w:val="18245B6B"/>
    <w:rsid w:val="18320858"/>
    <w:rsid w:val="1840798A"/>
    <w:rsid w:val="184C3D86"/>
    <w:rsid w:val="186106C0"/>
    <w:rsid w:val="18642DF9"/>
    <w:rsid w:val="1866649F"/>
    <w:rsid w:val="18695A4B"/>
    <w:rsid w:val="18725D39"/>
    <w:rsid w:val="18772041"/>
    <w:rsid w:val="18A9745C"/>
    <w:rsid w:val="18B65AA9"/>
    <w:rsid w:val="18B878EE"/>
    <w:rsid w:val="18C241BF"/>
    <w:rsid w:val="18EA4EA9"/>
    <w:rsid w:val="18EF62D5"/>
    <w:rsid w:val="18F36FEB"/>
    <w:rsid w:val="1908585E"/>
    <w:rsid w:val="190F127E"/>
    <w:rsid w:val="191671FE"/>
    <w:rsid w:val="191F7232"/>
    <w:rsid w:val="193861F8"/>
    <w:rsid w:val="193C316E"/>
    <w:rsid w:val="194C7C80"/>
    <w:rsid w:val="195B383C"/>
    <w:rsid w:val="19694336"/>
    <w:rsid w:val="196D3940"/>
    <w:rsid w:val="197D7FB0"/>
    <w:rsid w:val="197E3458"/>
    <w:rsid w:val="199A2D27"/>
    <w:rsid w:val="19AB5BD3"/>
    <w:rsid w:val="19AF0E4B"/>
    <w:rsid w:val="19B272D3"/>
    <w:rsid w:val="19B3066D"/>
    <w:rsid w:val="19B551AA"/>
    <w:rsid w:val="19BA1EFA"/>
    <w:rsid w:val="19BA2B55"/>
    <w:rsid w:val="19C223A0"/>
    <w:rsid w:val="19DC7DB6"/>
    <w:rsid w:val="19E24F5C"/>
    <w:rsid w:val="19E516DA"/>
    <w:rsid w:val="19E539C6"/>
    <w:rsid w:val="19F01FB7"/>
    <w:rsid w:val="19FC6D7E"/>
    <w:rsid w:val="1A0078A3"/>
    <w:rsid w:val="1A083590"/>
    <w:rsid w:val="1A0C1FFA"/>
    <w:rsid w:val="1A22521D"/>
    <w:rsid w:val="1A27345D"/>
    <w:rsid w:val="1A3E73D5"/>
    <w:rsid w:val="1A42692C"/>
    <w:rsid w:val="1A5048C0"/>
    <w:rsid w:val="1A5446EE"/>
    <w:rsid w:val="1A7D2A0C"/>
    <w:rsid w:val="1AAD0773"/>
    <w:rsid w:val="1AEA4826"/>
    <w:rsid w:val="1B104F9A"/>
    <w:rsid w:val="1B13257B"/>
    <w:rsid w:val="1B280D2F"/>
    <w:rsid w:val="1B3131E6"/>
    <w:rsid w:val="1B323703"/>
    <w:rsid w:val="1B4C2B6F"/>
    <w:rsid w:val="1B501D19"/>
    <w:rsid w:val="1B6F40C7"/>
    <w:rsid w:val="1B730F30"/>
    <w:rsid w:val="1B9A2F86"/>
    <w:rsid w:val="1BCF4DE7"/>
    <w:rsid w:val="1BF961C2"/>
    <w:rsid w:val="1BFA4A1A"/>
    <w:rsid w:val="1C007A93"/>
    <w:rsid w:val="1C35588E"/>
    <w:rsid w:val="1C5B658F"/>
    <w:rsid w:val="1C6161EF"/>
    <w:rsid w:val="1C635397"/>
    <w:rsid w:val="1C8503B4"/>
    <w:rsid w:val="1C8B13EA"/>
    <w:rsid w:val="1C8F3F43"/>
    <w:rsid w:val="1C9C5226"/>
    <w:rsid w:val="1C9C7729"/>
    <w:rsid w:val="1CBF1A8A"/>
    <w:rsid w:val="1CC35F4B"/>
    <w:rsid w:val="1CC947C1"/>
    <w:rsid w:val="1CDD46C8"/>
    <w:rsid w:val="1CE902E9"/>
    <w:rsid w:val="1CEC1639"/>
    <w:rsid w:val="1D04377F"/>
    <w:rsid w:val="1D093591"/>
    <w:rsid w:val="1D14457D"/>
    <w:rsid w:val="1D2C7DFD"/>
    <w:rsid w:val="1D3031CB"/>
    <w:rsid w:val="1D346C5E"/>
    <w:rsid w:val="1D5634DC"/>
    <w:rsid w:val="1D5E26B1"/>
    <w:rsid w:val="1D701F46"/>
    <w:rsid w:val="1D8C53AB"/>
    <w:rsid w:val="1D9D7E42"/>
    <w:rsid w:val="1DB7091E"/>
    <w:rsid w:val="1DBA2D3A"/>
    <w:rsid w:val="1DCB3C32"/>
    <w:rsid w:val="1DDE34E7"/>
    <w:rsid w:val="1DF726BA"/>
    <w:rsid w:val="1DFF083C"/>
    <w:rsid w:val="1E165AEB"/>
    <w:rsid w:val="1E350F2A"/>
    <w:rsid w:val="1E40720B"/>
    <w:rsid w:val="1E440132"/>
    <w:rsid w:val="1E61450C"/>
    <w:rsid w:val="1E6516BF"/>
    <w:rsid w:val="1E73696D"/>
    <w:rsid w:val="1E823AF2"/>
    <w:rsid w:val="1E836346"/>
    <w:rsid w:val="1EC22B80"/>
    <w:rsid w:val="1EC7362B"/>
    <w:rsid w:val="1ED10309"/>
    <w:rsid w:val="1ED7151F"/>
    <w:rsid w:val="1EF16DA7"/>
    <w:rsid w:val="1F0C61C0"/>
    <w:rsid w:val="1F120B95"/>
    <w:rsid w:val="1F1921F6"/>
    <w:rsid w:val="1F230D70"/>
    <w:rsid w:val="1F2E7C29"/>
    <w:rsid w:val="1F460F81"/>
    <w:rsid w:val="1F4A799D"/>
    <w:rsid w:val="1F54093B"/>
    <w:rsid w:val="1F596E90"/>
    <w:rsid w:val="1F616785"/>
    <w:rsid w:val="1F641727"/>
    <w:rsid w:val="1F6C68BB"/>
    <w:rsid w:val="1F765413"/>
    <w:rsid w:val="1F8D3A5C"/>
    <w:rsid w:val="1FC10853"/>
    <w:rsid w:val="1FC818D7"/>
    <w:rsid w:val="1FCB7B41"/>
    <w:rsid w:val="1FCC2EC0"/>
    <w:rsid w:val="1FCF7DC6"/>
    <w:rsid w:val="1FD833F3"/>
    <w:rsid w:val="1FEE0EF2"/>
    <w:rsid w:val="1FF3616C"/>
    <w:rsid w:val="1FFB3D33"/>
    <w:rsid w:val="20094AA9"/>
    <w:rsid w:val="201368DF"/>
    <w:rsid w:val="201C1321"/>
    <w:rsid w:val="201F1686"/>
    <w:rsid w:val="203A4C1E"/>
    <w:rsid w:val="203A6076"/>
    <w:rsid w:val="2057198E"/>
    <w:rsid w:val="206C0EAE"/>
    <w:rsid w:val="20734F8F"/>
    <w:rsid w:val="207F1C7F"/>
    <w:rsid w:val="20857DBF"/>
    <w:rsid w:val="208A445D"/>
    <w:rsid w:val="20971091"/>
    <w:rsid w:val="209C2C22"/>
    <w:rsid w:val="20A167BE"/>
    <w:rsid w:val="20A27A40"/>
    <w:rsid w:val="20AC4444"/>
    <w:rsid w:val="20F30344"/>
    <w:rsid w:val="21002995"/>
    <w:rsid w:val="21025D13"/>
    <w:rsid w:val="21257533"/>
    <w:rsid w:val="21375FE3"/>
    <w:rsid w:val="213C2C5A"/>
    <w:rsid w:val="213F179D"/>
    <w:rsid w:val="21582676"/>
    <w:rsid w:val="2160653D"/>
    <w:rsid w:val="218A2E49"/>
    <w:rsid w:val="218D1AE2"/>
    <w:rsid w:val="21950644"/>
    <w:rsid w:val="219A2EFC"/>
    <w:rsid w:val="219E4B9C"/>
    <w:rsid w:val="21AA5460"/>
    <w:rsid w:val="21B172E0"/>
    <w:rsid w:val="21DD333D"/>
    <w:rsid w:val="222B1230"/>
    <w:rsid w:val="222F7E0F"/>
    <w:rsid w:val="22496FE9"/>
    <w:rsid w:val="226D72C0"/>
    <w:rsid w:val="22795F20"/>
    <w:rsid w:val="22835CD4"/>
    <w:rsid w:val="228817F6"/>
    <w:rsid w:val="22892628"/>
    <w:rsid w:val="22926B92"/>
    <w:rsid w:val="22C42F1E"/>
    <w:rsid w:val="22C85823"/>
    <w:rsid w:val="22CF50D0"/>
    <w:rsid w:val="22D26DD0"/>
    <w:rsid w:val="22DE2661"/>
    <w:rsid w:val="22EA14F4"/>
    <w:rsid w:val="22F532FC"/>
    <w:rsid w:val="230A3422"/>
    <w:rsid w:val="232808F0"/>
    <w:rsid w:val="23292691"/>
    <w:rsid w:val="2339266F"/>
    <w:rsid w:val="23485CDC"/>
    <w:rsid w:val="235F0815"/>
    <w:rsid w:val="237C0BC0"/>
    <w:rsid w:val="238A1ED7"/>
    <w:rsid w:val="238F3467"/>
    <w:rsid w:val="23933087"/>
    <w:rsid w:val="23D7616F"/>
    <w:rsid w:val="23DE62E6"/>
    <w:rsid w:val="241D155E"/>
    <w:rsid w:val="241F5CAD"/>
    <w:rsid w:val="243027F7"/>
    <w:rsid w:val="243B17B5"/>
    <w:rsid w:val="243C4479"/>
    <w:rsid w:val="243E2F2B"/>
    <w:rsid w:val="24490290"/>
    <w:rsid w:val="245F150D"/>
    <w:rsid w:val="24627B66"/>
    <w:rsid w:val="248E1548"/>
    <w:rsid w:val="24922FE7"/>
    <w:rsid w:val="249B68A3"/>
    <w:rsid w:val="249C3B8A"/>
    <w:rsid w:val="24AE6C12"/>
    <w:rsid w:val="24BA027B"/>
    <w:rsid w:val="24E35536"/>
    <w:rsid w:val="24E95402"/>
    <w:rsid w:val="24F970DD"/>
    <w:rsid w:val="24FF0AAA"/>
    <w:rsid w:val="250B4B0A"/>
    <w:rsid w:val="252C50F2"/>
    <w:rsid w:val="25367C2A"/>
    <w:rsid w:val="254E7A94"/>
    <w:rsid w:val="25673A5B"/>
    <w:rsid w:val="25707D3C"/>
    <w:rsid w:val="257D5E0F"/>
    <w:rsid w:val="258305CD"/>
    <w:rsid w:val="258460BE"/>
    <w:rsid w:val="25862BAF"/>
    <w:rsid w:val="259B39E3"/>
    <w:rsid w:val="25B27A6D"/>
    <w:rsid w:val="25DE5E5C"/>
    <w:rsid w:val="25DF1E89"/>
    <w:rsid w:val="26252230"/>
    <w:rsid w:val="262A3903"/>
    <w:rsid w:val="262E2F7F"/>
    <w:rsid w:val="26436D2A"/>
    <w:rsid w:val="266E097B"/>
    <w:rsid w:val="266E1BDC"/>
    <w:rsid w:val="2679093F"/>
    <w:rsid w:val="26793423"/>
    <w:rsid w:val="268B722B"/>
    <w:rsid w:val="269D5BE6"/>
    <w:rsid w:val="269D7C2E"/>
    <w:rsid w:val="26AB66C7"/>
    <w:rsid w:val="26B31AF3"/>
    <w:rsid w:val="26CC00B6"/>
    <w:rsid w:val="26D118A0"/>
    <w:rsid w:val="26D628BC"/>
    <w:rsid w:val="26E919E8"/>
    <w:rsid w:val="27034C60"/>
    <w:rsid w:val="27056B61"/>
    <w:rsid w:val="270A633B"/>
    <w:rsid w:val="270F1CC5"/>
    <w:rsid w:val="270F6B2F"/>
    <w:rsid w:val="27231DE9"/>
    <w:rsid w:val="27320A18"/>
    <w:rsid w:val="27324368"/>
    <w:rsid w:val="27387DF7"/>
    <w:rsid w:val="274B7394"/>
    <w:rsid w:val="275A64ED"/>
    <w:rsid w:val="275C124D"/>
    <w:rsid w:val="277351DB"/>
    <w:rsid w:val="278D0F79"/>
    <w:rsid w:val="27937F55"/>
    <w:rsid w:val="27A82250"/>
    <w:rsid w:val="27B21F6D"/>
    <w:rsid w:val="27C042BC"/>
    <w:rsid w:val="27E93F82"/>
    <w:rsid w:val="281637B5"/>
    <w:rsid w:val="28212FAE"/>
    <w:rsid w:val="28232171"/>
    <w:rsid w:val="28250AA7"/>
    <w:rsid w:val="28324C53"/>
    <w:rsid w:val="28342CE9"/>
    <w:rsid w:val="283E5102"/>
    <w:rsid w:val="284241B4"/>
    <w:rsid w:val="2880547D"/>
    <w:rsid w:val="28950666"/>
    <w:rsid w:val="28961215"/>
    <w:rsid w:val="28AF3751"/>
    <w:rsid w:val="28C51078"/>
    <w:rsid w:val="28E15584"/>
    <w:rsid w:val="28E55974"/>
    <w:rsid w:val="28F00983"/>
    <w:rsid w:val="294C0E2E"/>
    <w:rsid w:val="29541422"/>
    <w:rsid w:val="29590BF9"/>
    <w:rsid w:val="2967151A"/>
    <w:rsid w:val="296F3E59"/>
    <w:rsid w:val="2970585E"/>
    <w:rsid w:val="297546EE"/>
    <w:rsid w:val="29791642"/>
    <w:rsid w:val="2980251A"/>
    <w:rsid w:val="29814C3F"/>
    <w:rsid w:val="29860F05"/>
    <w:rsid w:val="298F4EF2"/>
    <w:rsid w:val="298F679F"/>
    <w:rsid w:val="29994D53"/>
    <w:rsid w:val="299A6866"/>
    <w:rsid w:val="29BC1845"/>
    <w:rsid w:val="29BD1ABC"/>
    <w:rsid w:val="29D22E44"/>
    <w:rsid w:val="29D84426"/>
    <w:rsid w:val="2A000C4B"/>
    <w:rsid w:val="2A057DF0"/>
    <w:rsid w:val="2A5E219E"/>
    <w:rsid w:val="2A64426D"/>
    <w:rsid w:val="2A7C4089"/>
    <w:rsid w:val="2AAE0090"/>
    <w:rsid w:val="2AB54440"/>
    <w:rsid w:val="2AC32C35"/>
    <w:rsid w:val="2AC40108"/>
    <w:rsid w:val="2AEC673D"/>
    <w:rsid w:val="2B2A5448"/>
    <w:rsid w:val="2B3272B6"/>
    <w:rsid w:val="2B443D27"/>
    <w:rsid w:val="2B4459D7"/>
    <w:rsid w:val="2B5B5813"/>
    <w:rsid w:val="2B6A0455"/>
    <w:rsid w:val="2B6E19EF"/>
    <w:rsid w:val="2B754856"/>
    <w:rsid w:val="2B9C012B"/>
    <w:rsid w:val="2BA1420C"/>
    <w:rsid w:val="2BA67F10"/>
    <w:rsid w:val="2BB679A9"/>
    <w:rsid w:val="2BE46A87"/>
    <w:rsid w:val="2BE60548"/>
    <w:rsid w:val="2C03612A"/>
    <w:rsid w:val="2C085BAE"/>
    <w:rsid w:val="2C1077E8"/>
    <w:rsid w:val="2C127E99"/>
    <w:rsid w:val="2C147B7E"/>
    <w:rsid w:val="2C284052"/>
    <w:rsid w:val="2C557198"/>
    <w:rsid w:val="2C560721"/>
    <w:rsid w:val="2C561642"/>
    <w:rsid w:val="2C5C5CAE"/>
    <w:rsid w:val="2C601320"/>
    <w:rsid w:val="2C7814A9"/>
    <w:rsid w:val="2C8A7947"/>
    <w:rsid w:val="2C8D4195"/>
    <w:rsid w:val="2C956D6C"/>
    <w:rsid w:val="2C9A4AE7"/>
    <w:rsid w:val="2CB52650"/>
    <w:rsid w:val="2CD27169"/>
    <w:rsid w:val="2CD66729"/>
    <w:rsid w:val="2CD95655"/>
    <w:rsid w:val="2CF97F9B"/>
    <w:rsid w:val="2D016BE2"/>
    <w:rsid w:val="2D042FC4"/>
    <w:rsid w:val="2D086E78"/>
    <w:rsid w:val="2D0E3180"/>
    <w:rsid w:val="2D33646F"/>
    <w:rsid w:val="2D3960B7"/>
    <w:rsid w:val="2D431D01"/>
    <w:rsid w:val="2D4557BF"/>
    <w:rsid w:val="2D46605D"/>
    <w:rsid w:val="2D632991"/>
    <w:rsid w:val="2D7B044C"/>
    <w:rsid w:val="2DA60E73"/>
    <w:rsid w:val="2DA904FB"/>
    <w:rsid w:val="2DC5734A"/>
    <w:rsid w:val="2DDC4394"/>
    <w:rsid w:val="2E067AE5"/>
    <w:rsid w:val="2E1B0AE0"/>
    <w:rsid w:val="2E26442A"/>
    <w:rsid w:val="2E2D3B5C"/>
    <w:rsid w:val="2E3638D7"/>
    <w:rsid w:val="2E737A7A"/>
    <w:rsid w:val="2E8C4120"/>
    <w:rsid w:val="2E987331"/>
    <w:rsid w:val="2E9E0796"/>
    <w:rsid w:val="2EA17337"/>
    <w:rsid w:val="2EB064BA"/>
    <w:rsid w:val="2EB161AD"/>
    <w:rsid w:val="2EC123DF"/>
    <w:rsid w:val="2EC31C1F"/>
    <w:rsid w:val="2EF2100A"/>
    <w:rsid w:val="2F133E77"/>
    <w:rsid w:val="2F150357"/>
    <w:rsid w:val="2F1851A5"/>
    <w:rsid w:val="2F1F3C65"/>
    <w:rsid w:val="2F2C5395"/>
    <w:rsid w:val="2F417F39"/>
    <w:rsid w:val="2F4826E7"/>
    <w:rsid w:val="2F533C46"/>
    <w:rsid w:val="2F670C85"/>
    <w:rsid w:val="2F6A2626"/>
    <w:rsid w:val="2F7F42B4"/>
    <w:rsid w:val="2F8B46F5"/>
    <w:rsid w:val="2F97096E"/>
    <w:rsid w:val="2F9935BC"/>
    <w:rsid w:val="2FAA50F5"/>
    <w:rsid w:val="2FB7448E"/>
    <w:rsid w:val="2FBE61CA"/>
    <w:rsid w:val="2FC97C09"/>
    <w:rsid w:val="2FD176DE"/>
    <w:rsid w:val="2FD27E48"/>
    <w:rsid w:val="301A0DB9"/>
    <w:rsid w:val="301E0C0D"/>
    <w:rsid w:val="30296BDD"/>
    <w:rsid w:val="30646883"/>
    <w:rsid w:val="30657BC9"/>
    <w:rsid w:val="306F3846"/>
    <w:rsid w:val="30A23811"/>
    <w:rsid w:val="30A93271"/>
    <w:rsid w:val="30B90ACF"/>
    <w:rsid w:val="30C07451"/>
    <w:rsid w:val="30C65FAE"/>
    <w:rsid w:val="30C97BDD"/>
    <w:rsid w:val="30FF49A6"/>
    <w:rsid w:val="31265E08"/>
    <w:rsid w:val="31464447"/>
    <w:rsid w:val="31645397"/>
    <w:rsid w:val="316F5529"/>
    <w:rsid w:val="3170424A"/>
    <w:rsid w:val="3182683E"/>
    <w:rsid w:val="319C6B8E"/>
    <w:rsid w:val="319D4B3E"/>
    <w:rsid w:val="31DA3694"/>
    <w:rsid w:val="32010FE7"/>
    <w:rsid w:val="320D35DA"/>
    <w:rsid w:val="320F7ABB"/>
    <w:rsid w:val="321766FA"/>
    <w:rsid w:val="321A108C"/>
    <w:rsid w:val="3231773B"/>
    <w:rsid w:val="32397860"/>
    <w:rsid w:val="323C6759"/>
    <w:rsid w:val="3245611E"/>
    <w:rsid w:val="32463995"/>
    <w:rsid w:val="32586806"/>
    <w:rsid w:val="327255D7"/>
    <w:rsid w:val="327A0F5B"/>
    <w:rsid w:val="327E215B"/>
    <w:rsid w:val="32855617"/>
    <w:rsid w:val="329C62B2"/>
    <w:rsid w:val="329F47A3"/>
    <w:rsid w:val="32B84359"/>
    <w:rsid w:val="32BF2C2E"/>
    <w:rsid w:val="3312562B"/>
    <w:rsid w:val="33266CFC"/>
    <w:rsid w:val="33417B09"/>
    <w:rsid w:val="3342486E"/>
    <w:rsid w:val="3349259A"/>
    <w:rsid w:val="335538B6"/>
    <w:rsid w:val="337E30E6"/>
    <w:rsid w:val="33853FAD"/>
    <w:rsid w:val="33883047"/>
    <w:rsid w:val="338F00CC"/>
    <w:rsid w:val="33974226"/>
    <w:rsid w:val="33A6723D"/>
    <w:rsid w:val="33CB46ED"/>
    <w:rsid w:val="33CF6D3C"/>
    <w:rsid w:val="33E6405D"/>
    <w:rsid w:val="3403614A"/>
    <w:rsid w:val="3416647A"/>
    <w:rsid w:val="341C4156"/>
    <w:rsid w:val="34201481"/>
    <w:rsid w:val="34465567"/>
    <w:rsid w:val="345114C5"/>
    <w:rsid w:val="345E1F14"/>
    <w:rsid w:val="34763407"/>
    <w:rsid w:val="3481600E"/>
    <w:rsid w:val="3482286F"/>
    <w:rsid w:val="34970903"/>
    <w:rsid w:val="34AB2D35"/>
    <w:rsid w:val="34BB7705"/>
    <w:rsid w:val="34EE6E03"/>
    <w:rsid w:val="35004330"/>
    <w:rsid w:val="351309E7"/>
    <w:rsid w:val="353C6D35"/>
    <w:rsid w:val="35582B78"/>
    <w:rsid w:val="356A3D1C"/>
    <w:rsid w:val="357D222B"/>
    <w:rsid w:val="358A4DE9"/>
    <w:rsid w:val="358F65CD"/>
    <w:rsid w:val="35A8481C"/>
    <w:rsid w:val="35B0583A"/>
    <w:rsid w:val="35C30FE1"/>
    <w:rsid w:val="35CC363B"/>
    <w:rsid w:val="35F06740"/>
    <w:rsid w:val="362263AC"/>
    <w:rsid w:val="36453A85"/>
    <w:rsid w:val="3656185F"/>
    <w:rsid w:val="36694574"/>
    <w:rsid w:val="36720209"/>
    <w:rsid w:val="367D4A2F"/>
    <w:rsid w:val="368250E6"/>
    <w:rsid w:val="368E5053"/>
    <w:rsid w:val="369B2F75"/>
    <w:rsid w:val="36AE1158"/>
    <w:rsid w:val="36FA5371"/>
    <w:rsid w:val="370E1D05"/>
    <w:rsid w:val="374343A7"/>
    <w:rsid w:val="374E2A78"/>
    <w:rsid w:val="37650E5E"/>
    <w:rsid w:val="377752E9"/>
    <w:rsid w:val="377B348A"/>
    <w:rsid w:val="377D6290"/>
    <w:rsid w:val="3797693F"/>
    <w:rsid w:val="379F538E"/>
    <w:rsid w:val="37B03E50"/>
    <w:rsid w:val="37BC3378"/>
    <w:rsid w:val="37E7230C"/>
    <w:rsid w:val="37EB1D1D"/>
    <w:rsid w:val="37F534DF"/>
    <w:rsid w:val="381550EC"/>
    <w:rsid w:val="3838646C"/>
    <w:rsid w:val="38554E1C"/>
    <w:rsid w:val="3886583F"/>
    <w:rsid w:val="388D68CB"/>
    <w:rsid w:val="38C845A7"/>
    <w:rsid w:val="38CD2F06"/>
    <w:rsid w:val="38F0620F"/>
    <w:rsid w:val="38F72153"/>
    <w:rsid w:val="38FF3B72"/>
    <w:rsid w:val="390673D8"/>
    <w:rsid w:val="39167110"/>
    <w:rsid w:val="39175B4A"/>
    <w:rsid w:val="39220BF5"/>
    <w:rsid w:val="393D0DE6"/>
    <w:rsid w:val="39414C37"/>
    <w:rsid w:val="394F7F8F"/>
    <w:rsid w:val="39694527"/>
    <w:rsid w:val="396D4D51"/>
    <w:rsid w:val="397A17FD"/>
    <w:rsid w:val="398D733E"/>
    <w:rsid w:val="39910B3F"/>
    <w:rsid w:val="399861F8"/>
    <w:rsid w:val="39AA1ED4"/>
    <w:rsid w:val="39AC1F6B"/>
    <w:rsid w:val="39AF05FC"/>
    <w:rsid w:val="39AF7236"/>
    <w:rsid w:val="39BA4C53"/>
    <w:rsid w:val="39D5073D"/>
    <w:rsid w:val="39E21176"/>
    <w:rsid w:val="39E231FF"/>
    <w:rsid w:val="39E85C70"/>
    <w:rsid w:val="39EE5E39"/>
    <w:rsid w:val="3A006D4C"/>
    <w:rsid w:val="3A066A71"/>
    <w:rsid w:val="3A0C25B5"/>
    <w:rsid w:val="3A2B48E2"/>
    <w:rsid w:val="3A387D92"/>
    <w:rsid w:val="3A3C0F40"/>
    <w:rsid w:val="3A4F3947"/>
    <w:rsid w:val="3A5574E6"/>
    <w:rsid w:val="3A567AF9"/>
    <w:rsid w:val="3A76484A"/>
    <w:rsid w:val="3A807976"/>
    <w:rsid w:val="3A951026"/>
    <w:rsid w:val="3AB4748B"/>
    <w:rsid w:val="3ABE667F"/>
    <w:rsid w:val="3ADD5E7B"/>
    <w:rsid w:val="3AF446AA"/>
    <w:rsid w:val="3B035062"/>
    <w:rsid w:val="3B286093"/>
    <w:rsid w:val="3B4421FD"/>
    <w:rsid w:val="3B5C12F9"/>
    <w:rsid w:val="3B6B69D8"/>
    <w:rsid w:val="3BA26B21"/>
    <w:rsid w:val="3BB24CDB"/>
    <w:rsid w:val="3BBD3DB5"/>
    <w:rsid w:val="3BD043BA"/>
    <w:rsid w:val="3BE60A87"/>
    <w:rsid w:val="3BEB407A"/>
    <w:rsid w:val="3BF25F41"/>
    <w:rsid w:val="3BF54CEF"/>
    <w:rsid w:val="3BFF09E3"/>
    <w:rsid w:val="3C051A1E"/>
    <w:rsid w:val="3C18472C"/>
    <w:rsid w:val="3C2A6BE6"/>
    <w:rsid w:val="3C42250D"/>
    <w:rsid w:val="3C654403"/>
    <w:rsid w:val="3C655017"/>
    <w:rsid w:val="3C7F2F4D"/>
    <w:rsid w:val="3C816F84"/>
    <w:rsid w:val="3C9E40ED"/>
    <w:rsid w:val="3CB64602"/>
    <w:rsid w:val="3CBA4CF7"/>
    <w:rsid w:val="3CC52E4E"/>
    <w:rsid w:val="3CC67E59"/>
    <w:rsid w:val="3CCC5202"/>
    <w:rsid w:val="3D025FF4"/>
    <w:rsid w:val="3D070AC2"/>
    <w:rsid w:val="3D127F5A"/>
    <w:rsid w:val="3D2337EC"/>
    <w:rsid w:val="3D266FBD"/>
    <w:rsid w:val="3D3234E8"/>
    <w:rsid w:val="3D46494E"/>
    <w:rsid w:val="3D4B0AC9"/>
    <w:rsid w:val="3D4D228B"/>
    <w:rsid w:val="3D5A28E8"/>
    <w:rsid w:val="3D633426"/>
    <w:rsid w:val="3D6C08C1"/>
    <w:rsid w:val="3D79021E"/>
    <w:rsid w:val="3D8646BB"/>
    <w:rsid w:val="3D8853CA"/>
    <w:rsid w:val="3D8A43CB"/>
    <w:rsid w:val="3D915E8C"/>
    <w:rsid w:val="3D9E766C"/>
    <w:rsid w:val="3DC342C4"/>
    <w:rsid w:val="3DCD36BB"/>
    <w:rsid w:val="3DD81D67"/>
    <w:rsid w:val="3DF3209A"/>
    <w:rsid w:val="3DF4678D"/>
    <w:rsid w:val="3DF96F33"/>
    <w:rsid w:val="3E151CC2"/>
    <w:rsid w:val="3E381B10"/>
    <w:rsid w:val="3E4409DD"/>
    <w:rsid w:val="3E6B1E95"/>
    <w:rsid w:val="3E6D3CD6"/>
    <w:rsid w:val="3E7115CB"/>
    <w:rsid w:val="3EA47D97"/>
    <w:rsid w:val="3EB5531A"/>
    <w:rsid w:val="3EBD40D0"/>
    <w:rsid w:val="3EEB57CE"/>
    <w:rsid w:val="3EF351DD"/>
    <w:rsid w:val="3F0E6674"/>
    <w:rsid w:val="3F15303B"/>
    <w:rsid w:val="3F15722D"/>
    <w:rsid w:val="3F1D67E5"/>
    <w:rsid w:val="3F2404C8"/>
    <w:rsid w:val="3F270A98"/>
    <w:rsid w:val="3F3C1370"/>
    <w:rsid w:val="3F40388B"/>
    <w:rsid w:val="3F4A5B79"/>
    <w:rsid w:val="3F514E06"/>
    <w:rsid w:val="3F580530"/>
    <w:rsid w:val="3F593DA5"/>
    <w:rsid w:val="3F885F56"/>
    <w:rsid w:val="3FD90D99"/>
    <w:rsid w:val="3FEC7CDF"/>
    <w:rsid w:val="400D280D"/>
    <w:rsid w:val="403857F3"/>
    <w:rsid w:val="40385B80"/>
    <w:rsid w:val="404E0C80"/>
    <w:rsid w:val="406763F2"/>
    <w:rsid w:val="407A5ED7"/>
    <w:rsid w:val="40973D0B"/>
    <w:rsid w:val="40BA1F25"/>
    <w:rsid w:val="40C9217C"/>
    <w:rsid w:val="40E96D34"/>
    <w:rsid w:val="411C6D76"/>
    <w:rsid w:val="412F5F69"/>
    <w:rsid w:val="41360691"/>
    <w:rsid w:val="413E4D69"/>
    <w:rsid w:val="41787E2E"/>
    <w:rsid w:val="418E7493"/>
    <w:rsid w:val="419178D8"/>
    <w:rsid w:val="419B4A65"/>
    <w:rsid w:val="41A16548"/>
    <w:rsid w:val="41B464EA"/>
    <w:rsid w:val="41B71DBD"/>
    <w:rsid w:val="41BA6239"/>
    <w:rsid w:val="41BB5051"/>
    <w:rsid w:val="41F167D3"/>
    <w:rsid w:val="420A7964"/>
    <w:rsid w:val="42115948"/>
    <w:rsid w:val="421210F3"/>
    <w:rsid w:val="42193AEB"/>
    <w:rsid w:val="42234ADF"/>
    <w:rsid w:val="422A12E9"/>
    <w:rsid w:val="42371D1B"/>
    <w:rsid w:val="424A6E8E"/>
    <w:rsid w:val="42A741D7"/>
    <w:rsid w:val="42AC3B94"/>
    <w:rsid w:val="42B06C50"/>
    <w:rsid w:val="42B8557C"/>
    <w:rsid w:val="42E36405"/>
    <w:rsid w:val="42E44355"/>
    <w:rsid w:val="42E45038"/>
    <w:rsid w:val="42E56AFE"/>
    <w:rsid w:val="42F36ABF"/>
    <w:rsid w:val="42F61194"/>
    <w:rsid w:val="42F80F6E"/>
    <w:rsid w:val="4307493F"/>
    <w:rsid w:val="4323575E"/>
    <w:rsid w:val="43343EC7"/>
    <w:rsid w:val="433532D7"/>
    <w:rsid w:val="43406840"/>
    <w:rsid w:val="4351101C"/>
    <w:rsid w:val="435C1E28"/>
    <w:rsid w:val="43687253"/>
    <w:rsid w:val="436A36E0"/>
    <w:rsid w:val="4378067D"/>
    <w:rsid w:val="439C2143"/>
    <w:rsid w:val="43B24D44"/>
    <w:rsid w:val="43B53DF0"/>
    <w:rsid w:val="43B97CB0"/>
    <w:rsid w:val="43CA1CCE"/>
    <w:rsid w:val="43E05ADC"/>
    <w:rsid w:val="43E93FE6"/>
    <w:rsid w:val="43FE4518"/>
    <w:rsid w:val="442337D1"/>
    <w:rsid w:val="443A73CD"/>
    <w:rsid w:val="444402D6"/>
    <w:rsid w:val="444A45A6"/>
    <w:rsid w:val="44992BE7"/>
    <w:rsid w:val="4499618B"/>
    <w:rsid w:val="44AC4CCD"/>
    <w:rsid w:val="44B031A9"/>
    <w:rsid w:val="44B127AE"/>
    <w:rsid w:val="44BA3F65"/>
    <w:rsid w:val="44BD7421"/>
    <w:rsid w:val="44C464CE"/>
    <w:rsid w:val="44CA0D30"/>
    <w:rsid w:val="44DA6483"/>
    <w:rsid w:val="44DE4BC1"/>
    <w:rsid w:val="44E4053C"/>
    <w:rsid w:val="44FF5530"/>
    <w:rsid w:val="450F432A"/>
    <w:rsid w:val="451F6C16"/>
    <w:rsid w:val="454E5C5A"/>
    <w:rsid w:val="454F5468"/>
    <w:rsid w:val="45574FCB"/>
    <w:rsid w:val="456138CB"/>
    <w:rsid w:val="457916EF"/>
    <w:rsid w:val="45A131E3"/>
    <w:rsid w:val="45C5216D"/>
    <w:rsid w:val="45CB70F9"/>
    <w:rsid w:val="45D40844"/>
    <w:rsid w:val="45DC2E74"/>
    <w:rsid w:val="45ED1510"/>
    <w:rsid w:val="460C0AF0"/>
    <w:rsid w:val="46334D4D"/>
    <w:rsid w:val="463802E0"/>
    <w:rsid w:val="4648164E"/>
    <w:rsid w:val="46494460"/>
    <w:rsid w:val="465C300A"/>
    <w:rsid w:val="4668716E"/>
    <w:rsid w:val="466F6DC7"/>
    <w:rsid w:val="46741E13"/>
    <w:rsid w:val="468B1629"/>
    <w:rsid w:val="46A01D25"/>
    <w:rsid w:val="46A144AA"/>
    <w:rsid w:val="46B24B13"/>
    <w:rsid w:val="46C120C8"/>
    <w:rsid w:val="46D12C44"/>
    <w:rsid w:val="46DD7631"/>
    <w:rsid w:val="46F0556B"/>
    <w:rsid w:val="47110935"/>
    <w:rsid w:val="471D19C3"/>
    <w:rsid w:val="47406F87"/>
    <w:rsid w:val="474C04AC"/>
    <w:rsid w:val="474D5182"/>
    <w:rsid w:val="47670359"/>
    <w:rsid w:val="47A324ED"/>
    <w:rsid w:val="47AA0469"/>
    <w:rsid w:val="47B40039"/>
    <w:rsid w:val="47C72D81"/>
    <w:rsid w:val="47DA2EEF"/>
    <w:rsid w:val="47DC5A3A"/>
    <w:rsid w:val="47F45763"/>
    <w:rsid w:val="47F47A88"/>
    <w:rsid w:val="48222177"/>
    <w:rsid w:val="4827570D"/>
    <w:rsid w:val="482A1956"/>
    <w:rsid w:val="48346E4E"/>
    <w:rsid w:val="4835152F"/>
    <w:rsid w:val="48405B76"/>
    <w:rsid w:val="484B4F5D"/>
    <w:rsid w:val="48604530"/>
    <w:rsid w:val="487D1AF0"/>
    <w:rsid w:val="48896217"/>
    <w:rsid w:val="488E74B4"/>
    <w:rsid w:val="489F7FC2"/>
    <w:rsid w:val="48B82C8B"/>
    <w:rsid w:val="48CD1380"/>
    <w:rsid w:val="48E10675"/>
    <w:rsid w:val="48E27661"/>
    <w:rsid w:val="48E74421"/>
    <w:rsid w:val="48EB18F6"/>
    <w:rsid w:val="48EB5E9B"/>
    <w:rsid w:val="48EF6C1B"/>
    <w:rsid w:val="48F13682"/>
    <w:rsid w:val="490432E1"/>
    <w:rsid w:val="49050F4E"/>
    <w:rsid w:val="49092EC3"/>
    <w:rsid w:val="491D1CD6"/>
    <w:rsid w:val="49564E96"/>
    <w:rsid w:val="4965506C"/>
    <w:rsid w:val="4996635E"/>
    <w:rsid w:val="499824A5"/>
    <w:rsid w:val="49A311A5"/>
    <w:rsid w:val="49BF085E"/>
    <w:rsid w:val="49C952C8"/>
    <w:rsid w:val="4A0124C1"/>
    <w:rsid w:val="4A256870"/>
    <w:rsid w:val="4A2A0B98"/>
    <w:rsid w:val="4A3037F2"/>
    <w:rsid w:val="4A3D15CA"/>
    <w:rsid w:val="4A467E39"/>
    <w:rsid w:val="4A55367C"/>
    <w:rsid w:val="4A600FBF"/>
    <w:rsid w:val="4A723598"/>
    <w:rsid w:val="4A824EFC"/>
    <w:rsid w:val="4A846BB9"/>
    <w:rsid w:val="4A9354DF"/>
    <w:rsid w:val="4AB57B24"/>
    <w:rsid w:val="4AC05881"/>
    <w:rsid w:val="4AC0680C"/>
    <w:rsid w:val="4AC56792"/>
    <w:rsid w:val="4ADA6E4A"/>
    <w:rsid w:val="4B143FD8"/>
    <w:rsid w:val="4B5A6561"/>
    <w:rsid w:val="4B60678A"/>
    <w:rsid w:val="4B627871"/>
    <w:rsid w:val="4B806B80"/>
    <w:rsid w:val="4BBB5017"/>
    <w:rsid w:val="4BC23426"/>
    <w:rsid w:val="4BC83E19"/>
    <w:rsid w:val="4BD364CC"/>
    <w:rsid w:val="4BD9250A"/>
    <w:rsid w:val="4BF52477"/>
    <w:rsid w:val="4C091CEC"/>
    <w:rsid w:val="4C373623"/>
    <w:rsid w:val="4C435F0F"/>
    <w:rsid w:val="4C4F4671"/>
    <w:rsid w:val="4C657DD7"/>
    <w:rsid w:val="4C74115C"/>
    <w:rsid w:val="4C7F0A0C"/>
    <w:rsid w:val="4C816A3D"/>
    <w:rsid w:val="4C817BE4"/>
    <w:rsid w:val="4CB15261"/>
    <w:rsid w:val="4CB56B4B"/>
    <w:rsid w:val="4CBB0A68"/>
    <w:rsid w:val="4CC306F5"/>
    <w:rsid w:val="4CF52348"/>
    <w:rsid w:val="4D263013"/>
    <w:rsid w:val="4D3101BE"/>
    <w:rsid w:val="4D466CEE"/>
    <w:rsid w:val="4D5D094A"/>
    <w:rsid w:val="4D6B4F45"/>
    <w:rsid w:val="4D7C45B9"/>
    <w:rsid w:val="4D87148D"/>
    <w:rsid w:val="4D8F0CB6"/>
    <w:rsid w:val="4D966D61"/>
    <w:rsid w:val="4DA63685"/>
    <w:rsid w:val="4DE5003A"/>
    <w:rsid w:val="4DF979A0"/>
    <w:rsid w:val="4E0F62A1"/>
    <w:rsid w:val="4E2300F4"/>
    <w:rsid w:val="4E2309C7"/>
    <w:rsid w:val="4E26032E"/>
    <w:rsid w:val="4E293BDE"/>
    <w:rsid w:val="4E315836"/>
    <w:rsid w:val="4E395A0D"/>
    <w:rsid w:val="4E3C5E18"/>
    <w:rsid w:val="4E4A0DED"/>
    <w:rsid w:val="4E8D39E7"/>
    <w:rsid w:val="4E8F3087"/>
    <w:rsid w:val="4E9E7054"/>
    <w:rsid w:val="4EA87C80"/>
    <w:rsid w:val="4EC276AA"/>
    <w:rsid w:val="4ED346E6"/>
    <w:rsid w:val="4ED802F7"/>
    <w:rsid w:val="4EDA52EB"/>
    <w:rsid w:val="4EEA21EE"/>
    <w:rsid w:val="4EF011AF"/>
    <w:rsid w:val="4EFC4DA2"/>
    <w:rsid w:val="4F042B5B"/>
    <w:rsid w:val="4F044FF8"/>
    <w:rsid w:val="4F1D0EEE"/>
    <w:rsid w:val="4F1E047E"/>
    <w:rsid w:val="4F4777DB"/>
    <w:rsid w:val="4F4D241B"/>
    <w:rsid w:val="4F5E59A5"/>
    <w:rsid w:val="4F6B50E7"/>
    <w:rsid w:val="4F6C02CE"/>
    <w:rsid w:val="4F866F55"/>
    <w:rsid w:val="4F9042D3"/>
    <w:rsid w:val="4F923C79"/>
    <w:rsid w:val="4F944E68"/>
    <w:rsid w:val="4F973908"/>
    <w:rsid w:val="4FAC3D7C"/>
    <w:rsid w:val="4FAD3CDD"/>
    <w:rsid w:val="4FB770C2"/>
    <w:rsid w:val="4FDE5B0B"/>
    <w:rsid w:val="4FE205D2"/>
    <w:rsid w:val="4FEE40C4"/>
    <w:rsid w:val="50030DD3"/>
    <w:rsid w:val="500F5EDB"/>
    <w:rsid w:val="50125330"/>
    <w:rsid w:val="50633587"/>
    <w:rsid w:val="506B0B0D"/>
    <w:rsid w:val="508060EE"/>
    <w:rsid w:val="50886EC2"/>
    <w:rsid w:val="509564B5"/>
    <w:rsid w:val="50AC196E"/>
    <w:rsid w:val="50BC57B9"/>
    <w:rsid w:val="50C57E36"/>
    <w:rsid w:val="50C80703"/>
    <w:rsid w:val="50DF5E10"/>
    <w:rsid w:val="50E352F9"/>
    <w:rsid w:val="50EE662B"/>
    <w:rsid w:val="50F747C4"/>
    <w:rsid w:val="50FB4A02"/>
    <w:rsid w:val="510B2AFF"/>
    <w:rsid w:val="512D4ADA"/>
    <w:rsid w:val="5139244F"/>
    <w:rsid w:val="513E786E"/>
    <w:rsid w:val="5159264C"/>
    <w:rsid w:val="51646E9F"/>
    <w:rsid w:val="516B3B6A"/>
    <w:rsid w:val="519F65B2"/>
    <w:rsid w:val="519F7F39"/>
    <w:rsid w:val="51BA1F3D"/>
    <w:rsid w:val="51E55614"/>
    <w:rsid w:val="51E66151"/>
    <w:rsid w:val="51EA24E4"/>
    <w:rsid w:val="520C076C"/>
    <w:rsid w:val="521A70EC"/>
    <w:rsid w:val="521F4975"/>
    <w:rsid w:val="522134CB"/>
    <w:rsid w:val="52327BF1"/>
    <w:rsid w:val="52577B6E"/>
    <w:rsid w:val="5260363F"/>
    <w:rsid w:val="52614D3D"/>
    <w:rsid w:val="5276707C"/>
    <w:rsid w:val="5278512D"/>
    <w:rsid w:val="527C0881"/>
    <w:rsid w:val="527E04DA"/>
    <w:rsid w:val="52876928"/>
    <w:rsid w:val="52A56E11"/>
    <w:rsid w:val="52A62297"/>
    <w:rsid w:val="52AF2C63"/>
    <w:rsid w:val="52B63769"/>
    <w:rsid w:val="52C25223"/>
    <w:rsid w:val="52C924F3"/>
    <w:rsid w:val="52CC66ED"/>
    <w:rsid w:val="52D14F37"/>
    <w:rsid w:val="52DC1927"/>
    <w:rsid w:val="52E20CA6"/>
    <w:rsid w:val="52EC5E7B"/>
    <w:rsid w:val="52F95B39"/>
    <w:rsid w:val="53041A85"/>
    <w:rsid w:val="53144025"/>
    <w:rsid w:val="53242474"/>
    <w:rsid w:val="5327623C"/>
    <w:rsid w:val="532B4A00"/>
    <w:rsid w:val="533A5642"/>
    <w:rsid w:val="535C3991"/>
    <w:rsid w:val="53974269"/>
    <w:rsid w:val="53A342E2"/>
    <w:rsid w:val="53B33D75"/>
    <w:rsid w:val="53D57048"/>
    <w:rsid w:val="53D67265"/>
    <w:rsid w:val="53EA2AE5"/>
    <w:rsid w:val="53FF4268"/>
    <w:rsid w:val="5408131F"/>
    <w:rsid w:val="54355C7D"/>
    <w:rsid w:val="544C7A17"/>
    <w:rsid w:val="54535720"/>
    <w:rsid w:val="54603A25"/>
    <w:rsid w:val="547F0CD9"/>
    <w:rsid w:val="54A65BD1"/>
    <w:rsid w:val="54AD1BD0"/>
    <w:rsid w:val="54B34A3B"/>
    <w:rsid w:val="54C26638"/>
    <w:rsid w:val="54D26230"/>
    <w:rsid w:val="54D944B6"/>
    <w:rsid w:val="54ED633C"/>
    <w:rsid w:val="54F371CE"/>
    <w:rsid w:val="550C23F3"/>
    <w:rsid w:val="55140BCE"/>
    <w:rsid w:val="5525790A"/>
    <w:rsid w:val="552C15A1"/>
    <w:rsid w:val="552C1B23"/>
    <w:rsid w:val="55391747"/>
    <w:rsid w:val="55597355"/>
    <w:rsid w:val="555A497C"/>
    <w:rsid w:val="555E26D7"/>
    <w:rsid w:val="556A7F14"/>
    <w:rsid w:val="55B678F7"/>
    <w:rsid w:val="55B763B4"/>
    <w:rsid w:val="55C60B1D"/>
    <w:rsid w:val="55DD7144"/>
    <w:rsid w:val="55EA2DF5"/>
    <w:rsid w:val="55F03BB0"/>
    <w:rsid w:val="55F95739"/>
    <w:rsid w:val="560A11DF"/>
    <w:rsid w:val="5626561B"/>
    <w:rsid w:val="5627559B"/>
    <w:rsid w:val="562C557D"/>
    <w:rsid w:val="56776E3F"/>
    <w:rsid w:val="567A7512"/>
    <w:rsid w:val="568062FA"/>
    <w:rsid w:val="56B31004"/>
    <w:rsid w:val="56C668F1"/>
    <w:rsid w:val="56ED6E6D"/>
    <w:rsid w:val="56F963E8"/>
    <w:rsid w:val="56FF4649"/>
    <w:rsid w:val="572758B6"/>
    <w:rsid w:val="573D5148"/>
    <w:rsid w:val="574A71E8"/>
    <w:rsid w:val="574E1149"/>
    <w:rsid w:val="57516E37"/>
    <w:rsid w:val="57642E5B"/>
    <w:rsid w:val="57693866"/>
    <w:rsid w:val="577F3F6E"/>
    <w:rsid w:val="579C0F6A"/>
    <w:rsid w:val="57A63DF0"/>
    <w:rsid w:val="57BD61BF"/>
    <w:rsid w:val="57CF1968"/>
    <w:rsid w:val="57D43CCC"/>
    <w:rsid w:val="57D534BF"/>
    <w:rsid w:val="57DD7BC7"/>
    <w:rsid w:val="57DE45A2"/>
    <w:rsid w:val="57F15885"/>
    <w:rsid w:val="57F325AA"/>
    <w:rsid w:val="57F82062"/>
    <w:rsid w:val="58013827"/>
    <w:rsid w:val="581D6706"/>
    <w:rsid w:val="58230AAD"/>
    <w:rsid w:val="58404B23"/>
    <w:rsid w:val="58521369"/>
    <w:rsid w:val="585239FF"/>
    <w:rsid w:val="585D003D"/>
    <w:rsid w:val="585E7515"/>
    <w:rsid w:val="58703284"/>
    <w:rsid w:val="58713E46"/>
    <w:rsid w:val="58721E58"/>
    <w:rsid w:val="587B1CA8"/>
    <w:rsid w:val="58840321"/>
    <w:rsid w:val="58AA595A"/>
    <w:rsid w:val="58AE5D65"/>
    <w:rsid w:val="58B10E23"/>
    <w:rsid w:val="58B527F2"/>
    <w:rsid w:val="58C702FA"/>
    <w:rsid w:val="58D17105"/>
    <w:rsid w:val="58D61C42"/>
    <w:rsid w:val="58F4022F"/>
    <w:rsid w:val="58F91E80"/>
    <w:rsid w:val="591C609D"/>
    <w:rsid w:val="59257E55"/>
    <w:rsid w:val="59485C99"/>
    <w:rsid w:val="594D2BEE"/>
    <w:rsid w:val="59594ACF"/>
    <w:rsid w:val="595D5E88"/>
    <w:rsid w:val="596B3469"/>
    <w:rsid w:val="596D6F7E"/>
    <w:rsid w:val="5970552E"/>
    <w:rsid w:val="597A26BF"/>
    <w:rsid w:val="59832F0D"/>
    <w:rsid w:val="59AD415F"/>
    <w:rsid w:val="59B043AC"/>
    <w:rsid w:val="59C339C2"/>
    <w:rsid w:val="59CA3E25"/>
    <w:rsid w:val="59D42573"/>
    <w:rsid w:val="59E60D0D"/>
    <w:rsid w:val="59F6355B"/>
    <w:rsid w:val="5A026FA8"/>
    <w:rsid w:val="5A1826E7"/>
    <w:rsid w:val="5A197CE3"/>
    <w:rsid w:val="5A42608A"/>
    <w:rsid w:val="5A5A0DEE"/>
    <w:rsid w:val="5A5B7E0B"/>
    <w:rsid w:val="5A5D1DE7"/>
    <w:rsid w:val="5A814048"/>
    <w:rsid w:val="5A85687E"/>
    <w:rsid w:val="5A8C6115"/>
    <w:rsid w:val="5A940AB1"/>
    <w:rsid w:val="5A9B6DCB"/>
    <w:rsid w:val="5A9E3699"/>
    <w:rsid w:val="5ACA5BA5"/>
    <w:rsid w:val="5ACC6E6E"/>
    <w:rsid w:val="5AF0406D"/>
    <w:rsid w:val="5AF73923"/>
    <w:rsid w:val="5B007025"/>
    <w:rsid w:val="5B1047DB"/>
    <w:rsid w:val="5B5E04B7"/>
    <w:rsid w:val="5B777B97"/>
    <w:rsid w:val="5B8840AF"/>
    <w:rsid w:val="5B8C5C13"/>
    <w:rsid w:val="5B904D40"/>
    <w:rsid w:val="5B954CA8"/>
    <w:rsid w:val="5BA43BEB"/>
    <w:rsid w:val="5BCE45D9"/>
    <w:rsid w:val="5BF14786"/>
    <w:rsid w:val="5BF370F5"/>
    <w:rsid w:val="5BFB795A"/>
    <w:rsid w:val="5C11277B"/>
    <w:rsid w:val="5C1525E2"/>
    <w:rsid w:val="5C1818FE"/>
    <w:rsid w:val="5C1D0ADA"/>
    <w:rsid w:val="5C20268B"/>
    <w:rsid w:val="5C245E2D"/>
    <w:rsid w:val="5C68456A"/>
    <w:rsid w:val="5C6932F6"/>
    <w:rsid w:val="5C7A5DDB"/>
    <w:rsid w:val="5C7B2640"/>
    <w:rsid w:val="5C7E3FA7"/>
    <w:rsid w:val="5CC46A10"/>
    <w:rsid w:val="5CC94A06"/>
    <w:rsid w:val="5CD341A4"/>
    <w:rsid w:val="5CDC2701"/>
    <w:rsid w:val="5CDF77C7"/>
    <w:rsid w:val="5CF35DAB"/>
    <w:rsid w:val="5CFB2F3E"/>
    <w:rsid w:val="5CFC158F"/>
    <w:rsid w:val="5D020BA1"/>
    <w:rsid w:val="5D0913C6"/>
    <w:rsid w:val="5D324B54"/>
    <w:rsid w:val="5D420069"/>
    <w:rsid w:val="5D4203B4"/>
    <w:rsid w:val="5D452240"/>
    <w:rsid w:val="5D587FFF"/>
    <w:rsid w:val="5D5A0FBB"/>
    <w:rsid w:val="5D5B4B74"/>
    <w:rsid w:val="5D636691"/>
    <w:rsid w:val="5D714FB3"/>
    <w:rsid w:val="5D731E7B"/>
    <w:rsid w:val="5D761127"/>
    <w:rsid w:val="5D7C52F4"/>
    <w:rsid w:val="5D942350"/>
    <w:rsid w:val="5DA71F00"/>
    <w:rsid w:val="5DAA75F9"/>
    <w:rsid w:val="5DB81878"/>
    <w:rsid w:val="5DB85F43"/>
    <w:rsid w:val="5DD03289"/>
    <w:rsid w:val="5DD34227"/>
    <w:rsid w:val="5DDF5F77"/>
    <w:rsid w:val="5DF37588"/>
    <w:rsid w:val="5E1D758F"/>
    <w:rsid w:val="5E4473BD"/>
    <w:rsid w:val="5E4C6DB3"/>
    <w:rsid w:val="5E5520BD"/>
    <w:rsid w:val="5E573F35"/>
    <w:rsid w:val="5E650339"/>
    <w:rsid w:val="5E7206B5"/>
    <w:rsid w:val="5E8F1157"/>
    <w:rsid w:val="5EBE6CAB"/>
    <w:rsid w:val="5EC55611"/>
    <w:rsid w:val="5ED82F94"/>
    <w:rsid w:val="5EE503F1"/>
    <w:rsid w:val="5EE76972"/>
    <w:rsid w:val="5F0F7EA7"/>
    <w:rsid w:val="5F193EA4"/>
    <w:rsid w:val="5F251E9A"/>
    <w:rsid w:val="5F3C3236"/>
    <w:rsid w:val="5F3E636A"/>
    <w:rsid w:val="5F4023B4"/>
    <w:rsid w:val="5F564962"/>
    <w:rsid w:val="5F6B3EC0"/>
    <w:rsid w:val="5F6B7048"/>
    <w:rsid w:val="5F797044"/>
    <w:rsid w:val="5FAB472E"/>
    <w:rsid w:val="5FDF1292"/>
    <w:rsid w:val="5FF300CE"/>
    <w:rsid w:val="5FFF1DA2"/>
    <w:rsid w:val="60156677"/>
    <w:rsid w:val="602D5F08"/>
    <w:rsid w:val="60355C5E"/>
    <w:rsid w:val="606F4745"/>
    <w:rsid w:val="6077233D"/>
    <w:rsid w:val="60847D68"/>
    <w:rsid w:val="608C6688"/>
    <w:rsid w:val="609848E3"/>
    <w:rsid w:val="60AA17CA"/>
    <w:rsid w:val="60AF3C55"/>
    <w:rsid w:val="60B43A31"/>
    <w:rsid w:val="60B52854"/>
    <w:rsid w:val="60C61010"/>
    <w:rsid w:val="60D10BCB"/>
    <w:rsid w:val="60DC1390"/>
    <w:rsid w:val="61142BAE"/>
    <w:rsid w:val="61176248"/>
    <w:rsid w:val="611B6F70"/>
    <w:rsid w:val="611D2310"/>
    <w:rsid w:val="613D0BB8"/>
    <w:rsid w:val="613E4BFB"/>
    <w:rsid w:val="6148342F"/>
    <w:rsid w:val="61506A6A"/>
    <w:rsid w:val="615A1895"/>
    <w:rsid w:val="616935FB"/>
    <w:rsid w:val="616E6F0F"/>
    <w:rsid w:val="617362C9"/>
    <w:rsid w:val="6174484A"/>
    <w:rsid w:val="61821F53"/>
    <w:rsid w:val="619B34F2"/>
    <w:rsid w:val="61A2766D"/>
    <w:rsid w:val="61A95348"/>
    <w:rsid w:val="61BA169D"/>
    <w:rsid w:val="61CD2926"/>
    <w:rsid w:val="61D30DB5"/>
    <w:rsid w:val="61E02D6C"/>
    <w:rsid w:val="61E02E09"/>
    <w:rsid w:val="61F06B68"/>
    <w:rsid w:val="61F46824"/>
    <w:rsid w:val="61FB0D87"/>
    <w:rsid w:val="621713DF"/>
    <w:rsid w:val="622C37E6"/>
    <w:rsid w:val="62326956"/>
    <w:rsid w:val="624A79E1"/>
    <w:rsid w:val="62527EAA"/>
    <w:rsid w:val="626A265F"/>
    <w:rsid w:val="627611F4"/>
    <w:rsid w:val="627E068A"/>
    <w:rsid w:val="628F0E8E"/>
    <w:rsid w:val="629A3DAA"/>
    <w:rsid w:val="62A63907"/>
    <w:rsid w:val="62B4689E"/>
    <w:rsid w:val="62BA433C"/>
    <w:rsid w:val="62CB50CE"/>
    <w:rsid w:val="62E62F1E"/>
    <w:rsid w:val="62F1512E"/>
    <w:rsid w:val="63126E1B"/>
    <w:rsid w:val="63333BF3"/>
    <w:rsid w:val="63511370"/>
    <w:rsid w:val="637935FC"/>
    <w:rsid w:val="638518A0"/>
    <w:rsid w:val="63A45603"/>
    <w:rsid w:val="63CD019E"/>
    <w:rsid w:val="63DB0CEC"/>
    <w:rsid w:val="63F32C92"/>
    <w:rsid w:val="63F8447E"/>
    <w:rsid w:val="640E3846"/>
    <w:rsid w:val="64203B9D"/>
    <w:rsid w:val="64355CFB"/>
    <w:rsid w:val="645C7CFF"/>
    <w:rsid w:val="64631125"/>
    <w:rsid w:val="64836BCD"/>
    <w:rsid w:val="648C375A"/>
    <w:rsid w:val="64A35E95"/>
    <w:rsid w:val="64C64F56"/>
    <w:rsid w:val="64C83119"/>
    <w:rsid w:val="64D93D0F"/>
    <w:rsid w:val="65204CC8"/>
    <w:rsid w:val="65384A70"/>
    <w:rsid w:val="653E7E3B"/>
    <w:rsid w:val="655C5B55"/>
    <w:rsid w:val="656A65D0"/>
    <w:rsid w:val="659205F4"/>
    <w:rsid w:val="65A67FAA"/>
    <w:rsid w:val="65AD0505"/>
    <w:rsid w:val="65B57F7D"/>
    <w:rsid w:val="65BC1CF0"/>
    <w:rsid w:val="65D15D00"/>
    <w:rsid w:val="65D951D3"/>
    <w:rsid w:val="65E243AF"/>
    <w:rsid w:val="65ED488B"/>
    <w:rsid w:val="66017124"/>
    <w:rsid w:val="66183D2A"/>
    <w:rsid w:val="66423484"/>
    <w:rsid w:val="664322C9"/>
    <w:rsid w:val="66607DA0"/>
    <w:rsid w:val="66616A47"/>
    <w:rsid w:val="666254E4"/>
    <w:rsid w:val="666C25FA"/>
    <w:rsid w:val="666E26D0"/>
    <w:rsid w:val="6673136A"/>
    <w:rsid w:val="667D5D95"/>
    <w:rsid w:val="66A05059"/>
    <w:rsid w:val="66BC384D"/>
    <w:rsid w:val="66CC3E17"/>
    <w:rsid w:val="66DB42ED"/>
    <w:rsid w:val="66DB7ECD"/>
    <w:rsid w:val="66E22050"/>
    <w:rsid w:val="66F66990"/>
    <w:rsid w:val="672A13EE"/>
    <w:rsid w:val="672D4A53"/>
    <w:rsid w:val="673709F6"/>
    <w:rsid w:val="675310F1"/>
    <w:rsid w:val="676D6E97"/>
    <w:rsid w:val="679D7010"/>
    <w:rsid w:val="67A6658E"/>
    <w:rsid w:val="67A83F58"/>
    <w:rsid w:val="67B826C3"/>
    <w:rsid w:val="67BE291B"/>
    <w:rsid w:val="67BE6029"/>
    <w:rsid w:val="67D21B0A"/>
    <w:rsid w:val="67D92865"/>
    <w:rsid w:val="67E33104"/>
    <w:rsid w:val="67FA10FC"/>
    <w:rsid w:val="67FD3210"/>
    <w:rsid w:val="680804FD"/>
    <w:rsid w:val="68103FEB"/>
    <w:rsid w:val="68374173"/>
    <w:rsid w:val="683F3FC3"/>
    <w:rsid w:val="684364BC"/>
    <w:rsid w:val="684A0097"/>
    <w:rsid w:val="68544C5D"/>
    <w:rsid w:val="6867791D"/>
    <w:rsid w:val="68746F6B"/>
    <w:rsid w:val="68862C19"/>
    <w:rsid w:val="68913AD7"/>
    <w:rsid w:val="68995784"/>
    <w:rsid w:val="68CB62F1"/>
    <w:rsid w:val="68CC0747"/>
    <w:rsid w:val="68E67B45"/>
    <w:rsid w:val="68FE5BFB"/>
    <w:rsid w:val="69030E21"/>
    <w:rsid w:val="690657BF"/>
    <w:rsid w:val="69106F51"/>
    <w:rsid w:val="69415A62"/>
    <w:rsid w:val="6957418F"/>
    <w:rsid w:val="69591FF3"/>
    <w:rsid w:val="69697275"/>
    <w:rsid w:val="698241EA"/>
    <w:rsid w:val="698A696B"/>
    <w:rsid w:val="698A6EF0"/>
    <w:rsid w:val="69B36C0C"/>
    <w:rsid w:val="69CB0B1D"/>
    <w:rsid w:val="69CB4B6F"/>
    <w:rsid w:val="69CC2A62"/>
    <w:rsid w:val="69E731AD"/>
    <w:rsid w:val="69EE21ED"/>
    <w:rsid w:val="69F45C66"/>
    <w:rsid w:val="69FA79A7"/>
    <w:rsid w:val="6A810F66"/>
    <w:rsid w:val="6A912972"/>
    <w:rsid w:val="6A9B60BF"/>
    <w:rsid w:val="6AA83AE4"/>
    <w:rsid w:val="6AAA4B90"/>
    <w:rsid w:val="6AB700E2"/>
    <w:rsid w:val="6AC0203E"/>
    <w:rsid w:val="6AF06385"/>
    <w:rsid w:val="6AFE3106"/>
    <w:rsid w:val="6AFF25AA"/>
    <w:rsid w:val="6B0E7901"/>
    <w:rsid w:val="6B0F3CB7"/>
    <w:rsid w:val="6B21318E"/>
    <w:rsid w:val="6B2F2C5B"/>
    <w:rsid w:val="6B4957A1"/>
    <w:rsid w:val="6B4F5764"/>
    <w:rsid w:val="6B541795"/>
    <w:rsid w:val="6B57586F"/>
    <w:rsid w:val="6B596EF0"/>
    <w:rsid w:val="6B6B35C0"/>
    <w:rsid w:val="6B6E0EE5"/>
    <w:rsid w:val="6B712B96"/>
    <w:rsid w:val="6B7C0990"/>
    <w:rsid w:val="6BAD4453"/>
    <w:rsid w:val="6BB678EB"/>
    <w:rsid w:val="6C04019E"/>
    <w:rsid w:val="6C05271F"/>
    <w:rsid w:val="6C05388F"/>
    <w:rsid w:val="6C0810F6"/>
    <w:rsid w:val="6C0D311E"/>
    <w:rsid w:val="6C175E59"/>
    <w:rsid w:val="6C1D5F8F"/>
    <w:rsid w:val="6C2A1B11"/>
    <w:rsid w:val="6C440209"/>
    <w:rsid w:val="6C4B4C98"/>
    <w:rsid w:val="6C5F31E9"/>
    <w:rsid w:val="6C8118F7"/>
    <w:rsid w:val="6C88778B"/>
    <w:rsid w:val="6CA84992"/>
    <w:rsid w:val="6CB54521"/>
    <w:rsid w:val="6CCA4789"/>
    <w:rsid w:val="6CDD475F"/>
    <w:rsid w:val="6CDD6C2D"/>
    <w:rsid w:val="6CEF446A"/>
    <w:rsid w:val="6CF50ABF"/>
    <w:rsid w:val="6D0A6F5E"/>
    <w:rsid w:val="6D113018"/>
    <w:rsid w:val="6D1304A3"/>
    <w:rsid w:val="6D1A4A84"/>
    <w:rsid w:val="6D2A43AC"/>
    <w:rsid w:val="6D3E604F"/>
    <w:rsid w:val="6D5D38B9"/>
    <w:rsid w:val="6D623B67"/>
    <w:rsid w:val="6D6464EA"/>
    <w:rsid w:val="6D823B89"/>
    <w:rsid w:val="6D8246D7"/>
    <w:rsid w:val="6D8918A3"/>
    <w:rsid w:val="6D8B03BC"/>
    <w:rsid w:val="6D916077"/>
    <w:rsid w:val="6D9C6585"/>
    <w:rsid w:val="6D9C7D46"/>
    <w:rsid w:val="6DA372FB"/>
    <w:rsid w:val="6DAD3078"/>
    <w:rsid w:val="6DB14423"/>
    <w:rsid w:val="6DB5088E"/>
    <w:rsid w:val="6DC2336B"/>
    <w:rsid w:val="6DC816A4"/>
    <w:rsid w:val="6DD14711"/>
    <w:rsid w:val="6DD86FBD"/>
    <w:rsid w:val="6DE12D12"/>
    <w:rsid w:val="6DFC4885"/>
    <w:rsid w:val="6E016D86"/>
    <w:rsid w:val="6E017799"/>
    <w:rsid w:val="6E0D08A7"/>
    <w:rsid w:val="6E125675"/>
    <w:rsid w:val="6E1A026D"/>
    <w:rsid w:val="6E577F16"/>
    <w:rsid w:val="6E5F0206"/>
    <w:rsid w:val="6E9B16E2"/>
    <w:rsid w:val="6E9C108D"/>
    <w:rsid w:val="6E9C3432"/>
    <w:rsid w:val="6E9F3C0F"/>
    <w:rsid w:val="6EA551E0"/>
    <w:rsid w:val="6EAE2D27"/>
    <w:rsid w:val="6ECB246E"/>
    <w:rsid w:val="6ED04698"/>
    <w:rsid w:val="6EDF20AC"/>
    <w:rsid w:val="6EE86F90"/>
    <w:rsid w:val="6EEC205C"/>
    <w:rsid w:val="6EF56C38"/>
    <w:rsid w:val="6F2137A4"/>
    <w:rsid w:val="6F245512"/>
    <w:rsid w:val="6F2B4BC8"/>
    <w:rsid w:val="6F5D7434"/>
    <w:rsid w:val="6F72635B"/>
    <w:rsid w:val="6F910294"/>
    <w:rsid w:val="6FAC359E"/>
    <w:rsid w:val="6FB05895"/>
    <w:rsid w:val="6FCA23C1"/>
    <w:rsid w:val="6FF32746"/>
    <w:rsid w:val="6FF63897"/>
    <w:rsid w:val="700A2BC4"/>
    <w:rsid w:val="701E56B5"/>
    <w:rsid w:val="70345044"/>
    <w:rsid w:val="70386834"/>
    <w:rsid w:val="703F2C74"/>
    <w:rsid w:val="70531175"/>
    <w:rsid w:val="70576C13"/>
    <w:rsid w:val="705927E9"/>
    <w:rsid w:val="705C252E"/>
    <w:rsid w:val="70852858"/>
    <w:rsid w:val="709E059F"/>
    <w:rsid w:val="70C53D9A"/>
    <w:rsid w:val="70D95278"/>
    <w:rsid w:val="70DE40B1"/>
    <w:rsid w:val="70E00E54"/>
    <w:rsid w:val="70E7526D"/>
    <w:rsid w:val="70EE00E9"/>
    <w:rsid w:val="70EE1DEE"/>
    <w:rsid w:val="710334BF"/>
    <w:rsid w:val="711F54D1"/>
    <w:rsid w:val="712B6692"/>
    <w:rsid w:val="715E4CB9"/>
    <w:rsid w:val="71617A94"/>
    <w:rsid w:val="71672612"/>
    <w:rsid w:val="716F4950"/>
    <w:rsid w:val="71831B39"/>
    <w:rsid w:val="718763E1"/>
    <w:rsid w:val="718B4E07"/>
    <w:rsid w:val="71AA699B"/>
    <w:rsid w:val="71AB29E9"/>
    <w:rsid w:val="71B61CCC"/>
    <w:rsid w:val="71C27712"/>
    <w:rsid w:val="71C338D9"/>
    <w:rsid w:val="71CB790C"/>
    <w:rsid w:val="71CD603E"/>
    <w:rsid w:val="71DE704D"/>
    <w:rsid w:val="71E72DBB"/>
    <w:rsid w:val="71F915E3"/>
    <w:rsid w:val="71FB0279"/>
    <w:rsid w:val="720742D9"/>
    <w:rsid w:val="720F7698"/>
    <w:rsid w:val="72593C10"/>
    <w:rsid w:val="728978DD"/>
    <w:rsid w:val="728E0B1B"/>
    <w:rsid w:val="72CA09E3"/>
    <w:rsid w:val="72CA76D9"/>
    <w:rsid w:val="72D276DF"/>
    <w:rsid w:val="72DF2822"/>
    <w:rsid w:val="73131F1D"/>
    <w:rsid w:val="732E330A"/>
    <w:rsid w:val="73612437"/>
    <w:rsid w:val="736B136D"/>
    <w:rsid w:val="73714BFC"/>
    <w:rsid w:val="73927416"/>
    <w:rsid w:val="73AA2662"/>
    <w:rsid w:val="73AD66D1"/>
    <w:rsid w:val="73B83423"/>
    <w:rsid w:val="73C469A8"/>
    <w:rsid w:val="73D85643"/>
    <w:rsid w:val="73E86F29"/>
    <w:rsid w:val="73F826BA"/>
    <w:rsid w:val="741110DE"/>
    <w:rsid w:val="74114BAC"/>
    <w:rsid w:val="7432417B"/>
    <w:rsid w:val="743951DD"/>
    <w:rsid w:val="743E6142"/>
    <w:rsid w:val="74576C1B"/>
    <w:rsid w:val="74795BF2"/>
    <w:rsid w:val="74843D5A"/>
    <w:rsid w:val="74912F87"/>
    <w:rsid w:val="74956C27"/>
    <w:rsid w:val="749F37C8"/>
    <w:rsid w:val="74B86D66"/>
    <w:rsid w:val="74B951FF"/>
    <w:rsid w:val="74CE1BF2"/>
    <w:rsid w:val="74D213E4"/>
    <w:rsid w:val="74E63019"/>
    <w:rsid w:val="74F75EDE"/>
    <w:rsid w:val="74F771C7"/>
    <w:rsid w:val="751D2A0D"/>
    <w:rsid w:val="75402D1B"/>
    <w:rsid w:val="754F07B1"/>
    <w:rsid w:val="755D4AAB"/>
    <w:rsid w:val="75606EA1"/>
    <w:rsid w:val="756F7731"/>
    <w:rsid w:val="75C74673"/>
    <w:rsid w:val="75C92941"/>
    <w:rsid w:val="75D751E6"/>
    <w:rsid w:val="75D9169C"/>
    <w:rsid w:val="75E05F0A"/>
    <w:rsid w:val="7604206B"/>
    <w:rsid w:val="76070F80"/>
    <w:rsid w:val="76077E05"/>
    <w:rsid w:val="760B3B5B"/>
    <w:rsid w:val="76155441"/>
    <w:rsid w:val="761D43AD"/>
    <w:rsid w:val="763064AA"/>
    <w:rsid w:val="76313167"/>
    <w:rsid w:val="76437FB7"/>
    <w:rsid w:val="7652491B"/>
    <w:rsid w:val="76643F38"/>
    <w:rsid w:val="767677E4"/>
    <w:rsid w:val="769432F3"/>
    <w:rsid w:val="76A42B7B"/>
    <w:rsid w:val="76A60436"/>
    <w:rsid w:val="76BE662C"/>
    <w:rsid w:val="76CF6B4B"/>
    <w:rsid w:val="76D4018A"/>
    <w:rsid w:val="76E16924"/>
    <w:rsid w:val="76F84B99"/>
    <w:rsid w:val="76FD6655"/>
    <w:rsid w:val="77012D85"/>
    <w:rsid w:val="77087D1E"/>
    <w:rsid w:val="77094C08"/>
    <w:rsid w:val="77277B70"/>
    <w:rsid w:val="774648F9"/>
    <w:rsid w:val="774B35BE"/>
    <w:rsid w:val="775C38A5"/>
    <w:rsid w:val="77622797"/>
    <w:rsid w:val="776B6CFB"/>
    <w:rsid w:val="779036FC"/>
    <w:rsid w:val="77C032B6"/>
    <w:rsid w:val="77C44576"/>
    <w:rsid w:val="77C92931"/>
    <w:rsid w:val="77CD233A"/>
    <w:rsid w:val="77DC440C"/>
    <w:rsid w:val="77E436B8"/>
    <w:rsid w:val="77EC14F0"/>
    <w:rsid w:val="77F36286"/>
    <w:rsid w:val="77F613C4"/>
    <w:rsid w:val="77F971CC"/>
    <w:rsid w:val="77FF3821"/>
    <w:rsid w:val="780A6263"/>
    <w:rsid w:val="78190A42"/>
    <w:rsid w:val="785471EC"/>
    <w:rsid w:val="78551FAD"/>
    <w:rsid w:val="785A68C3"/>
    <w:rsid w:val="78754A84"/>
    <w:rsid w:val="787F472F"/>
    <w:rsid w:val="788F5B33"/>
    <w:rsid w:val="789871D1"/>
    <w:rsid w:val="78C5190C"/>
    <w:rsid w:val="78D523D6"/>
    <w:rsid w:val="78DB24E0"/>
    <w:rsid w:val="78FA4E78"/>
    <w:rsid w:val="794B1E2A"/>
    <w:rsid w:val="794D5760"/>
    <w:rsid w:val="794E3B0F"/>
    <w:rsid w:val="79574624"/>
    <w:rsid w:val="795B744D"/>
    <w:rsid w:val="797F2A53"/>
    <w:rsid w:val="79A961FE"/>
    <w:rsid w:val="79B55976"/>
    <w:rsid w:val="79C03E6C"/>
    <w:rsid w:val="79C53B73"/>
    <w:rsid w:val="79CB4959"/>
    <w:rsid w:val="79D05DB1"/>
    <w:rsid w:val="79DB7B73"/>
    <w:rsid w:val="79F327E5"/>
    <w:rsid w:val="79F73BD1"/>
    <w:rsid w:val="79FF792A"/>
    <w:rsid w:val="7A025A44"/>
    <w:rsid w:val="7A087EBB"/>
    <w:rsid w:val="7A536607"/>
    <w:rsid w:val="7A656A3A"/>
    <w:rsid w:val="7A76454A"/>
    <w:rsid w:val="7A83354B"/>
    <w:rsid w:val="7AAB28EE"/>
    <w:rsid w:val="7AB30535"/>
    <w:rsid w:val="7ABB4761"/>
    <w:rsid w:val="7AD42A72"/>
    <w:rsid w:val="7AD6364F"/>
    <w:rsid w:val="7AD93741"/>
    <w:rsid w:val="7ADE0EDB"/>
    <w:rsid w:val="7AE35127"/>
    <w:rsid w:val="7B012C43"/>
    <w:rsid w:val="7B0626E4"/>
    <w:rsid w:val="7B0D446B"/>
    <w:rsid w:val="7B3B2420"/>
    <w:rsid w:val="7B4155BF"/>
    <w:rsid w:val="7B62469F"/>
    <w:rsid w:val="7B6D6863"/>
    <w:rsid w:val="7B860640"/>
    <w:rsid w:val="7B8F346B"/>
    <w:rsid w:val="7B971A4E"/>
    <w:rsid w:val="7BA73B24"/>
    <w:rsid w:val="7BAB76AF"/>
    <w:rsid w:val="7BCF28C3"/>
    <w:rsid w:val="7BD1500C"/>
    <w:rsid w:val="7BD55CA4"/>
    <w:rsid w:val="7BE31C55"/>
    <w:rsid w:val="7BEB0461"/>
    <w:rsid w:val="7BF9751F"/>
    <w:rsid w:val="7BFC4DE0"/>
    <w:rsid w:val="7C0D015E"/>
    <w:rsid w:val="7C1B2070"/>
    <w:rsid w:val="7C4D7F4D"/>
    <w:rsid w:val="7C53247D"/>
    <w:rsid w:val="7C541E9B"/>
    <w:rsid w:val="7C751546"/>
    <w:rsid w:val="7C8C021E"/>
    <w:rsid w:val="7CB264DF"/>
    <w:rsid w:val="7CC17BF5"/>
    <w:rsid w:val="7CCD5309"/>
    <w:rsid w:val="7CDA399F"/>
    <w:rsid w:val="7D0742E4"/>
    <w:rsid w:val="7D0F2297"/>
    <w:rsid w:val="7D1D6913"/>
    <w:rsid w:val="7D20389C"/>
    <w:rsid w:val="7D275EE9"/>
    <w:rsid w:val="7D3218CA"/>
    <w:rsid w:val="7D742895"/>
    <w:rsid w:val="7DA20BC4"/>
    <w:rsid w:val="7DA52041"/>
    <w:rsid w:val="7DAB140C"/>
    <w:rsid w:val="7DC75665"/>
    <w:rsid w:val="7DCF65A8"/>
    <w:rsid w:val="7DD83591"/>
    <w:rsid w:val="7DE546D5"/>
    <w:rsid w:val="7DF37DE0"/>
    <w:rsid w:val="7DF53241"/>
    <w:rsid w:val="7E0A73F3"/>
    <w:rsid w:val="7E1104AE"/>
    <w:rsid w:val="7E3C4CD8"/>
    <w:rsid w:val="7E5B3DF0"/>
    <w:rsid w:val="7E603B51"/>
    <w:rsid w:val="7E89699C"/>
    <w:rsid w:val="7E922874"/>
    <w:rsid w:val="7EA122BE"/>
    <w:rsid w:val="7EB61FEB"/>
    <w:rsid w:val="7EC15EA8"/>
    <w:rsid w:val="7ECC6E1B"/>
    <w:rsid w:val="7ED95481"/>
    <w:rsid w:val="7EE159E2"/>
    <w:rsid w:val="7EF650A5"/>
    <w:rsid w:val="7F0D681A"/>
    <w:rsid w:val="7F1B0B31"/>
    <w:rsid w:val="7F4F3C2A"/>
    <w:rsid w:val="7F572EA7"/>
    <w:rsid w:val="7F58187E"/>
    <w:rsid w:val="7F5E53BB"/>
    <w:rsid w:val="7F7B0D22"/>
    <w:rsid w:val="7F8D40F4"/>
    <w:rsid w:val="7F9158C3"/>
    <w:rsid w:val="7F9845FD"/>
    <w:rsid w:val="7FB4014D"/>
    <w:rsid w:val="7FC56F2F"/>
    <w:rsid w:val="7FC92C70"/>
    <w:rsid w:val="7FDE0935"/>
    <w:rsid w:val="7FDE649B"/>
    <w:rsid w:val="7FE41BD6"/>
    <w:rsid w:val="7FE449B9"/>
    <w:rsid w:val="7FED15A8"/>
    <w:rsid w:val="7FFD191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4"/>
    <w:qFormat/>
    <w:locked/>
    <w:uiPriority w:val="0"/>
    <w:pPr>
      <w:keepNext/>
      <w:keepLines/>
      <w:spacing w:before="340" w:after="330" w:line="578" w:lineRule="auto"/>
      <w:outlineLvl w:val="0"/>
    </w:pPr>
    <w:rPr>
      <w:b/>
      <w:bCs/>
      <w:kern w:val="44"/>
      <w:sz w:val="44"/>
      <w:szCs w:val="44"/>
    </w:rPr>
  </w:style>
  <w:style w:type="paragraph" w:styleId="4">
    <w:name w:val="heading 2"/>
    <w:basedOn w:val="1"/>
    <w:next w:val="1"/>
    <w:link w:val="33"/>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styleId="5">
    <w:name w:val="Document Map"/>
    <w:basedOn w:val="1"/>
    <w:link w:val="31"/>
    <w:semiHidden/>
    <w:qFormat/>
    <w:uiPriority w:val="99"/>
    <w:pPr>
      <w:shd w:val="clear" w:color="auto" w:fill="000080"/>
    </w:pPr>
    <w:rPr>
      <w:kern w:val="0"/>
      <w:sz w:val="2"/>
    </w:rPr>
  </w:style>
  <w:style w:type="paragraph" w:styleId="6">
    <w:name w:val="annotation text"/>
    <w:basedOn w:val="1"/>
    <w:semiHidden/>
    <w:unhideWhenUsed/>
    <w:qFormat/>
    <w:uiPriority w:val="99"/>
    <w:pPr>
      <w:jc w:val="left"/>
    </w:pPr>
  </w:style>
  <w:style w:type="paragraph" w:styleId="7">
    <w:name w:val="Body Text"/>
    <w:basedOn w:val="1"/>
    <w:link w:val="26"/>
    <w:qFormat/>
    <w:uiPriority w:val="99"/>
    <w:pPr>
      <w:spacing w:after="120"/>
    </w:pPr>
    <w:rPr>
      <w:sz w:val="24"/>
      <w:szCs w:val="20"/>
    </w:rPr>
  </w:style>
  <w:style w:type="paragraph" w:styleId="8">
    <w:name w:val="Plain Text"/>
    <w:basedOn w:val="1"/>
    <w:link w:val="29"/>
    <w:qFormat/>
    <w:uiPriority w:val="99"/>
    <w:pPr>
      <w:jc w:val="left"/>
    </w:pPr>
    <w:rPr>
      <w:rFonts w:ascii="宋体" w:hAnsi="Courier New"/>
      <w:kern w:val="0"/>
      <w:sz w:val="20"/>
      <w:szCs w:val="21"/>
    </w:rPr>
  </w:style>
  <w:style w:type="paragraph" w:styleId="9">
    <w:name w:val="Date"/>
    <w:basedOn w:val="1"/>
    <w:next w:val="1"/>
    <w:link w:val="23"/>
    <w:qFormat/>
    <w:uiPriority w:val="99"/>
    <w:pPr>
      <w:ind w:left="2500" w:leftChars="2500"/>
    </w:pPr>
    <w:rPr>
      <w:rFonts w:eastAsia="黑体"/>
      <w:kern w:val="0"/>
      <w:sz w:val="24"/>
      <w:szCs w:val="20"/>
    </w:rPr>
  </w:style>
  <w:style w:type="paragraph" w:styleId="10">
    <w:name w:val="Balloon Text"/>
    <w:basedOn w:val="1"/>
    <w:link w:val="32"/>
    <w:semiHidden/>
    <w:qFormat/>
    <w:uiPriority w:val="99"/>
    <w:rPr>
      <w:sz w:val="18"/>
      <w:szCs w:val="20"/>
    </w:rPr>
  </w:style>
  <w:style w:type="paragraph" w:styleId="11">
    <w:name w:val="footer"/>
    <w:basedOn w:val="1"/>
    <w:link w:val="25"/>
    <w:qFormat/>
    <w:uiPriority w:val="99"/>
    <w:pPr>
      <w:tabs>
        <w:tab w:val="center" w:pos="4153"/>
        <w:tab w:val="right" w:pos="8306"/>
      </w:tabs>
      <w:snapToGrid w:val="0"/>
      <w:jc w:val="left"/>
    </w:pPr>
    <w:rPr>
      <w:sz w:val="18"/>
      <w:szCs w:val="20"/>
    </w:rPr>
  </w:style>
  <w:style w:type="paragraph" w:styleId="12">
    <w:name w:val="header"/>
    <w:basedOn w:val="1"/>
    <w:link w:val="24"/>
    <w:qFormat/>
    <w:uiPriority w:val="99"/>
    <w:pPr>
      <w:pBdr>
        <w:bottom w:val="single" w:color="auto" w:sz="6" w:space="1"/>
      </w:pBdr>
      <w:tabs>
        <w:tab w:val="center" w:pos="4153"/>
        <w:tab w:val="right" w:pos="8306"/>
      </w:tabs>
      <w:snapToGrid w:val="0"/>
      <w:jc w:val="center"/>
    </w:pPr>
    <w:rPr>
      <w:sz w:val="18"/>
      <w:szCs w:val="20"/>
    </w:rPr>
  </w:style>
  <w:style w:type="paragraph" w:styleId="13">
    <w:name w:val="toc 1"/>
    <w:basedOn w:val="1"/>
    <w:next w:val="1"/>
    <w:qFormat/>
    <w:locked/>
    <w:uiPriority w:val="39"/>
  </w:style>
  <w:style w:type="paragraph" w:styleId="14">
    <w:name w:val="toc 2"/>
    <w:basedOn w:val="1"/>
    <w:next w:val="1"/>
    <w:qFormat/>
    <w:locked/>
    <w:uiPriority w:val="39"/>
    <w:pPr>
      <w:ind w:left="420" w:leftChars="200"/>
    </w:pPr>
  </w:style>
  <w:style w:type="paragraph" w:styleId="15">
    <w:name w:val="Normal (Web)"/>
    <w:basedOn w:val="1"/>
    <w:qFormat/>
    <w:uiPriority w:val="0"/>
    <w:pPr>
      <w:spacing w:beforeAutospacing="1" w:afterAutospacing="1"/>
      <w:jc w:val="left"/>
    </w:pPr>
    <w:rPr>
      <w:kern w:val="0"/>
      <w:sz w:val="24"/>
    </w:rPr>
  </w:style>
  <w:style w:type="table" w:styleId="17">
    <w:name w:val="Table Grid"/>
    <w:basedOn w:val="16"/>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
    <w:name w:val="Strong"/>
    <w:basedOn w:val="18"/>
    <w:qFormat/>
    <w:locked/>
    <w:uiPriority w:val="0"/>
    <w:rPr>
      <w:b/>
    </w:rPr>
  </w:style>
  <w:style w:type="character" w:styleId="20">
    <w:name w:val="page number"/>
    <w:qFormat/>
    <w:uiPriority w:val="99"/>
    <w:rPr>
      <w:rFonts w:cs="Times New Roman"/>
    </w:rPr>
  </w:style>
  <w:style w:type="character" w:styleId="21">
    <w:name w:val="FollowedHyperlink"/>
    <w:qFormat/>
    <w:uiPriority w:val="99"/>
    <w:rPr>
      <w:rFonts w:cs="Times New Roman"/>
      <w:color w:val="800080"/>
      <w:u w:val="single"/>
    </w:rPr>
  </w:style>
  <w:style w:type="character" w:styleId="22">
    <w:name w:val="Hyperlink"/>
    <w:qFormat/>
    <w:uiPriority w:val="99"/>
    <w:rPr>
      <w:rFonts w:cs="Times New Roman"/>
      <w:color w:val="0000FF"/>
      <w:u w:val="single"/>
    </w:rPr>
  </w:style>
  <w:style w:type="character" w:customStyle="1" w:styleId="23">
    <w:name w:val="日期 字符"/>
    <w:link w:val="9"/>
    <w:qFormat/>
    <w:locked/>
    <w:uiPriority w:val="99"/>
    <w:rPr>
      <w:rFonts w:eastAsia="黑体"/>
      <w:sz w:val="24"/>
    </w:rPr>
  </w:style>
  <w:style w:type="character" w:customStyle="1" w:styleId="24">
    <w:name w:val="页眉 字符"/>
    <w:link w:val="12"/>
    <w:qFormat/>
    <w:locked/>
    <w:uiPriority w:val="99"/>
    <w:rPr>
      <w:kern w:val="2"/>
      <w:sz w:val="18"/>
    </w:rPr>
  </w:style>
  <w:style w:type="character" w:customStyle="1" w:styleId="25">
    <w:name w:val="页脚 字符"/>
    <w:link w:val="11"/>
    <w:qFormat/>
    <w:locked/>
    <w:uiPriority w:val="99"/>
    <w:rPr>
      <w:kern w:val="2"/>
      <w:sz w:val="18"/>
    </w:rPr>
  </w:style>
  <w:style w:type="character" w:customStyle="1" w:styleId="26">
    <w:name w:val="正文文本 字符"/>
    <w:link w:val="7"/>
    <w:qFormat/>
    <w:locked/>
    <w:uiPriority w:val="99"/>
    <w:rPr>
      <w:kern w:val="2"/>
      <w:sz w:val="24"/>
    </w:rPr>
  </w:style>
  <w:style w:type="paragraph" w:customStyle="1" w:styleId="27">
    <w:name w:val="此正文"/>
    <w:basedOn w:val="1"/>
    <w:qFormat/>
    <w:uiPriority w:val="99"/>
    <w:pPr>
      <w:spacing w:line="360" w:lineRule="auto"/>
      <w:ind w:firstLine="200" w:firstLineChars="200"/>
    </w:pPr>
    <w:rPr>
      <w:sz w:val="24"/>
      <w:szCs w:val="20"/>
    </w:rPr>
  </w:style>
  <w:style w:type="paragraph" w:customStyle="1" w:styleId="28">
    <w:name w:val="Char Char Char Char Char Char Char"/>
    <w:basedOn w:val="1"/>
    <w:semiHidden/>
    <w:qFormat/>
    <w:uiPriority w:val="99"/>
    <w:rPr>
      <w:rFonts w:ascii="Tahoma" w:hAnsi="Tahoma" w:cs="仿宋_GB2312"/>
      <w:sz w:val="24"/>
      <w:szCs w:val="28"/>
    </w:rPr>
  </w:style>
  <w:style w:type="character" w:customStyle="1" w:styleId="29">
    <w:name w:val="纯文本 字符"/>
    <w:link w:val="8"/>
    <w:semiHidden/>
    <w:qFormat/>
    <w:locked/>
    <w:uiPriority w:val="99"/>
    <w:rPr>
      <w:rFonts w:ascii="宋体" w:hAnsi="Courier New"/>
      <w:sz w:val="21"/>
    </w:rPr>
  </w:style>
  <w:style w:type="paragraph" w:customStyle="1" w:styleId="30">
    <w:name w:val="Char Char Char Char"/>
    <w:basedOn w:val="5"/>
    <w:qFormat/>
    <w:uiPriority w:val="99"/>
    <w:pPr>
      <w:adjustRightInd w:val="0"/>
      <w:snapToGrid w:val="0"/>
      <w:spacing w:line="360" w:lineRule="auto"/>
    </w:pPr>
    <w:rPr>
      <w:rFonts w:ascii="Tahoma" w:hAnsi="Tahoma"/>
      <w:sz w:val="24"/>
    </w:rPr>
  </w:style>
  <w:style w:type="character" w:customStyle="1" w:styleId="31">
    <w:name w:val="文档结构图 字符"/>
    <w:link w:val="5"/>
    <w:semiHidden/>
    <w:qFormat/>
    <w:locked/>
    <w:uiPriority w:val="99"/>
    <w:rPr>
      <w:sz w:val="2"/>
    </w:rPr>
  </w:style>
  <w:style w:type="character" w:customStyle="1" w:styleId="32">
    <w:name w:val="批注框文本 字符"/>
    <w:link w:val="10"/>
    <w:semiHidden/>
    <w:qFormat/>
    <w:locked/>
    <w:uiPriority w:val="99"/>
    <w:rPr>
      <w:kern w:val="2"/>
      <w:sz w:val="18"/>
    </w:rPr>
  </w:style>
  <w:style w:type="character" w:customStyle="1" w:styleId="33">
    <w:name w:val="标题 2 字符"/>
    <w:link w:val="4"/>
    <w:qFormat/>
    <w:uiPriority w:val="0"/>
    <w:rPr>
      <w:rFonts w:ascii="Cambria" w:hAnsi="Cambria" w:eastAsia="宋体" w:cs="Times New Roman"/>
      <w:b/>
      <w:bCs/>
      <w:kern w:val="2"/>
      <w:sz w:val="32"/>
      <w:szCs w:val="32"/>
    </w:rPr>
  </w:style>
  <w:style w:type="character" w:customStyle="1" w:styleId="34">
    <w:name w:val="标题 1 字符"/>
    <w:link w:val="3"/>
    <w:qFormat/>
    <w:uiPriority w:val="0"/>
    <w:rPr>
      <w:b/>
      <w:bCs/>
      <w:kern w:val="44"/>
      <w:sz w:val="44"/>
      <w:szCs w:val="44"/>
    </w:rPr>
  </w:style>
  <w:style w:type="paragraph" w:customStyle="1" w:styleId="35">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36">
    <w:name w:val="List Paragraph"/>
    <w:basedOn w:val="1"/>
    <w:qFormat/>
    <w:uiPriority w:val="34"/>
    <w:pPr>
      <w:ind w:firstLine="420" w:firstLineChars="200"/>
    </w:pPr>
  </w:style>
  <w:style w:type="paragraph" w:customStyle="1" w:styleId="37">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8">
    <w:name w:val="item-name"/>
    <w:basedOn w:val="18"/>
    <w:qFormat/>
    <w:uiPriority w:val="0"/>
  </w:style>
  <w:style w:type="character" w:customStyle="1" w:styleId="39">
    <w:name w:val="item-name1"/>
    <w:basedOn w:val="18"/>
    <w:qFormat/>
    <w:uiPriority w:val="0"/>
  </w:style>
  <w:style w:type="paragraph" w:customStyle="1" w:styleId="40">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41">
    <w:name w:val="WPSOffice手动目录 2"/>
    <w:qFormat/>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FC597B-CDCB-4626-84BA-96741A329207}">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25</Pages>
  <Words>2610</Words>
  <Characters>14880</Characters>
  <Lines>124</Lines>
  <Paragraphs>34</Paragraphs>
  <TotalTime>19</TotalTime>
  <ScaleCrop>false</ScaleCrop>
  <LinksUpToDate>false</LinksUpToDate>
  <CharactersWithSpaces>17456</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2021-07-05T06:47:00Z</dcterms:created>
  <dc:creator>USER</dc:creator>
  <cp:lastModifiedBy>WPS_1569853917</cp:lastModifiedBy>
  <cp:lastPrinted>2021-07-05T06:43:00Z</cp:lastPrinted>
  <dcterms:modified xsi:type="dcterms:W3CDTF">2021-07-07T01:37:15Z</dcterms:modified>
  <dc:title>招  标  文  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FD02F56347B6493EBD1796E6D8915EC5</vt:lpwstr>
  </property>
</Properties>
</file>