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themeColor="text1"/>
          <w:sz w:val="24"/>
          <w14:textFill>
            <w14:solidFill>
              <w14:schemeClr w14:val="tx1"/>
            </w14:solidFill>
          </w14:textFill>
        </w:rPr>
      </w:pPr>
    </w:p>
    <w:p>
      <w:pPr>
        <w:jc w:val="center"/>
        <w:rPr>
          <w:rFonts w:ascii="宋体"/>
          <w:b/>
          <w:color w:val="000000" w:themeColor="text1"/>
          <w:sz w:val="72"/>
          <w14:textFill>
            <w14:solidFill>
              <w14:schemeClr w14:val="tx1"/>
            </w14:solidFill>
          </w14:textFill>
        </w:rPr>
      </w:pPr>
    </w:p>
    <w:p>
      <w:pPr>
        <w:jc w:val="center"/>
        <w:rPr>
          <w:rFonts w:asci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公开招标采购文件</w:t>
      </w:r>
    </w:p>
    <w:p>
      <w:pPr>
        <w:rPr>
          <w:rFonts w:eastAsia="黑体"/>
          <w:color w:val="000000" w:themeColor="text1"/>
          <w:sz w:val="32"/>
          <w14:textFill>
            <w14:solidFill>
              <w14:schemeClr w14:val="tx1"/>
            </w14:solidFill>
          </w14:textFill>
        </w:rPr>
      </w:pPr>
    </w:p>
    <w:p>
      <w:pPr>
        <w:ind w:firstLine="1744" w:firstLineChars="545"/>
        <w:rPr>
          <w:rFonts w:ascii="宋体"/>
          <w:color w:val="000000" w:themeColor="text1"/>
          <w:sz w:val="32"/>
          <w14:textFill>
            <w14:solidFill>
              <w14:schemeClr w14:val="tx1"/>
            </w14:solidFill>
          </w14:textFill>
        </w:rPr>
      </w:pPr>
    </w:p>
    <w:p>
      <w:pPr>
        <w:spacing w:line="300" w:lineRule="auto"/>
        <w:ind w:left="1596" w:leftChars="760" w:firstLine="643" w:firstLineChars="200"/>
        <w:jc w:val="left"/>
        <w:rPr>
          <w:rFonts w:ascii="宋体"/>
          <w:b/>
          <w:color w:val="000000" w:themeColor="text1"/>
          <w:spacing w:val="20"/>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项目名称：</w:t>
      </w:r>
      <w:r>
        <w:rPr>
          <w:rFonts w:hint="eastAsia" w:ascii="宋体" w:hAnsi="宋体"/>
          <w:b/>
          <w:color w:val="000000"/>
          <w:sz w:val="32"/>
          <w:szCs w:val="32"/>
        </w:rPr>
        <w:t>南通大学食堂原料物资（干货、一次性用品、奶制品）</w:t>
      </w:r>
    </w:p>
    <w:p>
      <w:pPr>
        <w:spacing w:line="360" w:lineRule="auto"/>
        <w:ind w:firstLine="2249" w:firstLineChars="700"/>
        <w:rPr>
          <w:rFonts w:hint="default" w:ascii="宋体" w:eastAsia="宋体"/>
          <w:b/>
          <w:color w:val="000000" w:themeColor="text1"/>
          <w:sz w:val="32"/>
          <w:szCs w:val="32"/>
          <w:lang w:val="en-US" w:eastAsia="zh-CN"/>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项目编号：</w:t>
      </w:r>
      <w:r>
        <w:rPr>
          <w:rFonts w:ascii="宋体" w:hAnsi="宋体"/>
          <w:b/>
          <w:color w:val="000000" w:themeColor="text1"/>
          <w:sz w:val="32"/>
          <w:szCs w:val="32"/>
          <w14:textFill>
            <w14:solidFill>
              <w14:schemeClr w14:val="tx1"/>
            </w14:solidFill>
          </w14:textFill>
        </w:rPr>
        <w:t>TDHW(GK)202</w:t>
      </w:r>
      <w:r>
        <w:rPr>
          <w:rFonts w:hint="eastAsia" w:ascii="宋体" w:hAnsi="宋体"/>
          <w:b/>
          <w:color w:val="000000" w:themeColor="text1"/>
          <w:sz w:val="32"/>
          <w:szCs w:val="32"/>
          <w14:textFill>
            <w14:solidFill>
              <w14:schemeClr w14:val="tx1"/>
            </w14:solidFill>
          </w14:textFill>
        </w:rPr>
        <w:t>2</w:t>
      </w:r>
      <w:r>
        <w:rPr>
          <w:rFonts w:ascii="宋体"/>
          <w:b/>
          <w:color w:val="000000" w:themeColor="text1"/>
          <w:sz w:val="32"/>
          <w:szCs w:val="32"/>
          <w14:textFill>
            <w14:solidFill>
              <w14:schemeClr w14:val="tx1"/>
            </w14:solidFill>
          </w14:textFill>
        </w:rPr>
        <w:t>-</w:t>
      </w:r>
      <w:r>
        <w:rPr>
          <w:rFonts w:hint="eastAsia" w:ascii="宋体"/>
          <w:b/>
          <w:color w:val="000000" w:themeColor="text1"/>
          <w:sz w:val="32"/>
          <w:szCs w:val="32"/>
          <w14:textFill>
            <w14:solidFill>
              <w14:schemeClr w14:val="tx1"/>
            </w14:solidFill>
          </w14:textFill>
        </w:rPr>
        <w:t>0</w:t>
      </w:r>
      <w:r>
        <w:rPr>
          <w:rFonts w:hint="eastAsia" w:ascii="宋体"/>
          <w:b/>
          <w:color w:val="000000" w:themeColor="text1"/>
          <w:sz w:val="32"/>
          <w:szCs w:val="32"/>
          <w:lang w:val="en-US" w:eastAsia="zh-CN"/>
          <w14:textFill>
            <w14:solidFill>
              <w14:schemeClr w14:val="tx1"/>
            </w14:solidFill>
          </w14:textFill>
        </w:rPr>
        <w:t>77</w:t>
      </w:r>
    </w:p>
    <w:p>
      <w:pPr>
        <w:jc w:val="center"/>
        <w:rPr>
          <w:rFonts w:eastAsia="黑体"/>
          <w:color w:val="000000" w:themeColor="text1"/>
          <w:sz w:val="36"/>
          <w:szCs w:val="36"/>
          <w:u w:val="single"/>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44"/>
          <w14:textFill>
            <w14:solidFill>
              <w14:schemeClr w14:val="tx1"/>
            </w14:solidFill>
          </w14:textFill>
        </w:rPr>
      </w:pPr>
    </w:p>
    <w:p>
      <w:pPr>
        <w:jc w:val="center"/>
        <w:rPr>
          <w:color w:val="000000" w:themeColor="text1"/>
          <w:sz w:val="44"/>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jc w:val="center"/>
        <w:rPr>
          <w:rFonts w:ascii="宋体"/>
          <w:color w:val="000000" w:themeColor="text1"/>
          <w:sz w:val="32"/>
          <w14:textFill>
            <w14:solidFill>
              <w14:schemeClr w14:val="tx1"/>
            </w14:solidFill>
          </w14:textFill>
        </w:rPr>
      </w:pPr>
    </w:p>
    <w:p>
      <w:pPr>
        <w:jc w:val="center"/>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南通大学招投标管理办公室</w:t>
      </w:r>
    </w:p>
    <w:p>
      <w:pPr>
        <w:pStyle w:val="18"/>
        <w:ind w:left="0" w:leftChars="0"/>
        <w:jc w:val="center"/>
        <w:rPr>
          <w:rFonts w:eastAsia="宋体"/>
          <w:b/>
          <w:color w:val="000000" w:themeColor="text1"/>
          <w:sz w:val="32"/>
          <w:szCs w:val="32"/>
          <w14:textFill>
            <w14:solidFill>
              <w14:schemeClr w14:val="tx1"/>
            </w14:solidFill>
          </w14:textFill>
        </w:rPr>
      </w:pPr>
      <w:r>
        <w:rPr>
          <w:rFonts w:eastAsia="宋体"/>
          <w:b/>
          <w:color w:val="000000" w:themeColor="text1"/>
          <w:sz w:val="32"/>
          <w:szCs w:val="32"/>
          <w14:textFill>
            <w14:solidFill>
              <w14:schemeClr w14:val="tx1"/>
            </w14:solidFill>
          </w14:textFill>
        </w:rPr>
        <w:t>202</w:t>
      </w:r>
      <w:r>
        <w:rPr>
          <w:rFonts w:hint="eastAsia" w:eastAsia="宋体"/>
          <w:b/>
          <w:color w:val="000000" w:themeColor="text1"/>
          <w:sz w:val="32"/>
          <w:szCs w:val="32"/>
          <w14:textFill>
            <w14:solidFill>
              <w14:schemeClr w14:val="tx1"/>
            </w14:solidFill>
          </w14:textFill>
        </w:rPr>
        <w:t>2年</w:t>
      </w:r>
      <w:r>
        <w:rPr>
          <w:rFonts w:hint="eastAsia" w:eastAsia="宋体"/>
          <w:b/>
          <w:color w:val="000000" w:themeColor="text1"/>
          <w:sz w:val="32"/>
          <w:szCs w:val="32"/>
          <w:lang w:val="en-US" w:eastAsia="zh-CN"/>
          <w14:textFill>
            <w14:solidFill>
              <w14:schemeClr w14:val="tx1"/>
            </w14:solidFill>
          </w14:textFill>
        </w:rPr>
        <w:t>8</w:t>
      </w:r>
      <w:r>
        <w:rPr>
          <w:rFonts w:hint="eastAsia" w:eastAsia="宋体"/>
          <w:b/>
          <w:color w:val="000000" w:themeColor="text1"/>
          <w:sz w:val="32"/>
          <w:szCs w:val="32"/>
          <w14:textFill>
            <w14:solidFill>
              <w14:schemeClr w14:val="tx1"/>
            </w14:solidFill>
          </w14:textFill>
        </w:rPr>
        <w:t>月</w:t>
      </w:r>
    </w:p>
    <w:p>
      <w:pPr>
        <w:spacing w:after="312" w:afterLines="100"/>
        <w:jc w:val="center"/>
        <w:rPr>
          <w:rStyle w:val="32"/>
          <w:rFonts w:eastAsia="黑体"/>
          <w:bCs/>
          <w:color w:val="000000" w:themeColor="text1"/>
          <w:sz w:val="48"/>
          <w:u w:val="none"/>
          <w14:textFill>
            <w14:solidFill>
              <w14:schemeClr w14:val="tx1"/>
            </w14:solidFill>
          </w14:textFill>
        </w:rPr>
        <w:sectPr>
          <w:footerReference r:id="rId3" w:type="even"/>
          <w:pgSz w:w="11906" w:h="16838"/>
          <w:pgMar w:top="1440" w:right="1080" w:bottom="1440" w:left="1080" w:header="851" w:footer="992" w:gutter="0"/>
          <w:pgNumType w:start="0"/>
          <w:cols w:space="425" w:num="1"/>
          <w:titlePg/>
          <w:docGrid w:type="lines" w:linePitch="312" w:charSpace="0"/>
        </w:sectPr>
      </w:pPr>
    </w:p>
    <w:p>
      <w:pPr>
        <w:spacing w:after="312" w:afterLines="100"/>
        <w:jc w:val="center"/>
        <w:rPr>
          <w:rStyle w:val="32"/>
          <w:rFonts w:eastAsia="黑体"/>
          <w:bCs/>
          <w:color w:val="000000" w:themeColor="text1"/>
          <w:sz w:val="48"/>
          <w:u w:val="none"/>
          <w14:textFill>
            <w14:solidFill>
              <w14:schemeClr w14:val="tx1"/>
            </w14:solidFill>
          </w14:textFill>
        </w:rPr>
      </w:pPr>
      <w:r>
        <w:rPr>
          <w:rStyle w:val="32"/>
          <w:rFonts w:hint="eastAsia" w:eastAsia="黑体"/>
          <w:bCs/>
          <w:color w:val="000000" w:themeColor="text1"/>
          <w:sz w:val="48"/>
          <w:u w:val="none"/>
          <w14:textFill>
            <w14:solidFill>
              <w14:schemeClr w14:val="tx1"/>
            </w14:solidFill>
          </w14:textFill>
        </w:rPr>
        <w:t>目录</w:t>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begin"/>
      </w:r>
      <w:r>
        <w:rPr>
          <w:rStyle w:val="32"/>
          <w:rFonts w:eastAsia="黑体"/>
          <w:bCs/>
          <w:color w:val="000000" w:themeColor="text1"/>
          <w:sz w:val="24"/>
          <w:u w:val="none"/>
          <w14:textFill>
            <w14:solidFill>
              <w14:schemeClr w14:val="tx1"/>
            </w14:solidFill>
          </w14:textFill>
        </w:rPr>
        <w:instrText xml:space="preserve"> TOC \o "1-3" \h \z \u </w:instrText>
      </w:r>
      <w:r>
        <w:rPr>
          <w:rStyle w:val="32"/>
          <w:rFonts w:eastAsia="黑体"/>
          <w:bCs/>
          <w:color w:val="000000" w:themeColor="text1"/>
          <w:sz w:val="24"/>
          <w:u w:val="none"/>
          <w14:textFill>
            <w14:solidFill>
              <w14:schemeClr w14:val="tx1"/>
            </w14:solidFill>
          </w14:textFill>
        </w:rPr>
        <w:fldChar w:fldCharType="separate"/>
      </w:r>
      <w:r>
        <w:fldChar w:fldCharType="begin"/>
      </w:r>
      <w:r>
        <w:instrText xml:space="preserve"> HYPERLINK \l "_Toc73516679" </w:instrText>
      </w:r>
      <w:r>
        <w:fldChar w:fldCharType="separate"/>
      </w:r>
      <w:r>
        <w:rPr>
          <w:rStyle w:val="33"/>
          <w:color w:val="000000" w:themeColor="text1"/>
          <w14:textFill>
            <w14:solidFill>
              <w14:schemeClr w14:val="tx1"/>
            </w14:solidFill>
          </w14:textFill>
        </w:rPr>
        <w:t>第一部分公开招标采购公告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_Toc73516679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"_Toc73516680" </w:instrText>
      </w:r>
      <w:r>
        <w:fldChar w:fldCharType="separate"/>
      </w:r>
      <w:r>
        <w:rPr>
          <w:rStyle w:val="33"/>
          <w:color w:val="000000" w:themeColor="text1"/>
          <w14:textFill>
            <w14:solidFill>
              <w14:schemeClr w14:val="tx1"/>
            </w14:solidFill>
          </w14:textFill>
        </w:rPr>
        <w:t>第二部分投标人须知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"_Toc73516681" </w:instrText>
      </w:r>
      <w:r>
        <w:fldChar w:fldCharType="separate"/>
      </w:r>
      <w:r>
        <w:rPr>
          <w:rStyle w:val="33"/>
          <w:color w:val="000000" w:themeColor="text1"/>
          <w14:textFill>
            <w14:solidFill>
              <w14:schemeClr w14:val="tx1"/>
            </w14:solidFill>
          </w14:textFill>
        </w:rPr>
        <w:t>一、招标文件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"_Toc73516682" </w:instrText>
      </w:r>
      <w:r>
        <w:fldChar w:fldCharType="separate"/>
      </w:r>
      <w:r>
        <w:rPr>
          <w:rStyle w:val="33"/>
          <w:color w:val="000000" w:themeColor="text1"/>
          <w14:textFill>
            <w14:solidFill>
              <w14:schemeClr w14:val="tx1"/>
            </w14:solidFill>
          </w14:textFill>
        </w:rPr>
        <w:t>二、投标文件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"_Toc73516683" </w:instrText>
      </w:r>
      <w:r>
        <w:fldChar w:fldCharType="separate"/>
      </w:r>
      <w:r>
        <w:rPr>
          <w:rStyle w:val="33"/>
          <w:color w:val="000000" w:themeColor="text1"/>
          <w14:textFill>
            <w14:solidFill>
              <w14:schemeClr w14:val="tx1"/>
            </w14:solidFill>
          </w14:textFill>
        </w:rPr>
        <w:t>三、投标细则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"_Toc73516684" </w:instrText>
      </w:r>
      <w:r>
        <w:fldChar w:fldCharType="separate"/>
      </w:r>
      <w:r>
        <w:rPr>
          <w:rStyle w:val="33"/>
          <w:color w:val="000000" w:themeColor="text1"/>
          <w14:textFill>
            <w14:solidFill>
              <w14:schemeClr w14:val="tx1"/>
            </w14:solidFill>
          </w14:textFill>
        </w:rPr>
        <w:t>四、评标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"_Toc73516685" </w:instrText>
      </w:r>
      <w:r>
        <w:fldChar w:fldCharType="separate"/>
      </w:r>
      <w:r>
        <w:rPr>
          <w:rStyle w:val="33"/>
          <w:color w:val="000000" w:themeColor="text1"/>
          <w14:textFill>
            <w14:solidFill>
              <w14:schemeClr w14:val="tx1"/>
            </w14:solidFill>
          </w14:textFill>
        </w:rPr>
        <w:t>五、评标方法及评分标准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"_Toc73516686" </w:instrText>
      </w:r>
      <w:r>
        <w:fldChar w:fldCharType="separate"/>
      </w:r>
      <w:r>
        <w:rPr>
          <w:rStyle w:val="33"/>
          <w:color w:val="000000" w:themeColor="text1"/>
          <w14:textFill>
            <w14:solidFill>
              <w14:schemeClr w14:val="tx1"/>
            </w14:solidFill>
          </w14:textFill>
        </w:rPr>
        <w:t>六、定标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"_Toc73516687" </w:instrText>
      </w:r>
      <w:r>
        <w:fldChar w:fldCharType="separate"/>
      </w:r>
      <w:r>
        <w:rPr>
          <w:rStyle w:val="33"/>
          <w:color w:val="000000" w:themeColor="text1"/>
          <w14:textFill>
            <w14:solidFill>
              <w14:schemeClr w14:val="tx1"/>
            </w14:solidFill>
          </w14:textFill>
        </w:rPr>
        <w:t>七、合同的签订</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"_Toc73516689" </w:instrText>
      </w:r>
      <w:r>
        <w:fldChar w:fldCharType="separate"/>
      </w:r>
      <w:r>
        <w:rPr>
          <w:rStyle w:val="33"/>
          <w:rFonts w:hint="eastAsia"/>
          <w:color w:val="000000" w:themeColor="text1"/>
          <w14:textFill>
            <w14:solidFill>
              <w14:schemeClr w14:val="tx1"/>
            </w14:solidFill>
          </w14:textFill>
        </w:rPr>
        <w:t>八</w:t>
      </w:r>
      <w:r>
        <w:rPr>
          <w:rStyle w:val="33"/>
          <w:color w:val="000000" w:themeColor="text1"/>
          <w14:textFill>
            <w14:solidFill>
              <w14:schemeClr w14:val="tx1"/>
            </w14:solidFill>
          </w14:textFill>
        </w:rPr>
        <w:t>、其他</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"_Toc73516690" </w:instrText>
      </w:r>
      <w:r>
        <w:fldChar w:fldCharType="separate"/>
      </w:r>
      <w:r>
        <w:rPr>
          <w:rStyle w:val="33"/>
          <w:color w:val="000000" w:themeColor="text1"/>
          <w14:textFill>
            <w14:solidFill>
              <w14:schemeClr w14:val="tx1"/>
            </w14:solidFill>
          </w14:textFill>
        </w:rPr>
        <w:t>第三部分招标货物要求及相关说明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"_Toc73516692" </w:instrText>
      </w:r>
      <w:r>
        <w:fldChar w:fldCharType="separate"/>
      </w:r>
      <w:r>
        <w:rPr>
          <w:rStyle w:val="33"/>
          <w:color w:val="000000" w:themeColor="text1"/>
          <w14:textFill>
            <w14:solidFill>
              <w14:schemeClr w14:val="tx1"/>
            </w14:solidFill>
          </w14:textFill>
        </w:rPr>
        <w:t>第四部分合同主要条款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"_Toc73516693" </w:instrText>
      </w:r>
      <w:r>
        <w:fldChar w:fldCharType="separate"/>
      </w:r>
      <w:r>
        <w:rPr>
          <w:rStyle w:val="33"/>
          <w:color w:val="000000" w:themeColor="text1"/>
          <w14:textFill>
            <w14:solidFill>
              <w14:schemeClr w14:val="tx1"/>
            </w14:solidFill>
          </w14:textFill>
        </w:rPr>
        <w:t>第五部分附件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"_Toc73516694" </w:instrText>
      </w:r>
      <w:r>
        <w:fldChar w:fldCharType="separate"/>
      </w:r>
      <w:r>
        <w:rPr>
          <w:rStyle w:val="33"/>
          <w:color w:val="000000" w:themeColor="text1"/>
          <w14:textFill>
            <w14:solidFill>
              <w14:schemeClr w14:val="tx1"/>
            </w14:solidFill>
          </w14:textFill>
        </w:rPr>
        <w:t>附件1：投标函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"_Toc73516695" </w:instrText>
      </w:r>
      <w:r>
        <w:fldChar w:fldCharType="separate"/>
      </w:r>
      <w:r>
        <w:rPr>
          <w:rStyle w:val="33"/>
          <w:color w:val="000000" w:themeColor="text1"/>
          <w14:textFill>
            <w14:solidFill>
              <w14:schemeClr w14:val="tx1"/>
            </w14:solidFill>
          </w14:textFill>
        </w:rPr>
        <w:t>附件2：投标报价表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"_Toc73516699"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3</w:t>
      </w:r>
      <w:r>
        <w:rPr>
          <w:rStyle w:val="33"/>
          <w:color w:val="000000" w:themeColor="text1"/>
          <w14:textFill>
            <w14:solidFill>
              <w14:schemeClr w14:val="tx1"/>
            </w14:solidFill>
          </w14:textFill>
        </w:rPr>
        <w:t>：法定代表人资格证明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rFonts w:hint="eastAsia"/>
          <w:color w:val="000000" w:themeColor="text1"/>
          <w:lang w:val="en-US" w:eastAsia="zh-CN"/>
          <w14:textFill>
            <w14:solidFill>
              <w14:schemeClr w14:val="tx1"/>
            </w14:solidFill>
          </w14:textFill>
        </w:rPr>
        <w:t>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"_Toc73516700"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4</w:t>
      </w:r>
      <w:r>
        <w:rPr>
          <w:rStyle w:val="33"/>
          <w:color w:val="000000" w:themeColor="text1"/>
          <w14:textFill>
            <w14:solidFill>
              <w14:schemeClr w14:val="tx1"/>
            </w14:solidFill>
          </w14:textFill>
        </w:rPr>
        <w:t>：法定代表人授权书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rFonts w:hint="eastAsia"/>
          <w:color w:val="000000" w:themeColor="text1"/>
          <w:lang w:val="en-US" w:eastAsia="zh-CN"/>
          <w14:textFill>
            <w14:solidFill>
              <w14:schemeClr w14:val="tx1"/>
            </w14:solidFill>
          </w14:textFill>
        </w:rPr>
        <w:t>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"_Toc73516701"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5</w:t>
      </w:r>
      <w:r>
        <w:rPr>
          <w:rStyle w:val="33"/>
          <w:color w:val="000000" w:themeColor="text1"/>
          <w14:textFill>
            <w14:solidFill>
              <w14:schemeClr w14:val="tx1"/>
            </w14:solidFill>
          </w14:textFill>
        </w:rPr>
        <w:t>：无重大违法记录声明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rFonts w:hint="eastAsia"/>
          <w:color w:val="000000" w:themeColor="text1"/>
          <w:lang w:val="en-US" w:eastAsia="zh-CN"/>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color w:val="000000" w:themeColor="text1"/>
          <w14:textFill>
            <w14:solidFill>
              <w14:schemeClr w14:val="tx1"/>
            </w14:solidFill>
          </w14:textFill>
        </w:rPr>
      </w:pPr>
      <w:r>
        <w:fldChar w:fldCharType="begin"/>
      </w:r>
      <w:r>
        <w:instrText xml:space="preserve"> HYPERLINK \l "_Toc73516702"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6</w:t>
      </w:r>
      <w:r>
        <w:rPr>
          <w:rStyle w:val="33"/>
          <w:color w:val="000000" w:themeColor="text1"/>
          <w14:textFill>
            <w14:solidFill>
              <w14:schemeClr w14:val="tx1"/>
            </w14:solidFill>
          </w14:textFill>
        </w:rPr>
        <w:t>：诚信承诺书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rFonts w:hint="eastAsia"/>
          <w:color w:val="000000" w:themeColor="text1"/>
          <w:lang w:val="en-US" w:eastAsia="zh-CN"/>
          <w14:textFill>
            <w14:solidFill>
              <w14:schemeClr w14:val="tx1"/>
            </w14:solidFill>
          </w14:textFill>
        </w:rPr>
        <w:t>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spacing w:after="312" w:afterLines="100" w:line="500" w:lineRule="exact"/>
        <w:jc w:val="center"/>
        <w:rPr>
          <w:rStyle w:val="32"/>
          <w:rFonts w:eastAsia="黑体"/>
          <w:bCs/>
          <w:color w:val="000000" w:themeColor="text1"/>
          <w:sz w:val="48"/>
          <w:u w:val="none"/>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end"/>
      </w:r>
    </w:p>
    <w:p>
      <w:pPr>
        <w:pStyle w:val="3"/>
        <w:jc w:val="center"/>
        <w:rPr>
          <w:rFonts w:ascii="黑体" w:eastAsia="黑体"/>
          <w:color w:val="000000" w:themeColor="text1"/>
          <w14:textFill>
            <w14:solidFill>
              <w14:schemeClr w14:val="tx1"/>
            </w14:solidFill>
          </w14:textFill>
        </w:rPr>
      </w:pPr>
      <w:r>
        <w:rPr>
          <w:color w:val="000000" w:themeColor="text1"/>
          <w14:textFill>
            <w14:solidFill>
              <w14:schemeClr w14:val="tx1"/>
            </w14:solidFill>
          </w14:textFill>
        </w:rPr>
        <w:br w:type="page"/>
      </w:r>
      <w:bookmarkStart w:id="0" w:name="_Toc73516679"/>
      <w:r>
        <w:rPr>
          <w:rFonts w:hint="eastAsia"/>
          <w:color w:val="000000" w:themeColor="text1"/>
          <w14:textFill>
            <w14:solidFill>
              <w14:schemeClr w14:val="tx1"/>
            </w14:solidFill>
          </w14:textFill>
        </w:rPr>
        <w:t>第一部分公开招标采购公告</w:t>
      </w:r>
      <w:bookmarkEnd w:id="0"/>
    </w:p>
    <w:p>
      <w:pPr>
        <w:widowControl/>
        <w:spacing w:line="440" w:lineRule="exact"/>
        <w:rPr>
          <w:rFonts w:ascii="宋体" w:hAnsi="宋体"/>
          <w:color w:val="000000"/>
          <w:sz w:val="24"/>
        </w:rPr>
      </w:pPr>
      <w:r>
        <w:rPr>
          <w:rFonts w:hint="eastAsia" w:ascii="宋体" w:hAnsi="宋体"/>
          <w:color w:val="000000" w:themeColor="text1"/>
          <w:spacing w:val="4"/>
          <w:sz w:val="24"/>
          <w14:textFill>
            <w14:solidFill>
              <w14:schemeClr w14:val="tx1"/>
            </w14:solidFill>
          </w14:textFill>
        </w:rPr>
        <w:t>南通大学拟采取公开招标方式购买</w:t>
      </w:r>
      <w:r>
        <w:rPr>
          <w:rFonts w:hint="eastAsia" w:ascii="宋体" w:hAnsi="宋体"/>
          <w:b/>
          <w:color w:val="000000"/>
          <w:sz w:val="24"/>
        </w:rPr>
        <w:t>南通大学食堂原料物资（干货、一次性用品、奶制品）</w:t>
      </w:r>
      <w:r>
        <w:rPr>
          <w:rFonts w:hint="eastAsia" w:ascii="宋体" w:hAnsi="宋体"/>
          <w:color w:val="000000"/>
          <w:sz w:val="24"/>
        </w:rPr>
        <w:t>及相关服务，现就相关事宜公告如下：</w:t>
      </w:r>
    </w:p>
    <w:p>
      <w:pPr>
        <w:widowControl/>
        <w:spacing w:line="440" w:lineRule="exact"/>
        <w:ind w:firstLine="482" w:firstLineChars="200"/>
        <w:rPr>
          <w:rFonts w:ascii="宋体" w:hAnsi="宋体"/>
          <w:b/>
          <w:color w:val="000000"/>
          <w:sz w:val="24"/>
        </w:rPr>
      </w:pPr>
      <w:r>
        <w:rPr>
          <w:rFonts w:hint="eastAsia" w:ascii="宋体" w:hAnsi="宋体"/>
          <w:b/>
          <w:color w:val="000000"/>
          <w:sz w:val="24"/>
        </w:rPr>
        <w:t>一、项目名称：南通大学食堂原料物资（干货、一次性用品、奶制品）采购</w:t>
      </w:r>
    </w:p>
    <w:p>
      <w:pPr>
        <w:widowControl/>
        <w:spacing w:line="440" w:lineRule="exact"/>
        <w:ind w:firstLine="482" w:firstLineChars="200"/>
        <w:rPr>
          <w:rFonts w:hint="default" w:ascii="宋体" w:hAnsi="宋体" w:eastAsia="宋体"/>
          <w:b/>
          <w:color w:val="000000"/>
          <w:sz w:val="24"/>
          <w:lang w:val="en-US" w:eastAsia="zh-CN"/>
        </w:rPr>
      </w:pPr>
      <w:r>
        <w:rPr>
          <w:rFonts w:hint="eastAsia" w:ascii="宋体" w:hAnsi="宋体"/>
          <w:b/>
          <w:color w:val="000000"/>
          <w:sz w:val="24"/>
        </w:rPr>
        <w:t>二、招标编号：TDHW(GK)2022-0</w:t>
      </w:r>
      <w:r>
        <w:rPr>
          <w:rFonts w:hint="eastAsia" w:ascii="宋体" w:hAnsi="宋体"/>
          <w:b/>
          <w:color w:val="000000"/>
          <w:sz w:val="24"/>
          <w:lang w:val="en-US" w:eastAsia="zh-CN"/>
        </w:rPr>
        <w:t>77</w:t>
      </w:r>
    </w:p>
    <w:p>
      <w:pPr>
        <w:widowControl/>
        <w:spacing w:line="440" w:lineRule="exact"/>
        <w:ind w:firstLine="482" w:firstLineChars="200"/>
        <w:rPr>
          <w:rFonts w:ascii="宋体" w:hAnsi="宋体"/>
          <w:color w:val="000000"/>
          <w:sz w:val="24"/>
        </w:rPr>
      </w:pPr>
      <w:r>
        <w:rPr>
          <w:rFonts w:hint="eastAsia" w:ascii="宋体" w:hAnsi="宋体"/>
          <w:b/>
          <w:color w:val="000000"/>
          <w:sz w:val="24"/>
        </w:rPr>
        <w:t>三、货物品名及技术规格：</w:t>
      </w:r>
      <w:r>
        <w:rPr>
          <w:rFonts w:hint="eastAsia" w:ascii="宋体" w:hAnsi="宋体"/>
          <w:color w:val="000000"/>
          <w:sz w:val="24"/>
        </w:rPr>
        <w:t>详见本招标文件第三部分“招标货物要求及相关说明”。</w:t>
      </w:r>
    </w:p>
    <w:p>
      <w:pPr>
        <w:widowControl/>
        <w:spacing w:line="440" w:lineRule="exact"/>
        <w:ind w:firstLine="482" w:firstLineChars="200"/>
        <w:rPr>
          <w:rFonts w:ascii="宋体" w:hAnsi="宋体"/>
          <w:b/>
          <w:color w:val="000000"/>
          <w:sz w:val="24"/>
        </w:rPr>
      </w:pPr>
      <w:r>
        <w:rPr>
          <w:rFonts w:hint="eastAsia" w:ascii="宋体" w:hAnsi="宋体"/>
          <w:b/>
          <w:color w:val="000000"/>
          <w:sz w:val="24"/>
        </w:rPr>
        <w:t>四、项目预算：标段</w:t>
      </w:r>
      <w:r>
        <w:rPr>
          <w:rFonts w:ascii="宋体" w:hAnsi="宋体"/>
          <w:b/>
          <w:color w:val="000000"/>
          <w:sz w:val="24"/>
        </w:rPr>
        <w:t>一</w:t>
      </w:r>
      <w:r>
        <w:rPr>
          <w:rFonts w:hint="eastAsia" w:ascii="宋体" w:hAnsi="宋体"/>
          <w:b/>
          <w:sz w:val="24"/>
          <w:lang w:val="en-US" w:eastAsia="zh-CN"/>
        </w:rPr>
        <w:t>25</w:t>
      </w:r>
      <w:r>
        <w:rPr>
          <w:rFonts w:hint="eastAsia" w:ascii="宋体" w:hAnsi="宋体"/>
          <w:b/>
          <w:color w:val="000000"/>
          <w:sz w:val="24"/>
        </w:rPr>
        <w:t>万元、</w:t>
      </w:r>
      <w:r>
        <w:rPr>
          <w:rFonts w:ascii="宋体" w:hAnsi="宋体"/>
          <w:b/>
          <w:color w:val="000000"/>
          <w:sz w:val="24"/>
        </w:rPr>
        <w:t>标段</w:t>
      </w:r>
      <w:r>
        <w:rPr>
          <w:rFonts w:hint="eastAsia" w:ascii="宋体" w:hAnsi="宋体"/>
          <w:b/>
          <w:color w:val="000000"/>
          <w:sz w:val="24"/>
          <w:lang w:eastAsia="zh-CN"/>
        </w:rPr>
        <w:t>二</w:t>
      </w:r>
      <w:r>
        <w:rPr>
          <w:rFonts w:hint="eastAsia" w:ascii="宋体" w:hAnsi="宋体"/>
          <w:b/>
          <w:color w:val="000000"/>
          <w:sz w:val="24"/>
          <w:lang w:val="en-US" w:eastAsia="zh-CN"/>
        </w:rPr>
        <w:t>25</w:t>
      </w:r>
      <w:r>
        <w:rPr>
          <w:rFonts w:hint="eastAsia" w:ascii="宋体" w:hAnsi="宋体"/>
          <w:b/>
          <w:color w:val="000000"/>
          <w:sz w:val="24"/>
        </w:rPr>
        <w:t>万</w:t>
      </w:r>
      <w:r>
        <w:rPr>
          <w:rFonts w:hint="eastAsia" w:ascii="宋体" w:hAnsi="宋体"/>
          <w:b/>
          <w:color w:val="000000"/>
          <w:sz w:val="24"/>
          <w:lang w:eastAsia="zh-CN"/>
        </w:rPr>
        <w:t>元、标段三</w:t>
      </w:r>
      <w:r>
        <w:rPr>
          <w:rFonts w:hint="eastAsia" w:ascii="宋体" w:hAnsi="宋体"/>
          <w:b/>
          <w:color w:val="000000"/>
          <w:sz w:val="24"/>
          <w:lang w:val="en-US" w:eastAsia="zh-CN"/>
        </w:rPr>
        <w:t>12</w:t>
      </w:r>
      <w:r>
        <w:rPr>
          <w:rFonts w:hint="eastAsia" w:ascii="宋体" w:hAnsi="宋体"/>
          <w:b/>
          <w:color w:val="000000"/>
          <w:sz w:val="24"/>
          <w:lang w:eastAsia="zh-CN"/>
        </w:rPr>
        <w:t>万元</w:t>
      </w:r>
      <w:r>
        <w:rPr>
          <w:rFonts w:hint="eastAsia" w:ascii="宋体" w:hAnsi="宋体"/>
          <w:b/>
          <w:color w:val="000000"/>
          <w:sz w:val="24"/>
        </w:rPr>
        <w:t>。</w:t>
      </w:r>
    </w:p>
    <w:p>
      <w:pPr>
        <w:widowControl/>
        <w:spacing w:line="440" w:lineRule="exact"/>
        <w:ind w:firstLine="480" w:firstLineChars="200"/>
        <w:rPr>
          <w:rFonts w:ascii="宋体" w:hAnsi="宋体"/>
          <w:color w:val="000000"/>
          <w:sz w:val="24"/>
        </w:rPr>
      </w:pPr>
      <w:r>
        <w:rPr>
          <w:rFonts w:hint="eastAsia" w:ascii="宋体" w:hAnsi="宋体"/>
          <w:color w:val="000000"/>
          <w:sz w:val="24"/>
        </w:rPr>
        <w:t>标段一：干货（供应啬园校区、启秀校区、钟秀校区、启东校区），供应商1家；</w:t>
      </w:r>
    </w:p>
    <w:p>
      <w:pPr>
        <w:widowControl/>
        <w:spacing w:line="440" w:lineRule="exact"/>
        <w:ind w:firstLine="480" w:firstLineChars="200"/>
        <w:rPr>
          <w:rFonts w:ascii="宋体" w:hAnsi="宋体"/>
          <w:color w:val="000000"/>
          <w:sz w:val="24"/>
        </w:rPr>
      </w:pPr>
      <w:r>
        <w:rPr>
          <w:rFonts w:hint="eastAsia" w:ascii="宋体" w:hAnsi="宋体"/>
          <w:color w:val="000000"/>
          <w:sz w:val="24"/>
        </w:rPr>
        <w:t>标段</w:t>
      </w:r>
      <w:r>
        <w:rPr>
          <w:rFonts w:hint="eastAsia" w:ascii="宋体" w:hAnsi="宋体"/>
          <w:color w:val="000000"/>
          <w:sz w:val="24"/>
          <w:lang w:eastAsia="zh-CN"/>
        </w:rPr>
        <w:t>二</w:t>
      </w:r>
      <w:r>
        <w:rPr>
          <w:rFonts w:hint="eastAsia" w:ascii="宋体" w:hAnsi="宋体"/>
          <w:color w:val="000000"/>
          <w:sz w:val="24"/>
        </w:rPr>
        <w:t>：一次性用品（供应啬园校区、启秀校区、钟秀校区、启东校区），供应商2家；</w:t>
      </w:r>
    </w:p>
    <w:p>
      <w:pPr>
        <w:widowControl/>
        <w:spacing w:line="440" w:lineRule="exact"/>
        <w:ind w:firstLine="480" w:firstLineChars="200"/>
        <w:rPr>
          <w:rFonts w:ascii="宋体" w:hAnsi="宋体"/>
          <w:color w:val="000000"/>
          <w:sz w:val="24"/>
        </w:rPr>
      </w:pPr>
      <w:r>
        <w:rPr>
          <w:rFonts w:hint="eastAsia" w:ascii="宋体" w:hAnsi="宋体"/>
          <w:color w:val="000000"/>
          <w:sz w:val="24"/>
        </w:rPr>
        <w:t>标段</w:t>
      </w:r>
      <w:r>
        <w:rPr>
          <w:rFonts w:hint="eastAsia" w:ascii="宋体" w:hAnsi="宋体"/>
          <w:color w:val="000000"/>
          <w:sz w:val="24"/>
          <w:lang w:eastAsia="zh-CN"/>
        </w:rPr>
        <w:t>三</w:t>
      </w:r>
      <w:r>
        <w:rPr>
          <w:rFonts w:hint="eastAsia" w:ascii="宋体" w:hAnsi="宋体"/>
          <w:color w:val="000000"/>
          <w:sz w:val="24"/>
        </w:rPr>
        <w:t xml:space="preserve">：奶制品（供应啬园校区、启秀校区、钟秀校区、启东校区），供应商2家； </w:t>
      </w:r>
    </w:p>
    <w:p>
      <w:pPr>
        <w:widowControl/>
        <w:spacing w:line="440" w:lineRule="exact"/>
        <w:ind w:firstLine="482" w:firstLineChars="200"/>
        <w:rPr>
          <w:rFonts w:ascii="宋体" w:hAnsi="宋体"/>
          <w:b/>
          <w:color w:val="000000"/>
          <w:sz w:val="24"/>
        </w:rPr>
      </w:pPr>
      <w:r>
        <w:rPr>
          <w:rFonts w:hint="eastAsia" w:ascii="宋体" w:hAnsi="宋体"/>
          <w:b/>
          <w:color w:val="000000"/>
          <w:sz w:val="24"/>
        </w:rPr>
        <w:t>五、合格的投标人</w:t>
      </w:r>
    </w:p>
    <w:p>
      <w:pPr>
        <w:widowControl/>
        <w:spacing w:line="440" w:lineRule="exact"/>
        <w:ind w:firstLine="480" w:firstLineChars="200"/>
        <w:rPr>
          <w:rFonts w:ascii="宋体" w:hAnsi="宋体"/>
          <w:color w:val="000000"/>
          <w:sz w:val="24"/>
        </w:rPr>
      </w:pPr>
      <w:r>
        <w:rPr>
          <w:rFonts w:hint="eastAsia" w:ascii="宋体" w:hAnsi="宋体"/>
          <w:color w:val="000000"/>
          <w:sz w:val="24"/>
        </w:rPr>
        <w:t>参加本次招标活动的投标人除应当符合《中华人民共和国政府采购法》第二十二条的规定外，还必须具备以下条件：</w:t>
      </w:r>
    </w:p>
    <w:p>
      <w:pPr>
        <w:widowControl/>
        <w:spacing w:line="440" w:lineRule="exact"/>
        <w:ind w:firstLine="480" w:firstLineChars="200"/>
        <w:jc w:val="left"/>
        <w:rPr>
          <w:rFonts w:ascii="宋体" w:hAnsi="宋体"/>
          <w:color w:val="000000"/>
          <w:sz w:val="24"/>
        </w:rPr>
      </w:pPr>
      <w:r>
        <w:rPr>
          <w:rFonts w:hint="eastAsia" w:ascii="宋体" w:hAnsi="宋体"/>
          <w:color w:val="000000"/>
          <w:sz w:val="24"/>
        </w:rPr>
        <w:t>1、</w:t>
      </w:r>
      <w:r>
        <w:rPr>
          <w:rFonts w:hint="eastAsia"/>
          <w:sz w:val="24"/>
        </w:rPr>
        <w:t>中国境内合法注册的企业</w:t>
      </w:r>
      <w:r>
        <w:rPr>
          <w:rFonts w:hint="eastAsia" w:ascii="宋体" w:hAnsi="宋体"/>
          <w:color w:val="000000"/>
          <w:sz w:val="24"/>
        </w:rPr>
        <w:t>法人或其他组织；</w:t>
      </w:r>
    </w:p>
    <w:p>
      <w:pPr>
        <w:widowControl/>
        <w:spacing w:line="440" w:lineRule="exact"/>
        <w:ind w:firstLine="480" w:firstLineChars="200"/>
        <w:rPr>
          <w:rFonts w:ascii="宋体" w:hAnsi="宋体"/>
          <w:color w:val="000000"/>
          <w:sz w:val="24"/>
        </w:rPr>
      </w:pPr>
      <w:r>
        <w:rPr>
          <w:rFonts w:hint="eastAsia" w:ascii="宋体" w:hAnsi="宋体"/>
          <w:color w:val="000000"/>
          <w:sz w:val="24"/>
        </w:rPr>
        <w:t>2、采购货物的专业生产厂（商）或销售商；</w:t>
      </w:r>
    </w:p>
    <w:p>
      <w:pPr>
        <w:widowControl/>
        <w:spacing w:line="440" w:lineRule="exact"/>
        <w:ind w:firstLine="480" w:firstLineChars="200"/>
        <w:rPr>
          <w:rFonts w:ascii="宋体" w:hAnsi="宋体"/>
          <w:color w:val="000000"/>
          <w:sz w:val="24"/>
        </w:rPr>
      </w:pPr>
      <w:r>
        <w:rPr>
          <w:rFonts w:hint="eastAsia" w:ascii="宋体" w:hAnsi="宋体"/>
          <w:color w:val="000000"/>
          <w:sz w:val="24"/>
        </w:rPr>
        <w:t>3、具有本次采购货物的供货、售后服务等的相应资质；</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olor w:val="000000"/>
          <w:sz w:val="24"/>
        </w:rPr>
        <w:t>4、</w:t>
      </w:r>
      <w:r>
        <w:rPr>
          <w:rFonts w:hint="eastAsia" w:ascii="宋体" w:hAnsi="宋体" w:cs="宋体"/>
          <w:color w:val="000000" w:themeColor="text1"/>
          <w:sz w:val="24"/>
          <w14:textFill>
            <w14:solidFill>
              <w14:schemeClr w14:val="tx1"/>
            </w14:solidFill>
          </w14:textFill>
        </w:rPr>
        <w:t>供应商不得存在下列情况之一：</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（2）法定代表人为同一人的两个及两个以上法人，母公司、全资子公司及其控股公司不得在本项目招标中同时参加。</w:t>
      </w:r>
    </w:p>
    <w:p>
      <w:pPr>
        <w:widowControl/>
        <w:spacing w:line="440" w:lineRule="exact"/>
        <w:ind w:firstLine="482" w:firstLineChars="200"/>
        <w:rPr>
          <w:rFonts w:ascii="宋体" w:hAnsi="宋体"/>
          <w:color w:val="000000"/>
          <w:sz w:val="24"/>
        </w:rPr>
      </w:pPr>
      <w:r>
        <w:rPr>
          <w:rFonts w:hint="eastAsia" w:ascii="宋体" w:hAnsi="宋体"/>
          <w:b/>
          <w:color w:val="000000"/>
          <w:sz w:val="24"/>
        </w:rPr>
        <w:t>六、投标人资格审查方式：</w:t>
      </w:r>
      <w:r>
        <w:rPr>
          <w:rFonts w:hint="eastAsia" w:ascii="宋体" w:hAnsi="宋体"/>
          <w:color w:val="000000"/>
          <w:sz w:val="24"/>
        </w:rPr>
        <w:t>资格后审。</w:t>
      </w:r>
    </w:p>
    <w:p>
      <w:pPr>
        <w:widowControl/>
        <w:spacing w:line="440" w:lineRule="exact"/>
        <w:ind w:firstLine="482" w:firstLineChars="200"/>
        <w:rPr>
          <w:rFonts w:ascii="宋体" w:hAnsi="宋体"/>
          <w:color w:val="000000"/>
          <w:sz w:val="24"/>
        </w:rPr>
      </w:pPr>
      <w:r>
        <w:rPr>
          <w:rFonts w:hint="eastAsia" w:ascii="宋体" w:hAnsi="宋体"/>
          <w:b/>
          <w:color w:val="000000"/>
          <w:sz w:val="24"/>
        </w:rPr>
        <w:t>七、招标文件获取：</w:t>
      </w:r>
      <w:r>
        <w:rPr>
          <w:rFonts w:hint="eastAsia" w:ascii="宋体" w:hAnsi="宋体"/>
          <w:color w:val="000000"/>
          <w:sz w:val="24"/>
        </w:rPr>
        <w:t>投标人自行登录南通大学招投标管理办公室主页ztb.ntu.edu.cn下载。</w:t>
      </w:r>
    </w:p>
    <w:p>
      <w:pPr>
        <w:widowControl/>
        <w:spacing w:line="440" w:lineRule="exact"/>
        <w:ind w:firstLine="482" w:firstLineChars="200"/>
        <w:rPr>
          <w:rFonts w:ascii="宋体" w:hAnsi="宋体"/>
          <w:color w:val="000000"/>
          <w:sz w:val="24"/>
        </w:rPr>
      </w:pPr>
      <w:r>
        <w:rPr>
          <w:rFonts w:hint="eastAsia" w:ascii="宋体" w:hAnsi="宋体"/>
          <w:b/>
          <w:color w:val="000000"/>
          <w:sz w:val="24"/>
        </w:rPr>
        <w:t>八、投标报名：</w:t>
      </w:r>
      <w:r>
        <w:rPr>
          <w:rFonts w:hint="eastAsia" w:ascii="宋体" w:hAnsi="宋体"/>
          <w:color w:val="000000"/>
          <w:sz w:val="24"/>
        </w:rPr>
        <w:t>潜在投标人如确定参加投标，请务必在南通大学供应商库(https://ztb.ntu.edu.cn/gyszc.htm)规定时间内注册并完成报名，若未按上述要求操作，将自行承担所产生的风险。</w:t>
      </w:r>
    </w:p>
    <w:p>
      <w:pPr>
        <w:widowControl/>
        <w:spacing w:line="440" w:lineRule="exact"/>
        <w:ind w:firstLine="482" w:firstLineChars="200"/>
        <w:rPr>
          <w:rFonts w:hint="eastAsia" w:ascii="宋体" w:hAnsi="宋体" w:eastAsia="宋体" w:cs="宋体"/>
          <w:color w:val="000000"/>
          <w:sz w:val="24"/>
          <w:shd w:val="clear" w:color="auto" w:fill="FFFFFF"/>
          <w:lang w:eastAsia="zh-CN"/>
        </w:rPr>
      </w:pPr>
      <w:r>
        <w:rPr>
          <w:rStyle w:val="30"/>
          <w:rFonts w:hint="eastAsia" w:ascii="宋体" w:hAnsi="宋体" w:cs="宋体"/>
          <w:color w:val="000000"/>
          <w:sz w:val="24"/>
          <w:shd w:val="clear" w:color="auto" w:fill="FFFFFF"/>
        </w:rPr>
        <w:t>九、</w:t>
      </w:r>
      <w:r>
        <w:rPr>
          <w:rStyle w:val="30"/>
          <w:rFonts w:hint="eastAsia" w:ascii="宋体" w:hAnsi="宋体" w:cs="宋体"/>
          <w:color w:val="000000"/>
          <w:sz w:val="24"/>
          <w:shd w:val="clear" w:color="auto" w:fill="FFFFFF"/>
          <w:lang w:eastAsia="zh-CN"/>
        </w:rPr>
        <w:t>确定参与本次采购活动的供应商，须支付标书费</w:t>
      </w:r>
      <w:r>
        <w:rPr>
          <w:rFonts w:hint="eastAsia" w:ascii="宋体" w:hAnsi="宋体" w:cs="宋体"/>
          <w:b/>
          <w:bCs/>
          <w:color w:val="000000"/>
          <w:sz w:val="24"/>
          <w:shd w:val="clear" w:color="auto" w:fill="FFFFFF"/>
        </w:rPr>
        <w:t>300.00元</w:t>
      </w:r>
      <w:r>
        <w:rPr>
          <w:rFonts w:hint="eastAsia" w:ascii="宋体" w:hAnsi="宋体" w:cs="宋体"/>
          <w:b/>
          <w:bCs/>
          <w:color w:val="000000"/>
          <w:sz w:val="24"/>
          <w:shd w:val="clear" w:color="auto" w:fill="FFFFFF"/>
          <w:lang w:eastAsia="zh-CN"/>
        </w:rPr>
        <w:t>人民币</w:t>
      </w:r>
      <w:r>
        <w:rPr>
          <w:rFonts w:hint="eastAsia" w:ascii="宋体" w:hAnsi="宋体" w:cs="宋体"/>
          <w:b/>
          <w:bCs/>
          <w:color w:val="000000"/>
          <w:sz w:val="24"/>
          <w:shd w:val="clear" w:color="auto" w:fill="FFFFFF"/>
        </w:rPr>
        <w:t>/标段</w:t>
      </w:r>
      <w:r>
        <w:rPr>
          <w:rFonts w:hint="eastAsia" w:ascii="宋体" w:hAnsi="宋体" w:cs="宋体"/>
          <w:b/>
          <w:bCs/>
          <w:color w:val="000000"/>
          <w:sz w:val="24"/>
          <w:shd w:val="clear" w:color="auto" w:fill="FFFFFF"/>
          <w:lang w:eastAsia="zh-CN"/>
        </w:rPr>
        <w:t>。</w:t>
      </w:r>
      <w:r>
        <w:rPr>
          <w:rFonts w:hint="eastAsia" w:ascii="宋体" w:hAnsi="宋体" w:cs="宋体"/>
          <w:color w:val="000000"/>
          <w:sz w:val="24"/>
          <w:shd w:val="clear" w:color="auto" w:fill="FFFFFF"/>
        </w:rPr>
        <w:t>（通过https://ztb.ntu.edu.cn/gyszc.htm</w:t>
      </w:r>
      <w:r>
        <w:rPr>
          <w:rFonts w:hint="eastAsia" w:ascii="宋体" w:hAnsi="宋体" w:cs="宋体"/>
          <w:color w:val="000000"/>
          <w:sz w:val="24"/>
          <w:shd w:val="clear" w:color="auto" w:fill="FFFFFF"/>
          <w:lang w:eastAsia="zh-CN"/>
        </w:rPr>
        <w:t>缴纳</w:t>
      </w:r>
      <w:r>
        <w:rPr>
          <w:rFonts w:hint="eastAsia" w:ascii="宋体" w:hAnsi="宋体" w:cs="宋体"/>
          <w:color w:val="000000"/>
          <w:sz w:val="24"/>
          <w:shd w:val="clear" w:color="auto" w:fill="FFFFFF"/>
        </w:rPr>
        <w:t>，标书费事后不退</w:t>
      </w:r>
      <w:r>
        <w:rPr>
          <w:rFonts w:hint="eastAsia" w:ascii="宋体" w:hAnsi="宋体" w:cs="宋体"/>
          <w:color w:val="000000"/>
          <w:sz w:val="24"/>
          <w:shd w:val="clear" w:color="auto" w:fill="FFFFFF"/>
          <w:lang w:eastAsia="zh-CN"/>
        </w:rPr>
        <w:t>，标书费发票将以电子发票形式推送到登记注册邮箱。）</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十、投标文件现场递交方式</w:t>
      </w:r>
    </w:p>
    <w:p>
      <w:pPr>
        <w:widowControl/>
        <w:spacing w:line="440" w:lineRule="exact"/>
        <w:ind w:firstLine="482" w:firstLineChars="200"/>
        <w:rPr>
          <w:rFonts w:ascii="宋体" w:hAnsi="宋体"/>
          <w:color w:val="000000"/>
          <w:sz w:val="24"/>
        </w:rPr>
      </w:pPr>
      <w:r>
        <w:rPr>
          <w:rFonts w:hint="eastAsia" w:ascii="宋体" w:hAnsi="宋体"/>
          <w:b/>
          <w:color w:val="000000"/>
          <w:sz w:val="24"/>
        </w:rPr>
        <w:t>1、投标文件接收开始时间：</w:t>
      </w:r>
      <w:r>
        <w:rPr>
          <w:rFonts w:hint="eastAsia" w:ascii="宋体" w:hAnsi="宋体"/>
          <w:color w:val="000000"/>
          <w:sz w:val="24"/>
        </w:rPr>
        <w:t>2022年8月</w:t>
      </w:r>
      <w:r>
        <w:rPr>
          <w:rFonts w:hint="eastAsia" w:ascii="宋体" w:hAnsi="宋体"/>
          <w:color w:val="000000"/>
          <w:sz w:val="24"/>
          <w:lang w:val="en-US" w:eastAsia="zh-CN"/>
        </w:rPr>
        <w:t>24</w:t>
      </w:r>
      <w:r>
        <w:rPr>
          <w:rFonts w:hint="eastAsia" w:ascii="宋体" w:hAnsi="宋体"/>
          <w:color w:val="000000"/>
          <w:sz w:val="24"/>
        </w:rPr>
        <w:t>日1</w:t>
      </w:r>
      <w:r>
        <w:rPr>
          <w:rFonts w:hint="eastAsia" w:ascii="宋体" w:hAnsi="宋体"/>
          <w:color w:val="000000"/>
          <w:sz w:val="24"/>
          <w:lang w:val="en-US" w:eastAsia="zh-CN"/>
        </w:rPr>
        <w:t>4</w:t>
      </w:r>
      <w:r>
        <w:rPr>
          <w:rFonts w:hint="eastAsia" w:ascii="宋体" w:hAnsi="宋体"/>
          <w:color w:val="000000"/>
          <w:sz w:val="24"/>
        </w:rPr>
        <w:t>时</w:t>
      </w:r>
      <w:r>
        <w:rPr>
          <w:rFonts w:hint="eastAsia" w:ascii="宋体" w:hAnsi="宋体"/>
          <w:color w:val="000000"/>
          <w:sz w:val="24"/>
          <w:lang w:val="en-US" w:eastAsia="zh-CN"/>
        </w:rPr>
        <w:t>0</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2、投标文件接收截止时间及开标时间：</w:t>
      </w:r>
      <w:r>
        <w:rPr>
          <w:rFonts w:hint="eastAsia" w:ascii="宋体" w:hAnsi="宋体"/>
          <w:color w:val="000000"/>
          <w:sz w:val="24"/>
        </w:rPr>
        <w:t>2022年8月</w:t>
      </w:r>
      <w:r>
        <w:rPr>
          <w:rFonts w:hint="eastAsia" w:ascii="宋体" w:hAnsi="宋体"/>
          <w:color w:val="000000"/>
          <w:sz w:val="24"/>
          <w:lang w:val="en-US" w:eastAsia="zh-CN"/>
        </w:rPr>
        <w:t>24</w:t>
      </w:r>
      <w:r>
        <w:rPr>
          <w:rFonts w:hint="eastAsia" w:ascii="宋体" w:hAnsi="宋体"/>
          <w:color w:val="000000"/>
          <w:sz w:val="24"/>
        </w:rPr>
        <w:t>日14时30分</w:t>
      </w:r>
    </w:p>
    <w:p>
      <w:pPr>
        <w:widowControl/>
        <w:spacing w:line="440" w:lineRule="exact"/>
        <w:ind w:firstLine="482" w:firstLineChars="200"/>
        <w:rPr>
          <w:rFonts w:ascii="宋体" w:hAnsi="宋体"/>
          <w:color w:val="000000"/>
          <w:sz w:val="24"/>
        </w:rPr>
      </w:pPr>
      <w:r>
        <w:rPr>
          <w:rFonts w:hint="eastAsia" w:ascii="宋体" w:hAnsi="宋体"/>
          <w:b/>
          <w:color w:val="000000"/>
          <w:sz w:val="24"/>
        </w:rPr>
        <w:t>3、投标文件接收地点：</w:t>
      </w:r>
      <w:r>
        <w:rPr>
          <w:rFonts w:hint="eastAsia" w:ascii="宋体" w:hAnsi="宋体"/>
          <w:color w:val="000000"/>
          <w:sz w:val="24"/>
        </w:rPr>
        <w:t>南通大学啬园校区北一门东传达室</w:t>
      </w:r>
    </w:p>
    <w:p>
      <w:pPr>
        <w:widowControl/>
        <w:spacing w:line="440" w:lineRule="exact"/>
        <w:ind w:firstLine="482" w:firstLineChars="200"/>
        <w:rPr>
          <w:rFonts w:ascii="宋体" w:hAnsi="宋体"/>
          <w:color w:val="000000"/>
          <w:sz w:val="24"/>
        </w:rPr>
      </w:pPr>
      <w:r>
        <w:rPr>
          <w:rFonts w:hint="eastAsia" w:ascii="宋体" w:hAnsi="宋体"/>
          <w:b/>
          <w:color w:val="000000"/>
          <w:sz w:val="24"/>
        </w:rPr>
        <w:t>4、联系人及联系方式：</w:t>
      </w:r>
      <w:r>
        <w:rPr>
          <w:rFonts w:hint="eastAsia" w:ascii="宋体" w:hAnsi="宋体"/>
          <w:color w:val="000000"/>
          <w:sz w:val="24"/>
        </w:rPr>
        <w:t>邹老师0513-85012</w:t>
      </w:r>
      <w:r>
        <w:rPr>
          <w:rFonts w:ascii="宋体" w:hAnsi="宋体"/>
          <w:color w:val="000000"/>
          <w:sz w:val="24"/>
        </w:rPr>
        <w:t>720</w:t>
      </w:r>
    </w:p>
    <w:p>
      <w:pPr>
        <w:widowControl/>
        <w:spacing w:line="440" w:lineRule="exact"/>
        <w:ind w:firstLine="482" w:firstLineChars="200"/>
        <w:rPr>
          <w:rFonts w:ascii="宋体" w:hAnsi="宋体"/>
          <w:color w:val="000000"/>
          <w:sz w:val="24"/>
        </w:rPr>
      </w:pPr>
      <w:r>
        <w:rPr>
          <w:rFonts w:hint="eastAsia" w:ascii="宋体" w:hAnsi="宋体"/>
          <w:b/>
          <w:color w:val="000000"/>
          <w:sz w:val="24"/>
        </w:rPr>
        <w:t>十一、开评标地点：</w:t>
      </w:r>
      <w:r>
        <w:rPr>
          <w:rFonts w:hint="eastAsia" w:ascii="宋体" w:hAnsi="宋体"/>
          <w:color w:val="000000"/>
          <w:sz w:val="24"/>
        </w:rPr>
        <w:t>南通大学啬园校区综合楼231室</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十二、与本次谈判有关的事宜请按下列通讯方式联系</w:t>
      </w:r>
    </w:p>
    <w:p>
      <w:pPr>
        <w:widowControl/>
        <w:spacing w:line="440" w:lineRule="exact"/>
        <w:rPr>
          <w:rFonts w:ascii="宋体" w:hAnsi="宋体"/>
          <w:color w:val="000000"/>
          <w:sz w:val="24"/>
        </w:rPr>
      </w:pPr>
      <w:r>
        <w:rPr>
          <w:rFonts w:hint="eastAsia" w:ascii="宋体" w:hAnsi="宋体"/>
          <w:color w:val="000000"/>
          <w:sz w:val="24"/>
        </w:rPr>
        <w:t>如对技术条款有疑问请咨询项目联系人；如对商务条款、采购程序及结果有疑义请咨询招标联系人。</w:t>
      </w:r>
    </w:p>
    <w:p>
      <w:pPr>
        <w:widowControl/>
        <w:spacing w:line="440" w:lineRule="exact"/>
        <w:ind w:firstLine="482" w:firstLineChars="200"/>
        <w:rPr>
          <w:rFonts w:ascii="宋体" w:hAnsi="宋体"/>
          <w:color w:val="000000"/>
          <w:sz w:val="24"/>
        </w:rPr>
      </w:pPr>
      <w:r>
        <w:rPr>
          <w:rFonts w:hint="eastAsia" w:ascii="宋体" w:hAnsi="宋体"/>
          <w:b/>
          <w:color w:val="000000"/>
          <w:sz w:val="24"/>
        </w:rPr>
        <w:t>项目联系人及联系方式：</w:t>
      </w:r>
      <w:r>
        <w:rPr>
          <w:rFonts w:hint="eastAsia" w:ascii="宋体" w:hAnsi="宋体"/>
          <w:color w:val="000000"/>
          <w:sz w:val="24"/>
        </w:rPr>
        <w:t>陈玉新 0513-85012342、13615235665</w:t>
      </w:r>
    </w:p>
    <w:p>
      <w:pPr>
        <w:ind w:firstLine="482" w:firstLineChars="200"/>
        <w:rPr>
          <w:rFonts w:ascii="宋体" w:hAnsi="宋体"/>
          <w:color w:val="000000"/>
          <w:sz w:val="24"/>
        </w:rPr>
      </w:pPr>
      <w:r>
        <w:rPr>
          <w:rFonts w:hint="eastAsia" w:ascii="宋体" w:hAnsi="宋体"/>
          <w:b/>
          <w:color w:val="000000"/>
          <w:sz w:val="24"/>
        </w:rPr>
        <w:t>招标联系人及联系方式：</w:t>
      </w:r>
      <w:r>
        <w:rPr>
          <w:rFonts w:hint="eastAsia" w:ascii="宋体" w:hAnsi="宋体"/>
          <w:color w:val="000000"/>
          <w:sz w:val="24"/>
        </w:rPr>
        <w:t>李韦华0513-85012138，牛书花0513-85012891。</w:t>
      </w:r>
    </w:p>
    <w:p>
      <w:pPr>
        <w:rPr>
          <w:rFonts w:ascii="宋体" w:hAnsi="宋体"/>
          <w:color w:val="000000"/>
          <w:sz w:val="24"/>
        </w:rPr>
      </w:pPr>
    </w:p>
    <w:p>
      <w:pPr>
        <w:ind w:firstLine="496" w:firstLineChars="200"/>
        <w:rPr>
          <w:rFonts w:ascii="宋体" w:hAnsi="宋体"/>
          <w:color w:val="000000"/>
          <w:sz w:val="24"/>
        </w:rPr>
      </w:pPr>
      <w:r>
        <w:rPr>
          <w:rFonts w:hint="eastAsia" w:ascii="宋体" w:hAnsi="宋体" w:cs="宋体"/>
          <w:color w:val="000000" w:themeColor="text1"/>
          <w:spacing w:val="4"/>
          <w:kern w:val="0"/>
          <w:sz w:val="24"/>
          <w14:textFill>
            <w14:solidFill>
              <w14:schemeClr w14:val="tx1"/>
            </w14:solidFill>
          </w14:textFill>
        </w:rPr>
        <w:t>如对招标文件存在</w:t>
      </w:r>
      <w:r>
        <w:rPr>
          <w:rFonts w:hint="eastAsia" w:ascii="宋体" w:hAnsi="宋体" w:cs="宋体"/>
          <w:color w:val="000000" w:themeColor="text1"/>
          <w:kern w:val="0"/>
          <w:sz w:val="24"/>
          <w14:textFill>
            <w14:solidFill>
              <w14:schemeClr w14:val="tx1"/>
            </w14:solidFill>
          </w14:textFill>
        </w:rPr>
        <w:t>质疑</w:t>
      </w:r>
      <w:r>
        <w:rPr>
          <w:rFonts w:hint="eastAsia" w:ascii="宋体" w:hAnsi="宋体" w:cs="宋体"/>
          <w:color w:val="000000" w:themeColor="text1"/>
          <w:spacing w:val="4"/>
          <w:kern w:val="0"/>
          <w:sz w:val="24"/>
          <w14:textFill>
            <w14:solidFill>
              <w14:schemeClr w14:val="tx1"/>
            </w14:solidFill>
          </w14:textFill>
        </w:rPr>
        <w:t>，请在</w:t>
      </w:r>
      <w:r>
        <w:rPr>
          <w:rFonts w:hint="eastAsia" w:ascii="宋体" w:hAnsi="宋体" w:cs="宋体"/>
          <w:color w:val="000000" w:themeColor="text1"/>
          <w:kern w:val="0"/>
          <w:sz w:val="24"/>
          <w14:textFill>
            <w14:solidFill>
              <w14:schemeClr w14:val="tx1"/>
            </w14:solidFill>
          </w14:textFill>
        </w:rPr>
        <w:t>投标截止时间</w:t>
      </w:r>
      <w:r>
        <w:rPr>
          <w:rFonts w:ascii="宋体" w:hAnsi="宋体" w:cs="宋体"/>
          <w:color w:val="000000" w:themeColor="text1"/>
          <w:kern w:val="0"/>
          <w:sz w:val="24"/>
          <w14:textFill>
            <w14:solidFill>
              <w14:schemeClr w14:val="tx1"/>
            </w14:solidFill>
          </w14:textFill>
        </w:rPr>
        <w:t>7</w:t>
      </w:r>
      <w:r>
        <w:rPr>
          <w:rFonts w:hint="eastAsia" w:ascii="宋体" w:hAnsi="宋体" w:cs="宋体"/>
          <w:color w:val="000000" w:themeColor="text1"/>
          <w:kern w:val="0"/>
          <w:sz w:val="24"/>
          <w14:textFill>
            <w14:solidFill>
              <w14:schemeClr w14:val="tx1"/>
            </w14:solidFill>
          </w14:textFill>
        </w:rPr>
        <w:t>日前</w:t>
      </w:r>
      <w:r>
        <w:rPr>
          <w:rFonts w:hint="eastAsia" w:ascii="宋体" w:hAnsi="宋体" w:cs="宋体"/>
          <w:color w:val="000000" w:themeColor="text1"/>
          <w:spacing w:val="4"/>
          <w:kern w:val="0"/>
          <w:sz w:val="24"/>
          <w14:textFill>
            <w14:solidFill>
              <w14:schemeClr w14:val="tx1"/>
            </w14:solidFill>
          </w14:textFill>
        </w:rPr>
        <w:t>以书面形式提出（加盖公章，填写联系人姓名和电话）发送至</w:t>
      </w:r>
      <w:r>
        <w:rPr>
          <w:rFonts w:ascii="宋体" w:hAnsi="宋体" w:cs="宋体"/>
          <w:color w:val="000000" w:themeColor="text1"/>
          <w:spacing w:val="4"/>
          <w:kern w:val="0"/>
          <w:sz w:val="24"/>
          <w14:textFill>
            <w14:solidFill>
              <w14:schemeClr w14:val="tx1"/>
            </w14:solidFill>
          </w14:textFill>
        </w:rPr>
        <w:t>ztb</w:t>
      </w:r>
      <w:r>
        <w:rPr>
          <w:rFonts w:hint="eastAsia" w:ascii="宋体" w:hAnsi="宋体" w:cs="宋体"/>
          <w:color w:val="000000" w:themeColor="text1"/>
          <w:spacing w:val="4"/>
          <w:kern w:val="0"/>
          <w:sz w:val="24"/>
          <w14:textFill>
            <w14:solidFill>
              <w14:schemeClr w14:val="tx1"/>
            </w14:solidFill>
          </w14:textFill>
        </w:rPr>
        <w:t>@</w:t>
      </w:r>
      <w:r>
        <w:rPr>
          <w:rFonts w:ascii="宋体" w:hAnsi="宋体" w:cs="宋体"/>
          <w:color w:val="000000" w:themeColor="text1"/>
          <w:spacing w:val="4"/>
          <w:kern w:val="0"/>
          <w:sz w:val="24"/>
          <w14:textFill>
            <w14:solidFill>
              <w14:schemeClr w14:val="tx1"/>
            </w14:solidFill>
          </w14:textFill>
        </w:rPr>
        <w:t>ntu</w:t>
      </w:r>
      <w:r>
        <w:rPr>
          <w:rFonts w:hint="eastAsia" w:ascii="宋体" w:hAnsi="宋体" w:cs="宋体"/>
          <w:color w:val="000000" w:themeColor="text1"/>
          <w:spacing w:val="4"/>
          <w:kern w:val="0"/>
          <w:sz w:val="24"/>
          <w14:textFill>
            <w14:solidFill>
              <w14:schemeClr w14:val="tx1"/>
            </w14:solidFill>
          </w14:textFill>
        </w:rPr>
        <w:t>.edu.cn。</w:t>
      </w:r>
    </w:p>
    <w:p>
      <w:pPr>
        <w:rPr>
          <w:rFonts w:ascii="宋体" w:hAnsi="宋体"/>
          <w:color w:val="000000"/>
          <w:sz w:val="24"/>
        </w:rPr>
      </w:pPr>
    </w:p>
    <w:p>
      <w:pPr>
        <w:widowControl/>
        <w:spacing w:line="338" w:lineRule="atLeast"/>
        <w:ind w:firstLine="562"/>
        <w:jc w:val="left"/>
        <w:rPr>
          <w:rFonts w:ascii="微软雅黑" w:hAnsi="微软雅黑" w:eastAsia="微软雅黑" w:cs="宋体"/>
          <w:color w:val="000000" w:themeColor="text1"/>
          <w:kern w:val="0"/>
          <w:sz w:val="23"/>
          <w:szCs w:val="23"/>
          <w14:textFill>
            <w14:solidFill>
              <w14:schemeClr w14:val="tx1"/>
            </w14:solidFill>
          </w14:textFill>
        </w:rPr>
      </w:pPr>
    </w:p>
    <w:p>
      <w:pPr>
        <w:spacing w:line="360" w:lineRule="auto"/>
        <w:ind w:firstLine="488" w:firstLineChars="200"/>
        <w:rPr>
          <w:rFonts w:ascii="宋体"/>
          <w:color w:val="000000" w:themeColor="text1"/>
          <w:spacing w:val="2"/>
          <w:kern w:val="0"/>
          <w:sz w:val="24"/>
          <w14:textFill>
            <w14:solidFill>
              <w14:schemeClr w14:val="tx1"/>
            </w14:solidFill>
          </w14:textFill>
        </w:rPr>
      </w:pPr>
    </w:p>
    <w:p>
      <w:pPr>
        <w:spacing w:line="360" w:lineRule="auto"/>
        <w:rPr>
          <w:color w:val="000000" w:themeColor="text1"/>
          <w14:textFill>
            <w14:solidFill>
              <w14:schemeClr w14:val="tx1"/>
            </w14:solidFill>
          </w14:textFill>
        </w:rPr>
      </w:pPr>
      <w:r>
        <w:rPr>
          <w:color w:val="000000" w:themeColor="text1"/>
          <w:spacing w:val="4"/>
          <w:sz w:val="24"/>
          <w14:textFill>
            <w14:solidFill>
              <w14:schemeClr w14:val="tx1"/>
            </w14:solidFill>
          </w14:textFill>
        </w:rPr>
        <w:br w:type="page"/>
      </w:r>
    </w:p>
    <w:p>
      <w:pPr>
        <w:pStyle w:val="3"/>
        <w:jc w:val="center"/>
        <w:rPr>
          <w:color w:val="000000" w:themeColor="text1"/>
          <w14:textFill>
            <w14:solidFill>
              <w14:schemeClr w14:val="tx1"/>
            </w14:solidFill>
          </w14:textFill>
        </w:rPr>
      </w:pPr>
      <w:bookmarkStart w:id="1" w:name="_Toc73516680"/>
      <w:r>
        <w:rPr>
          <w:rFonts w:hint="eastAsia"/>
          <w:color w:val="000000" w:themeColor="text1"/>
          <w14:textFill>
            <w14:solidFill>
              <w14:schemeClr w14:val="tx1"/>
            </w14:solidFill>
          </w14:textFill>
        </w:rPr>
        <w:t>第二部分投标人须知</w:t>
      </w:r>
      <w:bookmarkEnd w:id="1"/>
    </w:p>
    <w:p>
      <w:pPr>
        <w:pStyle w:val="4"/>
        <w:rPr>
          <w:color w:val="000000" w:themeColor="text1"/>
          <w14:textFill>
            <w14:solidFill>
              <w14:schemeClr w14:val="tx1"/>
            </w14:solidFill>
          </w14:textFill>
        </w:rPr>
      </w:pPr>
      <w:bookmarkStart w:id="2" w:name="_Toc73516681"/>
      <w:r>
        <w:rPr>
          <w:rFonts w:hint="eastAsia"/>
          <w:color w:val="000000" w:themeColor="text1"/>
          <w14:textFill>
            <w14:solidFill>
              <w14:schemeClr w14:val="tx1"/>
            </w14:solidFill>
          </w14:textFill>
        </w:rPr>
        <w:t>一、招标文件</w:t>
      </w:r>
      <w:bookmarkEnd w:id="2"/>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本招标文件中的招标人、投标人、中标人分别指：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）投标人指响应招标并具备相应资质的参与投标的生产（厂）商、代理商。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招标文件的组成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）公开招标采购公告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）招标货物要求及相关说明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）合同主要条款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）附件目录及格式</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招标文件的澄清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如投标人对招标文件的某些内容有疑问，应在投标截止时间7日前以书面形式邮件（</w:t>
      </w:r>
      <w:r>
        <w:rPr>
          <w:rFonts w:ascii="宋体" w:hAnsi="宋体"/>
          <w:color w:val="000000" w:themeColor="text1"/>
          <w:spacing w:val="2"/>
          <w:kern w:val="0"/>
          <w:sz w:val="24"/>
          <w14:textFill>
            <w14:solidFill>
              <w14:schemeClr w14:val="tx1"/>
            </w14:solidFill>
          </w14:textFill>
        </w:rPr>
        <w:t>ztb@ntu.edu.cn</w:t>
      </w:r>
      <w:r>
        <w:rPr>
          <w:rFonts w:hint="eastAsia"/>
          <w:color w:val="000000" w:themeColor="text1"/>
          <w:sz w:val="24"/>
          <w14:textFill>
            <w14:solidFill>
              <w14:schemeClr w14:val="tx1"/>
            </w14:solidFill>
          </w14:textFill>
        </w:rPr>
        <w:t>）通知招标人，招标人将予以书面答复。招标人认为有必要时，可将答复内容（包括疑问内容，但不包括疑问来源）在南通大学招投标信息网站上公开发布。</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招标文件的补充和修改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）如招标文件的补充和修改对投标人准备投标的时间有影响，招标人有权决定推迟投标截止时间和开标时间。</w:t>
      </w:r>
    </w:p>
    <w:p>
      <w:pPr>
        <w:spacing w:line="360" w:lineRule="auto"/>
        <w:ind w:firstLine="472" w:firstLineChars="196"/>
        <w:rPr>
          <w:b/>
          <w:color w:val="000000" w:themeColor="text1"/>
          <w:sz w:val="24"/>
          <w14:textFill>
            <w14:solidFill>
              <w14:schemeClr w14:val="tx1"/>
            </w14:solidFill>
          </w14:textFill>
        </w:rPr>
      </w:pPr>
    </w:p>
    <w:p>
      <w:pPr>
        <w:pStyle w:val="4"/>
        <w:rPr>
          <w:color w:val="000000" w:themeColor="text1"/>
          <w14:textFill>
            <w14:solidFill>
              <w14:schemeClr w14:val="tx1"/>
            </w14:solidFill>
          </w14:textFill>
        </w:rPr>
      </w:pPr>
      <w:bookmarkStart w:id="3" w:name="_Toc73516682"/>
      <w:r>
        <w:rPr>
          <w:rFonts w:hint="eastAsia"/>
          <w:color w:val="000000" w:themeColor="text1"/>
          <w14:textFill>
            <w14:solidFill>
              <w14:schemeClr w14:val="tx1"/>
            </w14:solidFill>
          </w14:textFill>
        </w:rPr>
        <w:t>二、投标文件</w:t>
      </w:r>
      <w:bookmarkEnd w:id="3"/>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商务文件、资格证明文件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）投标报价总表（格式见附件</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p>
    <w:p>
      <w:pPr>
        <w:pStyle w:val="57"/>
        <w:spacing w:line="360" w:lineRule="auto"/>
        <w:ind w:left="120" w:firstLine="361" w:firstLineChars="15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spacing w:line="360" w:lineRule="auto"/>
        <w:ind w:left="480"/>
        <w:rPr>
          <w:color w:val="000000" w:themeColor="text1"/>
          <w:sz w:val="24"/>
          <w14:textFill>
            <w14:solidFill>
              <w14:schemeClr w14:val="tx1"/>
            </w14:solidFill>
          </w14:textFill>
        </w:rPr>
      </w:pPr>
      <w:r>
        <w:rPr>
          <w:rFonts w:hint="eastAsia"/>
          <w:sz w:val="24"/>
        </w:rPr>
        <w:t>（1）</w:t>
      </w:r>
      <w:r>
        <w:rPr>
          <w:rFonts w:hint="eastAsia"/>
          <w:color w:val="000000" w:themeColor="text1"/>
          <w:sz w:val="24"/>
          <w14:textFill>
            <w14:solidFill>
              <w14:schemeClr w14:val="tx1"/>
            </w14:solidFill>
          </w14:textFill>
        </w:rPr>
        <w:t>依据评标办法中相关内容提供的所有资料；</w:t>
      </w:r>
    </w:p>
    <w:p>
      <w:pPr>
        <w:spacing w:line="360" w:lineRule="auto"/>
        <w:ind w:left="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（2）招标文件中要求提供的其他材料；</w:t>
      </w:r>
    </w:p>
    <w:p>
      <w:pPr>
        <w:spacing w:line="360" w:lineRule="auto"/>
        <w:ind w:firstLine="480" w:firstLineChars="200"/>
        <w:rPr>
          <w:sz w:val="24"/>
        </w:rPr>
      </w:pPr>
      <w:r>
        <w:rPr>
          <w:rFonts w:hint="eastAsia"/>
          <w:color w:val="000000" w:themeColor="text1"/>
          <w:sz w:val="24"/>
          <w14:textFill>
            <w14:solidFill>
              <w14:schemeClr w14:val="tx1"/>
            </w14:solidFill>
          </w14:textFill>
        </w:rPr>
        <w:t>（3）评分项中未涉及投标人认为需要提交的其他材料。</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p>
    <w:p>
      <w:pPr>
        <w:spacing w:line="440" w:lineRule="exact"/>
        <w:ind w:left="480"/>
        <w:rPr>
          <w:rFonts w:ascii="宋体" w:hAnsi="宋体"/>
          <w:color w:val="000000"/>
          <w:sz w:val="24"/>
        </w:rPr>
      </w:pPr>
      <w:r>
        <w:rPr>
          <w:rFonts w:hint="eastAsia" w:ascii="宋体" w:hAnsi="宋体"/>
          <w:color w:val="000000"/>
          <w:sz w:val="24"/>
        </w:rPr>
        <w:t>（1）营业执照复印件（复印件加盖单位公章）</w:t>
      </w:r>
    </w:p>
    <w:p>
      <w:pPr>
        <w:spacing w:line="440" w:lineRule="exact"/>
        <w:ind w:left="480"/>
        <w:rPr>
          <w:rFonts w:ascii="宋体" w:hAnsi="宋体"/>
          <w:color w:val="000000"/>
          <w:sz w:val="24"/>
        </w:rPr>
      </w:pPr>
      <w:r>
        <w:rPr>
          <w:rFonts w:hint="eastAsia" w:ascii="宋体" w:hAnsi="宋体"/>
          <w:color w:val="000000"/>
          <w:sz w:val="24"/>
        </w:rPr>
        <w:t>（</w:t>
      </w:r>
      <w:r>
        <w:rPr>
          <w:rFonts w:ascii="宋体" w:hAnsi="宋体"/>
          <w:color w:val="000000"/>
          <w:sz w:val="24"/>
        </w:rPr>
        <w:t>2</w:t>
      </w:r>
      <w:r>
        <w:rPr>
          <w:rFonts w:hint="eastAsia" w:ascii="宋体" w:hAnsi="宋体"/>
          <w:color w:val="000000"/>
          <w:sz w:val="24"/>
        </w:rPr>
        <w:t>）《</w:t>
      </w:r>
      <w:r>
        <w:rPr>
          <w:rFonts w:hint="eastAsia" w:ascii="宋体" w:hAnsi="宋体"/>
          <w:sz w:val="24"/>
        </w:rPr>
        <w:t>食品经营许可证》、生产企业还需提供《食品生产许可证》复印件（</w:t>
      </w:r>
      <w:r>
        <w:rPr>
          <w:rFonts w:hint="eastAsia" w:ascii="宋体" w:hAnsi="宋体"/>
          <w:color w:val="000000"/>
          <w:sz w:val="24"/>
        </w:rPr>
        <w:t>复印件加盖单位公章）（标段</w:t>
      </w:r>
      <w:r>
        <w:rPr>
          <w:rFonts w:hint="eastAsia" w:ascii="宋体" w:hAnsi="宋体"/>
          <w:color w:val="000000"/>
          <w:sz w:val="24"/>
          <w:lang w:eastAsia="zh-CN"/>
        </w:rPr>
        <w:t>二</w:t>
      </w:r>
      <w:r>
        <w:rPr>
          <w:rFonts w:hint="eastAsia" w:ascii="宋体" w:hAnsi="宋体"/>
          <w:color w:val="000000"/>
          <w:sz w:val="24"/>
        </w:rPr>
        <w:t>除外）</w:t>
      </w:r>
    </w:p>
    <w:p>
      <w:pPr>
        <w:spacing w:line="440" w:lineRule="exact"/>
        <w:ind w:left="480"/>
        <w:rPr>
          <w:rFonts w:ascii="宋体" w:hAnsi="宋体"/>
          <w:color w:val="000000"/>
          <w:sz w:val="24"/>
        </w:rPr>
      </w:pPr>
      <w:r>
        <w:rPr>
          <w:rFonts w:hint="eastAsia" w:ascii="宋体" w:hAnsi="宋体"/>
          <w:color w:val="000000"/>
          <w:sz w:val="24"/>
        </w:rPr>
        <w:t>（3）银行开户许可证或基本存款账户信息复印件（复印件加盖单位公章）</w:t>
      </w:r>
    </w:p>
    <w:p>
      <w:pPr>
        <w:spacing w:line="440" w:lineRule="exact"/>
        <w:ind w:left="480"/>
        <w:rPr>
          <w:rFonts w:ascii="宋体" w:hAnsi="宋体"/>
          <w:color w:val="000000"/>
          <w:sz w:val="24"/>
        </w:rPr>
      </w:pPr>
      <w:r>
        <w:rPr>
          <w:rFonts w:hint="eastAsia" w:ascii="宋体" w:hAnsi="宋体"/>
          <w:color w:val="000000"/>
          <w:sz w:val="24"/>
        </w:rPr>
        <w:t>（4）产品检测报告（复印件加盖单位公章）（适用</w:t>
      </w:r>
      <w:r>
        <w:rPr>
          <w:rFonts w:hint="eastAsia" w:ascii="宋体" w:hAnsi="宋体" w:cs="宋体"/>
          <w:color w:val="000000"/>
          <w:sz w:val="24"/>
        </w:rPr>
        <w:t>于第</w:t>
      </w:r>
      <w:r>
        <w:rPr>
          <w:rFonts w:hint="eastAsia" w:ascii="宋体" w:hAnsi="宋体" w:cs="宋体"/>
          <w:color w:val="000000"/>
          <w:sz w:val="24"/>
          <w:lang w:eastAsia="zh-CN"/>
        </w:rPr>
        <w:t>二</w:t>
      </w:r>
      <w:r>
        <w:rPr>
          <w:rFonts w:hint="eastAsia" w:ascii="宋体" w:hAnsi="宋体"/>
          <w:color w:val="000000"/>
          <w:sz w:val="24"/>
        </w:rPr>
        <w:t>标段）</w:t>
      </w:r>
    </w:p>
    <w:p>
      <w:pPr>
        <w:spacing w:line="440" w:lineRule="exact"/>
        <w:ind w:firstLine="480" w:firstLineChars="200"/>
        <w:rPr>
          <w:rFonts w:ascii="宋体" w:hAnsi="宋体"/>
          <w:sz w:val="24"/>
        </w:rPr>
      </w:pPr>
      <w:r>
        <w:rPr>
          <w:rFonts w:hint="eastAsia" w:ascii="宋体" w:hAnsi="宋体"/>
          <w:sz w:val="24"/>
        </w:rPr>
        <w:t>（5）法定代表人资格证明（格式见附件3）</w:t>
      </w:r>
    </w:p>
    <w:p>
      <w:pPr>
        <w:spacing w:line="440" w:lineRule="exact"/>
        <w:ind w:firstLine="480" w:firstLineChars="200"/>
        <w:rPr>
          <w:rFonts w:ascii="宋体" w:hAnsi="宋体"/>
          <w:sz w:val="24"/>
        </w:rPr>
      </w:pPr>
      <w:r>
        <w:rPr>
          <w:rFonts w:hint="eastAsia" w:ascii="宋体" w:hAnsi="宋体"/>
          <w:sz w:val="24"/>
        </w:rPr>
        <w:t>（6）法定代表人授权书（格式见附件4）</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（7）被授权代表202</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年</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月以来任意一个月在所在投标单位依法缴纳社会保障金的相关证明材料（税务、银行或社会保险基金管理部门出具）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（8）投标人202</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年</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月以来任意一个月依法缴纳税收的相关证明材料</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（9）无重大违法记录声明（见附件5）</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（10）诚信承诺书（见附件6）</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以上资格证明文件的复印件均需加盖投标人公章，原件备查。</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份，副本4份；技术文件正本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份、副本4份。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明确标明商务文件（报价）、资格证明文件和技术文件以及正本和副本。如投标文件正本与副本有不同之处，以正本为准。</w:t>
      </w:r>
    </w:p>
    <w:p>
      <w:pPr>
        <w:spacing w:line="360" w:lineRule="auto"/>
        <w:ind w:firstLine="482" w:firstLineChars="200"/>
        <w:rPr>
          <w:rFonts w:ascii="黑体" w:hAnsi="黑体" w:eastAsia="黑体"/>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w:t>
      </w:r>
      <w:r>
        <w:rPr>
          <w:b/>
          <w:color w:val="000000" w:themeColor="text1"/>
          <w:sz w:val="24"/>
          <w14:textFill>
            <w14:solidFill>
              <w14:schemeClr w14:val="tx1"/>
            </w14:solidFill>
          </w14:textFill>
        </w:rPr>
        <w:t>2</w:t>
      </w:r>
      <w:r>
        <w:rPr>
          <w:rFonts w:hint="eastAsia"/>
          <w:b/>
          <w:color w:val="000000" w:themeColor="text1"/>
          <w:sz w:val="24"/>
          <w14:textFill>
            <w14:solidFill>
              <w14:schemeClr w14:val="tx1"/>
            </w14:solidFill>
          </w14:textFill>
        </w:rPr>
        <w:t>）</w:t>
      </w:r>
      <w:r>
        <w:rPr>
          <w:rFonts w:hint="eastAsia" w:ascii="黑体" w:hAnsi="黑体" w:eastAsia="黑体"/>
          <w:b/>
          <w:color w:val="000000" w:themeColor="text1"/>
          <w:sz w:val="24"/>
          <w14:textFill>
            <w14:solidFill>
              <w14:schemeClr w14:val="tx1"/>
            </w14:solidFill>
          </w14:textFill>
        </w:rPr>
        <w:t>商务文件（报价）、资格证明文件和技术文件须分开独立包装，即：分别装在三个纸袋里，</w:t>
      </w:r>
      <w:r>
        <w:rPr>
          <w:rFonts w:ascii="黑体" w:hAnsi="黑体" w:eastAsia="黑体"/>
          <w:b/>
          <w:color w:val="000000" w:themeColor="text1"/>
          <w:sz w:val="24"/>
          <w14:textFill>
            <w14:solidFill>
              <w14:schemeClr w14:val="tx1"/>
            </w14:solidFill>
          </w14:textFill>
        </w:rPr>
        <w:t>并在</w:t>
      </w:r>
      <w:r>
        <w:rPr>
          <w:rFonts w:hint="eastAsia" w:ascii="黑体" w:hAnsi="黑体" w:eastAsia="黑体"/>
          <w:b/>
          <w:color w:val="000000" w:themeColor="text1"/>
          <w:sz w:val="24"/>
          <w14:textFill>
            <w14:solidFill>
              <w14:schemeClr w14:val="tx1"/>
            </w14:solidFill>
          </w14:textFill>
        </w:rPr>
        <w:t>袋子</w:t>
      </w:r>
      <w:r>
        <w:rPr>
          <w:rFonts w:ascii="黑体" w:hAnsi="黑体" w:eastAsia="黑体"/>
          <w:b/>
          <w:color w:val="000000" w:themeColor="text1"/>
          <w:sz w:val="24"/>
          <w14:textFill>
            <w14:solidFill>
              <w14:schemeClr w14:val="tx1"/>
            </w14:solidFill>
          </w14:textFill>
        </w:rPr>
        <w:t>封面分别注明</w:t>
      </w:r>
      <w:r>
        <w:rPr>
          <w:rFonts w:hint="eastAsia" w:ascii="黑体" w:hAnsi="黑体" w:eastAsia="黑体"/>
          <w:b/>
          <w:color w:val="000000" w:themeColor="text1"/>
          <w:sz w:val="24"/>
          <w14:textFill>
            <w14:solidFill>
              <w14:schemeClr w14:val="tx1"/>
            </w14:solidFill>
          </w14:textFill>
        </w:rPr>
        <w:t>商务文件、资格证明文件和技术文件。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）投标文件正本与副本均应使用</w:t>
      </w:r>
      <w:r>
        <w:rPr>
          <w:color w:val="000000" w:themeColor="text1"/>
          <w:sz w:val="24"/>
          <w14:textFill>
            <w14:solidFill>
              <w14:schemeClr w14:val="tx1"/>
            </w14:solidFill>
          </w14:textFill>
        </w:rPr>
        <w:t>A4</w:t>
      </w:r>
      <w:r>
        <w:rPr>
          <w:rFonts w:hint="eastAsia"/>
          <w:color w:val="000000" w:themeColor="text1"/>
          <w:sz w:val="24"/>
          <w14:textFill>
            <w14:solidFill>
              <w14:schemeClr w14:val="tx1"/>
            </w14:solidFill>
          </w14:textFill>
        </w:rPr>
        <w:t>型纸打印并</w:t>
      </w:r>
      <w:r>
        <w:rPr>
          <w:rFonts w:hint="eastAsia" w:ascii="黑体" w:hAnsi="黑体" w:eastAsia="黑体"/>
          <w:b/>
          <w:color w:val="000000" w:themeColor="text1"/>
          <w:sz w:val="24"/>
          <w14:textFill>
            <w14:solidFill>
              <w14:schemeClr w14:val="tx1"/>
            </w14:solidFill>
          </w14:textFill>
        </w:rPr>
        <w:t>胶印装订，</w:t>
      </w:r>
      <w:r>
        <w:rPr>
          <w:rFonts w:ascii="黑体" w:hAnsi="黑体" w:eastAsia="黑体"/>
          <w:b/>
          <w:color w:val="000000" w:themeColor="text1"/>
          <w:sz w:val="24"/>
          <w14:textFill>
            <w14:solidFill>
              <w14:schemeClr w14:val="tx1"/>
            </w14:solidFill>
          </w14:textFill>
        </w:rPr>
        <w:t>不得使用活页夹</w:t>
      </w:r>
      <w:r>
        <w:rPr>
          <w:rFonts w:hint="eastAsia"/>
          <w:color w:val="000000" w:themeColor="text1"/>
          <w:sz w:val="24"/>
          <w14:textFill>
            <w14:solidFill>
              <w14:schemeClr w14:val="tx1"/>
            </w14:solidFill>
          </w14:textFill>
        </w:rPr>
        <w:t>。</w:t>
      </w:r>
    </w:p>
    <w:p>
      <w:pPr>
        <w:spacing w:line="360" w:lineRule="auto"/>
        <w:ind w:firstLine="482" w:firstLineChars="200"/>
        <w:rPr>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w:t>
      </w:r>
      <w:r>
        <w:rPr>
          <w:b/>
          <w:bCs/>
          <w:color w:val="000000" w:themeColor="text1"/>
          <w:sz w:val="24"/>
          <w14:textFill>
            <w14:solidFill>
              <w14:schemeClr w14:val="tx1"/>
            </w14:solidFill>
          </w14:textFill>
        </w:rPr>
        <w:t>4</w:t>
      </w:r>
      <w:r>
        <w:rPr>
          <w:rFonts w:hint="eastAsia"/>
          <w:b/>
          <w:bCs/>
          <w:color w:val="000000" w:themeColor="text1"/>
          <w:sz w:val="24"/>
          <w14:textFill>
            <w14:solidFill>
              <w14:schemeClr w14:val="tx1"/>
            </w14:solidFill>
          </w14:textFill>
        </w:rPr>
        <w:t>）各标段要求独立包装，并在装袋封面注明标段。</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（5）投标文件不应有涂改、增删之处，但如有错误必须修改时，修改处必须由原授权代表签署。</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2.4. </w:t>
      </w:r>
      <w:r>
        <w:rPr>
          <w:rFonts w:hint="eastAsia"/>
          <w:color w:val="000000" w:themeColor="text1"/>
          <w:sz w:val="24"/>
          <w14:textFill>
            <w14:solidFill>
              <w14:schemeClr w14:val="tx1"/>
            </w14:solidFill>
          </w14:textFill>
        </w:rPr>
        <w:t>投标文件的密封和标记</w:t>
      </w:r>
    </w:p>
    <w:p>
      <w:pPr>
        <w:spacing w:line="360"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）招标项目编号：</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）招标项目名称+</w:t>
      </w:r>
      <w:r>
        <w:rPr>
          <w:rFonts w:hint="eastAsia"/>
          <w:b/>
          <w:color w:val="000000" w:themeColor="text1"/>
          <w:sz w:val="24"/>
          <w14:textFill>
            <w14:solidFill>
              <w14:schemeClr w14:val="tx1"/>
            </w14:solidFill>
          </w14:textFill>
        </w:rPr>
        <w:t>具体标段：</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没有按上述规定密封和标记的投标文件，招标人将不承担投标文件错放或提前开启的责任。</w:t>
      </w:r>
    </w:p>
    <w:p>
      <w:pPr>
        <w:pStyle w:val="4"/>
        <w:rPr>
          <w:color w:val="000000" w:themeColor="text1"/>
          <w14:textFill>
            <w14:solidFill>
              <w14:schemeClr w14:val="tx1"/>
            </w14:solidFill>
          </w14:textFill>
        </w:rPr>
      </w:pPr>
      <w:bookmarkStart w:id="4" w:name="_Toc73516683"/>
      <w:r>
        <w:rPr>
          <w:rFonts w:hint="eastAsia"/>
          <w:color w:val="000000" w:themeColor="text1"/>
          <w14:textFill>
            <w14:solidFill>
              <w14:schemeClr w14:val="tx1"/>
            </w14:solidFill>
          </w14:textFill>
        </w:rPr>
        <w:t>三、投标细则</w:t>
      </w:r>
      <w:bookmarkEnd w:id="4"/>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3.1. </w:t>
      </w:r>
      <w:r>
        <w:rPr>
          <w:rFonts w:hint="eastAsia"/>
          <w:color w:val="000000" w:themeColor="text1"/>
          <w:sz w:val="24"/>
          <w14:textFill>
            <w14:solidFill>
              <w14:schemeClr w14:val="tx1"/>
            </w14:solidFill>
          </w14:textFill>
        </w:rPr>
        <w:t>投标货物</w:t>
      </w:r>
    </w:p>
    <w:p>
      <w:pPr>
        <w:spacing w:line="360" w:lineRule="auto"/>
        <w:ind w:firstLine="470" w:firstLineChars="196"/>
        <w:rPr>
          <w:color w:val="000000" w:themeColor="text1"/>
          <w:sz w:val="24"/>
          <w14:textFill>
            <w14:solidFill>
              <w14:schemeClr w14:val="tx1"/>
            </w14:solidFill>
          </w14:textFill>
        </w:rPr>
      </w:pPr>
      <w:r>
        <w:rPr>
          <w:rFonts w:hint="eastAsia" w:ascii="宋体"/>
          <w:color w:val="000000" w:themeColor="text1"/>
          <w:sz w:val="24"/>
          <w:lang w:val="zh-CN"/>
          <w14:textFill>
            <w14:solidFill>
              <w14:schemeClr w14:val="tx1"/>
            </w14:solidFill>
          </w14:textFill>
        </w:rPr>
        <w:t>投标货物必须是全新、未使用过的原装合格正品，不低于招标文件规定的规格、性能和质量的要求，达到国家或行业规定的标准，属于国家强制认证的产品的必须通过认证。</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3.2. </w:t>
      </w:r>
      <w:r>
        <w:rPr>
          <w:rFonts w:hint="eastAsia"/>
          <w:color w:val="000000" w:themeColor="text1"/>
          <w:sz w:val="24"/>
          <w14:textFill>
            <w14:solidFill>
              <w14:schemeClr w14:val="tx1"/>
            </w14:solidFill>
          </w14:textFill>
        </w:rPr>
        <w:t>投标报价</w:t>
      </w:r>
    </w:p>
    <w:p>
      <w:pPr>
        <w:spacing w:line="360" w:lineRule="auto"/>
        <w:ind w:firstLine="480" w:firstLineChars="200"/>
        <w:rPr>
          <w:color w:val="000000" w:themeColor="text1"/>
          <w:sz w:val="24"/>
          <w14:textFill>
            <w14:solidFill>
              <w14:schemeClr w14:val="tx1"/>
            </w14:solidFill>
          </w14:textFill>
        </w:rPr>
      </w:pPr>
      <w:bookmarkStart w:id="5" w:name="OLE_LINK49"/>
      <w:bookmarkStart w:id="6" w:name="OLE_LINK50"/>
      <w:r>
        <w:rPr>
          <w:rFonts w:hint="eastAsia"/>
          <w:color w:val="000000" w:themeColor="text1"/>
          <w:sz w:val="24"/>
          <w14:textFill>
            <w14:solidFill>
              <w14:schemeClr w14:val="tx1"/>
            </w14:solidFill>
          </w14:textFill>
        </w:rPr>
        <w:t>投标总价应是货物完税后的用户地交货价，其中应包含材料、运输、力资、税费、售后服务等全部费用，以人民币报价。</w:t>
      </w:r>
    </w:p>
    <w:p>
      <w:pPr>
        <w:widowControl/>
        <w:spacing w:line="440" w:lineRule="exact"/>
        <w:ind w:firstLine="42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招标人不接受投标人的任何低于成本报价的不正当竞争方式。</w:t>
      </w:r>
      <w:bookmarkStart w:id="7" w:name="OLE_LINK35"/>
      <w:bookmarkStart w:id="8" w:name="OLE_LINK36"/>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14:textFill>
            <w14:solidFill>
              <w14:schemeClr w14:val="tx1"/>
            </w14:solidFill>
          </w14:textFill>
        </w:rPr>
        <w:t>。</w:t>
      </w:r>
      <w:bookmarkEnd w:id="5"/>
      <w:bookmarkEnd w:id="6"/>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3.3.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）投标人应仔细阅读招标文件的所有内容并做出实质性的响应，同时按招标文件规定的要求和格式，提交完整的投标文件。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）投标文件应在投标截止时间前送达指定地点，</w:t>
      </w:r>
      <w:r>
        <w:rPr>
          <w:rFonts w:hint="eastAsia" w:ascii="黑体" w:eastAsia="黑体"/>
          <w:b/>
          <w:color w:val="000000" w:themeColor="text1"/>
          <w:sz w:val="24"/>
          <w14:textFill>
            <w14:solidFill>
              <w14:schemeClr w14:val="tx1"/>
            </w14:solidFill>
          </w14:textFill>
        </w:rPr>
        <w:t>逾期送达或未送达指定地点以及未按招标文件要求密封的投标文件，投标人须自行承担相应风险。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）招标人不接受电报、电话、传真及电子邮件投标。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3.4.</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3.5. </w:t>
      </w:r>
      <w:r>
        <w:rPr>
          <w:rFonts w:hint="eastAsia"/>
          <w:color w:val="000000" w:themeColor="text1"/>
          <w:sz w:val="24"/>
          <w14:textFill>
            <w14:solidFill>
              <w14:schemeClr w14:val="tx1"/>
            </w14:solidFill>
          </w14:textFill>
        </w:rPr>
        <w:t>分包投标</w:t>
      </w:r>
    </w:p>
    <w:p>
      <w:pPr>
        <w:spacing w:line="360" w:lineRule="auto"/>
        <w:ind w:firstLine="482" w:firstLineChars="200"/>
        <w:rPr>
          <w:rFonts w:ascii="黑体" w:eastAsia="黑体"/>
          <w:b/>
          <w:color w:val="000000" w:themeColor="text1"/>
          <w:sz w:val="24"/>
          <w14:textFill>
            <w14:solidFill>
              <w14:schemeClr w14:val="tx1"/>
            </w14:solidFill>
          </w14:textFill>
        </w:rPr>
      </w:pPr>
      <w:r>
        <w:rPr>
          <w:rFonts w:hint="eastAsia" w:ascii="黑体" w:eastAsia="黑体"/>
          <w:b/>
          <w:color w:val="000000" w:themeColor="text1"/>
          <w:sz w:val="24"/>
          <w14:textFill>
            <w14:solidFill>
              <w14:schemeClr w14:val="tx1"/>
            </w14:solidFill>
          </w14:textFill>
        </w:rPr>
        <w:t>本次招标不可分包投标和中标。</w:t>
      </w:r>
    </w:p>
    <w:p>
      <w:pPr>
        <w:spacing w:line="360" w:lineRule="auto"/>
        <w:ind w:firstLine="482" w:firstLineChars="200"/>
        <w:rPr>
          <w:rFonts w:ascii="宋体"/>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3.6. </w:t>
      </w:r>
      <w:r>
        <w:rPr>
          <w:rFonts w:hint="eastAsia" w:ascii="宋体" w:hAnsi="宋体"/>
          <w:color w:val="000000" w:themeColor="text1"/>
          <w:sz w:val="24"/>
          <w14:textFill>
            <w14:solidFill>
              <w14:schemeClr w14:val="tx1"/>
            </w14:solidFill>
          </w14:textFill>
        </w:rPr>
        <w:t>联合体投标</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本次招标不接受联合体投标。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3.7. </w:t>
      </w:r>
      <w:r>
        <w:rPr>
          <w:rFonts w:hint="eastAsia"/>
          <w:color w:val="000000" w:themeColor="text1"/>
          <w:sz w:val="24"/>
          <w14:textFill>
            <w14:solidFill>
              <w14:schemeClr w14:val="tx1"/>
            </w14:solidFill>
          </w14:textFill>
        </w:rPr>
        <w:t>投标有效期</w:t>
      </w:r>
    </w:p>
    <w:p>
      <w:pPr>
        <w:spacing w:line="360" w:lineRule="auto"/>
        <w:ind w:firstLine="470" w:firstLineChars="196"/>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从投标截止时间起，投标有效期为</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3.8. </w:t>
      </w:r>
      <w:r>
        <w:rPr>
          <w:rFonts w:hint="eastAsia"/>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投标截止后，如投标人少于</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个，招标人有权选择其他采购方式或终止本次招标。</w:t>
      </w:r>
    </w:p>
    <w:p>
      <w:pPr>
        <w:pStyle w:val="4"/>
        <w:rPr>
          <w:color w:val="000000" w:themeColor="text1"/>
          <w14:textFill>
            <w14:solidFill>
              <w14:schemeClr w14:val="tx1"/>
            </w14:solidFill>
          </w14:textFill>
        </w:rPr>
      </w:pPr>
      <w:bookmarkStart w:id="9" w:name="_Toc73516684"/>
      <w:r>
        <w:rPr>
          <w:rFonts w:hint="eastAsia"/>
          <w:color w:val="000000" w:themeColor="text1"/>
          <w14:textFill>
            <w14:solidFill>
              <w14:schemeClr w14:val="tx1"/>
            </w14:solidFill>
          </w14:textFill>
        </w:rPr>
        <w:t>四、评标</w:t>
      </w:r>
      <w:bookmarkEnd w:id="9"/>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4.1. </w:t>
      </w:r>
      <w:r>
        <w:rPr>
          <w:rFonts w:hint="eastAsia"/>
          <w:color w:val="000000" w:themeColor="text1"/>
          <w:sz w:val="24"/>
          <w14:textFill>
            <w14:solidFill>
              <w14:schemeClr w14:val="tx1"/>
            </w14:solidFill>
          </w14:textFill>
        </w:rPr>
        <w:t>招标人按规定的时间和地点进行开评标，投标人可派代表（持授权代表身份证明）参加。</w:t>
      </w:r>
      <w:r>
        <w:rPr>
          <w:rFonts w:hint="eastAsia" w:ascii="黑体" w:eastAsia="黑体"/>
          <w:b/>
          <w:color w:val="000000" w:themeColor="text1"/>
          <w:sz w:val="24"/>
          <w14:textFill>
            <w14:solidFill>
              <w14:schemeClr w14:val="tx1"/>
            </w14:solidFill>
          </w14:textFill>
        </w:rPr>
        <w:t>投标人未派代表参加开标的，视为默认接受开标结果。</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2</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采购人组织用户代表和</w:t>
      </w:r>
      <w:r>
        <w:rPr>
          <w:rFonts w:hint="eastAsia" w:ascii="宋体"/>
          <w:color w:val="000000" w:themeColor="text1"/>
          <w:sz w:val="24"/>
          <w:lang w:val="zh-CN"/>
          <w14:textFill>
            <w14:solidFill>
              <w14:schemeClr w14:val="tx1"/>
            </w14:solidFill>
          </w14:textFill>
        </w:rPr>
        <w:t>有关技术</w:t>
      </w:r>
      <w:r>
        <w:rPr>
          <w:rFonts w:hint="eastAsia"/>
          <w:color w:val="000000" w:themeColor="text1"/>
          <w:sz w:val="24"/>
          <w14:textFill>
            <w14:solidFill>
              <w14:schemeClr w14:val="tx1"/>
            </w14:solidFill>
          </w14:textFill>
        </w:rPr>
        <w:t>专家组成评标小组进行评标。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在详细评标之前，采购人和评委要对投标人的</w:t>
      </w:r>
      <w:r>
        <w:rPr>
          <w:rFonts w:hint="eastAsia" w:ascii="宋体" w:hAnsi="宋体"/>
          <w:color w:val="000000" w:themeColor="text1"/>
          <w:sz w:val="24"/>
          <w14:textFill>
            <w14:solidFill>
              <w14:schemeClr w14:val="tx1"/>
            </w14:solidFill>
          </w14:textFill>
        </w:rPr>
        <w:t>投标资格以</w:t>
      </w:r>
      <w:r>
        <w:rPr>
          <w:rFonts w:hint="eastAsia"/>
          <w:color w:val="000000" w:themeColor="text1"/>
          <w:sz w:val="24"/>
          <w14:textFill>
            <w14:solidFill>
              <w14:schemeClr w14:val="tx1"/>
            </w14:solidFill>
          </w14:textFill>
        </w:rPr>
        <w:t>及投标是否对招标文件的实质性要求和条件做出响应进行审查。</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4</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5</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投标文件出现（但不限于）下列情况之一的，由评标小组评审后作无效投标或废标处理：</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）超出经营范围投标的；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不具备招标文件规定的资格条件及未按招标文件规定的要求提供资格证明文件的；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）无法定代表人签字或签字人无法定代表人有效授权的；应加盖投标人公章而未盖章的；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）投标有效期不足的；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）投标报价不合理，明显低于成本的；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）重要技术指标和参数不满足招标要求的；</w:t>
      </w:r>
    </w:p>
    <w:p>
      <w:pPr>
        <w:tabs>
          <w:tab w:val="left" w:pos="525"/>
          <w:tab w:val="left" w:pos="1050"/>
        </w:tabs>
        <w:spacing w:line="353" w:lineRule="auto"/>
        <w:ind w:left="1" w:firstLine="480" w:firstLineChars="200"/>
        <w:rPr>
          <w:rFonts w:asci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重要内容或关键字迹模糊不清无法辨认的；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）未对招标文件实质性要求和条件做出响应的；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9</w:t>
      </w:r>
      <w:r>
        <w:rPr>
          <w:rFonts w:hint="eastAsia"/>
          <w:color w:val="000000" w:themeColor="text1"/>
          <w:sz w:val="24"/>
          <w14:textFill>
            <w14:solidFill>
              <w14:schemeClr w14:val="tx1"/>
            </w14:solidFill>
          </w14:textFill>
        </w:rPr>
        <w:t>）故意哄抬价格或压价等其它恶意串通投标的；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10</w:t>
      </w:r>
      <w:r>
        <w:rPr>
          <w:rFonts w:hint="eastAsia"/>
          <w:color w:val="000000" w:themeColor="text1"/>
          <w:sz w:val="24"/>
          <w14:textFill>
            <w14:solidFill>
              <w14:schemeClr w14:val="tx1"/>
            </w14:solidFill>
          </w14:textFill>
        </w:rPr>
        <w:t>）有损害招标人和用户利益的规定的；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11</w:t>
      </w:r>
      <w:r>
        <w:rPr>
          <w:rFonts w:hint="eastAsia"/>
          <w:color w:val="000000" w:themeColor="text1"/>
          <w:sz w:val="24"/>
          <w14:textFill>
            <w14:solidFill>
              <w14:schemeClr w14:val="tx1"/>
            </w14:solidFill>
          </w14:textFill>
        </w:rPr>
        <w:t>）不同投标人的投标文件由同一单位或者个人编制；</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12</w:t>
      </w:r>
      <w:r>
        <w:rPr>
          <w:rFonts w:hint="eastAsia"/>
          <w:color w:val="000000" w:themeColor="text1"/>
          <w:sz w:val="24"/>
          <w14:textFill>
            <w14:solidFill>
              <w14:schemeClr w14:val="tx1"/>
            </w14:solidFill>
          </w14:textFill>
        </w:rPr>
        <w:t>）不同投标人委托同一单位或者个人办理投标事宜；</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）不同投标人的投标文件载明的项目管理成员或者联系人员为同一人；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14</w:t>
      </w:r>
      <w:r>
        <w:rPr>
          <w:rFonts w:hint="eastAsia"/>
          <w:color w:val="000000" w:themeColor="text1"/>
          <w:sz w:val="24"/>
          <w14:textFill>
            <w14:solidFill>
              <w14:schemeClr w14:val="tx1"/>
            </w14:solidFill>
          </w14:textFill>
        </w:rPr>
        <w:t>）不同投标人的投标文件异常一致或者投标报价呈规律性差异；</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15</w:t>
      </w:r>
      <w:r>
        <w:rPr>
          <w:rFonts w:hint="eastAsia"/>
          <w:color w:val="000000" w:themeColor="text1"/>
          <w:sz w:val="24"/>
          <w14:textFill>
            <w14:solidFill>
              <w14:schemeClr w14:val="tx1"/>
            </w14:solidFill>
          </w14:textFill>
        </w:rPr>
        <w:t>）不同投标人的投标文件相互混装。</w:t>
      </w:r>
    </w:p>
    <w:p>
      <w:pPr>
        <w:spacing w:line="353"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6</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评标小组认为有必要时，将要求投标人述标或对投标文件中某些内容做出澄清或说明，但不接受投标人主动提出的澄清和说明。</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7</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评标小组将从投标人的投标报价、产品质量、技术方案、售后服务、企业状况等经济、技术和商务及其他优惠条件等方面，依据评标方法，对所有投标文件进行综合评审。</w:t>
      </w:r>
    </w:p>
    <w:p>
      <w:bookmarkStart w:id="10" w:name="_Toc73516685"/>
    </w:p>
    <w:p>
      <w:pPr>
        <w:pStyle w:val="4"/>
        <w:rPr>
          <w:color w:val="000000" w:themeColor="text1"/>
          <w14:textFill>
            <w14:solidFill>
              <w14:schemeClr w14:val="tx1"/>
            </w14:solidFill>
          </w14:textFill>
        </w:rPr>
      </w:pPr>
      <w:r>
        <w:rPr>
          <w:rFonts w:hint="eastAsia"/>
          <w:color w:val="000000" w:themeColor="text1"/>
          <w14:textFill>
            <w14:solidFill>
              <w14:schemeClr w14:val="tx1"/>
            </w14:solidFill>
          </w14:textFill>
        </w:rPr>
        <w:t>五、评标方法及评分标准</w:t>
      </w:r>
      <w:bookmarkEnd w:id="10"/>
    </w:p>
    <w:p>
      <w:pPr>
        <w:spacing w:line="353" w:lineRule="auto"/>
        <w:ind w:firstLine="472" w:firstLineChars="196"/>
        <w:rPr>
          <w:color w:val="000000" w:themeColor="text1"/>
          <w:sz w:val="24"/>
          <w14:textFill>
            <w14:solidFill>
              <w14:schemeClr w14:val="tx1"/>
            </w14:solidFill>
          </w14:textFill>
        </w:rPr>
      </w:pPr>
      <w:r>
        <w:rPr>
          <w:b/>
          <w:color w:val="000000" w:themeColor="text1"/>
          <w:sz w:val="24"/>
          <w14:textFill>
            <w14:solidFill>
              <w14:schemeClr w14:val="tx1"/>
            </w14:solidFill>
          </w14:textFill>
        </w:rPr>
        <w:t>5.1.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评标方法</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（1）公开招标程序：资格符合性评审→技术标评审→商务标开标→确定中标候选人</w:t>
      </w:r>
    </w:p>
    <w:p>
      <w:pPr>
        <w:spacing w:line="353" w:lineRule="auto"/>
        <w:ind w:left="479" w:leftChars="228"/>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（2）本次招标采用</w:t>
      </w:r>
      <w:r>
        <w:rPr>
          <w:rFonts w:hint="eastAsia"/>
          <w:b/>
          <w:color w:val="000000" w:themeColor="text1"/>
          <w:sz w:val="24"/>
          <w14:textFill>
            <w14:solidFill>
              <w14:schemeClr w14:val="tx1"/>
            </w14:solidFill>
          </w14:textFill>
        </w:rPr>
        <w:t>综合评分法</w:t>
      </w:r>
      <w:r>
        <w:rPr>
          <w:rFonts w:hint="eastAsia"/>
          <w:color w:val="000000" w:themeColor="text1"/>
          <w:sz w:val="24"/>
          <w14:textFill>
            <w14:solidFill>
              <w14:schemeClr w14:val="tx1"/>
            </w14:solidFill>
          </w14:textFill>
        </w:rPr>
        <w:t>评标，指标评审得分由高到低选取各标段入围的供应商。（3）评标小组各成员独立对每一份有效投标文件进行评价并对除报价以外的评分项目进行评分，报价得分由工作人员通过计算得出。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∑评委评价得分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评委人数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报价得分。</w:t>
      </w:r>
    </w:p>
    <w:p>
      <w:pPr>
        <w:widowControl/>
        <w:ind w:firstLine="482" w:firstLineChars="200"/>
        <w:jc w:val="left"/>
        <w:rPr>
          <w:rFonts w:ascii="宋体"/>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5.2. </w:t>
      </w:r>
      <w:r>
        <w:rPr>
          <w:rFonts w:hint="eastAsia" w:ascii="宋体" w:hAnsi="宋体"/>
          <w:bCs/>
          <w:color w:val="000000" w:themeColor="text1"/>
          <w:sz w:val="24"/>
          <w14:textFill>
            <w14:solidFill>
              <w14:schemeClr w14:val="tx1"/>
            </w14:solidFill>
          </w14:textFill>
        </w:rPr>
        <w:t>评分标准</w:t>
      </w:r>
    </w:p>
    <w:tbl>
      <w:tblPr>
        <w:tblStyle w:val="27"/>
        <w:tblpPr w:leftFromText="180" w:rightFromText="180" w:vertAnchor="text" w:horzAnchor="page" w:tblpX="790" w:tblpY="42"/>
        <w:tblOverlap w:val="never"/>
        <w:tblW w:w="105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5"/>
        <w:gridCol w:w="765"/>
        <w:gridCol w:w="1470"/>
        <w:gridCol w:w="7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0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评审</w:t>
            </w:r>
          </w:p>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因素</w:t>
            </w:r>
          </w:p>
        </w:tc>
        <w:tc>
          <w:tcPr>
            <w:tcW w:w="223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分值</w:t>
            </w:r>
          </w:p>
        </w:tc>
        <w:tc>
          <w:tcPr>
            <w:tcW w:w="73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具体分值及评分标准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10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rPr>
                <w:rFonts w:asciiTheme="minorEastAsia" w:hAnsiTheme="minorEastAsia" w:eastAsiaTheme="minorEastAsia" w:cstheme="minorEastAsia"/>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0"/>
                <w:sz w:val="21"/>
                <w:szCs w:val="21"/>
                <w14:textFill>
                  <w14:solidFill>
                    <w14:schemeClr w14:val="tx1"/>
                  </w14:solidFill>
                </w14:textFill>
              </w:rPr>
              <w:t>报价分</w:t>
            </w:r>
          </w:p>
        </w:tc>
        <w:tc>
          <w:tcPr>
            <w:tcW w:w="223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45"/>
              <w:rPr>
                <w:rFonts w:asciiTheme="minorEastAsia" w:hAnsiTheme="minorEastAsia" w:eastAsiaTheme="minorEastAsia" w:cstheme="minorEastAsia"/>
                <w:color w:val="000000" w:themeColor="text1"/>
                <w:spacing w:val="-6"/>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14:textFill>
                  <w14:solidFill>
                    <w14:schemeClr w14:val="tx1"/>
                  </w14:solidFill>
                </w14:textFill>
              </w:rPr>
              <w:t>60分</w:t>
            </w:r>
          </w:p>
        </w:tc>
        <w:tc>
          <w:tcPr>
            <w:tcW w:w="7305" w:type="dxa"/>
            <w:tcBorders>
              <w:top w:val="single" w:color="auto" w:sz="4" w:space="0"/>
              <w:left w:val="single" w:color="auto" w:sz="4" w:space="0"/>
              <w:bottom w:val="single" w:color="auto" w:sz="4" w:space="0"/>
              <w:right w:val="single" w:color="auto" w:sz="4" w:space="0"/>
            </w:tcBorders>
            <w:vAlign w:val="center"/>
          </w:tcPr>
          <w:p>
            <w:pPr>
              <w:ind w:left="-50" w:right="-51" w:firstLine="420" w:firstLineChars="200"/>
              <w:jc w:val="left"/>
              <w:rPr>
                <w:rFonts w:asciiTheme="minorEastAsia" w:hAnsiTheme="minorEastAsia" w:eastAsiaTheme="minorEastAsia" w:cstheme="minorEastAsia"/>
                <w:color w:val="000000" w:themeColor="text1"/>
                <w:spacing w:val="-6"/>
                <w:szCs w:val="21"/>
                <w14:textFill>
                  <w14:solidFill>
                    <w14:schemeClr w14:val="tx1"/>
                  </w14:solidFill>
                </w14:textFill>
              </w:rPr>
            </w:pPr>
            <w:r>
              <w:rPr>
                <w:rFonts w:hint="eastAsia" w:ascii="宋体" w:hAnsi="宋体" w:cs="宋体"/>
                <w:szCs w:val="21"/>
              </w:rPr>
              <w:t>满足招标文件要求且综合投标价格（同一标段下明细之和作为综合报价）最低的投标报价为评标基准价，其价格分为满分，其他投标人的价格分按下列公式计算：投标报价得分＝（评标基准价/投标报价）×60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100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技术分</w:t>
            </w:r>
          </w:p>
        </w:tc>
        <w:tc>
          <w:tcPr>
            <w:tcW w:w="76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40分</w:t>
            </w: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企业荣誉</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（5分）</w:t>
            </w:r>
          </w:p>
        </w:tc>
        <w:tc>
          <w:tcPr>
            <w:tcW w:w="7305" w:type="dxa"/>
            <w:tcBorders>
              <w:top w:val="single" w:color="auto" w:sz="4" w:space="0"/>
              <w:left w:val="single" w:color="auto" w:sz="4" w:space="0"/>
              <w:bottom w:val="single" w:color="auto" w:sz="4" w:space="0"/>
              <w:right w:val="single" w:color="auto" w:sz="4" w:space="0"/>
            </w:tcBorders>
            <w:vAlign w:val="center"/>
          </w:tcPr>
          <w:p>
            <w:pPr>
              <w:ind w:left="-50" w:right="-51"/>
              <w:rPr>
                <w:rFonts w:ascii="宋体" w:hAnsi="宋体" w:cs="宋体"/>
                <w:bCs/>
                <w:szCs w:val="21"/>
              </w:rPr>
            </w:pPr>
            <w:r>
              <w:rPr>
                <w:rFonts w:hint="eastAsia" w:ascii="宋体" w:hAnsi="宋体" w:cs="宋体"/>
                <w:kern w:val="0"/>
                <w:szCs w:val="21"/>
              </w:rPr>
              <w:t>1.</w:t>
            </w:r>
            <w:r>
              <w:rPr>
                <w:rFonts w:hint="eastAsia" w:ascii="宋体" w:hAnsi="宋体" w:cs="宋体"/>
                <w:bCs/>
                <w:szCs w:val="21"/>
              </w:rPr>
              <w:t>企业诚信管理体系认证证书。</w:t>
            </w:r>
            <w:r>
              <w:rPr>
                <w:rFonts w:hint="eastAsia" w:ascii="宋体" w:hAnsi="宋体" w:cs="宋体"/>
                <w:color w:val="000000" w:themeColor="text1"/>
                <w:kern w:val="0"/>
                <w:szCs w:val="21"/>
                <w14:textFill>
                  <w14:solidFill>
                    <w14:schemeClr w14:val="tx1"/>
                  </w14:solidFill>
                </w14:textFill>
              </w:rPr>
              <w:t>（证书不在有效期内不得分）</w:t>
            </w:r>
            <w:r>
              <w:rPr>
                <w:rFonts w:hint="eastAsia" w:ascii="宋体" w:hAnsi="宋体" w:cs="宋体"/>
                <w:bCs/>
                <w:szCs w:val="21"/>
              </w:rPr>
              <w:t>（2分）。</w:t>
            </w:r>
          </w:p>
          <w:p>
            <w:pPr>
              <w:ind w:left="-50" w:right="-51"/>
              <w:rPr>
                <w:rFonts w:ascii="宋体" w:hAnsi="宋体" w:cs="宋体"/>
                <w:bCs/>
                <w:szCs w:val="21"/>
              </w:rPr>
            </w:pPr>
            <w:r>
              <w:rPr>
                <w:rFonts w:hint="eastAsia" w:ascii="宋体" w:hAnsi="宋体" w:cs="宋体"/>
                <w:bCs/>
                <w:szCs w:val="21"/>
              </w:rPr>
              <w:t>2.企业获得政府部门或行业协会颁发的奖项：每项得1分，最高2分。（2分）</w:t>
            </w:r>
          </w:p>
          <w:p>
            <w:pPr>
              <w:ind w:left="-50" w:right="-51"/>
              <w:rPr>
                <w:rFonts w:ascii="宋体" w:hAnsi="宋体" w:cs="宋体"/>
                <w:bCs/>
                <w:szCs w:val="21"/>
              </w:rPr>
            </w:pPr>
            <w:r>
              <w:rPr>
                <w:rFonts w:hint="eastAsia" w:ascii="宋体" w:hAnsi="宋体" w:cs="宋体"/>
                <w:bCs/>
                <w:szCs w:val="21"/>
              </w:rPr>
              <w:t>3.</w:t>
            </w:r>
            <w:r>
              <w:rPr>
                <w:rFonts w:hint="eastAsia" w:cs="宋体" w:asciiTheme="minorEastAsia" w:hAnsiTheme="minorEastAsia" w:eastAsiaTheme="minorEastAsia"/>
                <w:lang w:val="zh-TW" w:bidi="zh-TW"/>
              </w:rPr>
              <w:t>投标人提供有效期内的</w:t>
            </w:r>
            <w:r>
              <w:rPr>
                <w:rFonts w:hint="eastAsia" w:ascii="宋体" w:hAnsi="宋体" w:cs="宋体"/>
                <w:bCs/>
                <w:color w:val="000000"/>
                <w:kern w:val="0"/>
                <w:szCs w:val="21"/>
              </w:rPr>
              <w:t>ISO22000食品安全管理体系认证证书。（1分）</w:t>
            </w:r>
          </w:p>
          <w:p>
            <w:pPr>
              <w:ind w:left="-50" w:right="-51"/>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kern w:val="0"/>
                <w:szCs w:val="21"/>
              </w:rPr>
              <w:t>社会公益    （3分）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kern w:val="0"/>
                <w:szCs w:val="21"/>
              </w:rPr>
              <w:t>2019年以来，投</w:t>
            </w:r>
            <w:r>
              <w:rPr>
                <w:rFonts w:hint="eastAsia" w:ascii="宋体" w:hAnsi="宋体" w:cs="宋体"/>
                <w:bCs/>
                <w:szCs w:val="21"/>
              </w:rPr>
              <w:t>标人积极参与社会捐赠、救助等社会公益活动的，</w:t>
            </w:r>
            <w:r>
              <w:rPr>
                <w:rFonts w:hint="eastAsia" w:ascii="宋体" w:hAnsi="宋体" w:cs="宋体"/>
                <w:szCs w:val="21"/>
              </w:rPr>
              <w:t>根据投标人提供的材料横向对比，优秀3分，良好2分，一般1分，没有得0分</w:t>
            </w:r>
            <w:r>
              <w:rPr>
                <w:rFonts w:hint="eastAsia" w:ascii="宋体" w:hAnsi="宋体" w:cs="宋体"/>
                <w:bCs/>
                <w:szCs w:val="21"/>
              </w:rPr>
              <w:t>。（提供政府、机关事业单位相关证明材料复印件，否则不得分）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业绩</w:t>
            </w:r>
          </w:p>
          <w:p>
            <w:pPr>
              <w:widowControl/>
              <w:spacing w:line="340" w:lineRule="exact"/>
              <w:jc w:val="center"/>
              <w:rPr>
                <w:rFonts w:asciiTheme="minorEastAsia" w:hAnsiTheme="minorEastAsia" w:eastAsiaTheme="minorEastAsia" w:cstheme="minorEastAsia"/>
                <w:color w:val="FF0000"/>
                <w:kern w:val="0"/>
                <w:szCs w:val="21"/>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（6分）</w:t>
            </w:r>
          </w:p>
        </w:tc>
        <w:tc>
          <w:tcPr>
            <w:tcW w:w="730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宋体" w:cs="宋体"/>
                <w:szCs w:val="21"/>
              </w:rPr>
            </w:pPr>
            <w:r>
              <w:rPr>
                <w:rFonts w:hint="eastAsia" w:ascii="宋体" w:hAnsi="宋体" w:cs="宋体"/>
                <w:color w:val="auto"/>
                <w:szCs w:val="21"/>
              </w:rPr>
              <w:t>投标人自2019年1月1日至今</w:t>
            </w:r>
            <w:r>
              <w:rPr>
                <w:rFonts w:hint="eastAsia" w:ascii="Calibri" w:hAnsi="Calibri"/>
                <w:color w:val="auto"/>
              </w:rPr>
              <w:t>承担过与本项目内容相匹配（党政机关、三级以上医院、四星以上宾馆、大中小学、餐饮公司、企业）的类似项目业绩，提供合同复印件、服务单位盖章的意见反馈证明，缺一项不得分，每提供1个单位</w:t>
            </w:r>
            <w:r>
              <w:rPr>
                <w:rFonts w:ascii="Calibri" w:hAnsi="Calibri"/>
                <w:color w:val="auto"/>
              </w:rPr>
              <w:t>的</w:t>
            </w:r>
            <w:r>
              <w:rPr>
                <w:rFonts w:hint="eastAsia" w:ascii="Calibri" w:hAnsi="Calibri"/>
                <w:color w:val="auto"/>
              </w:rPr>
              <w:t>有效证明材料得1分。（以合同签订时间为准，同一单位不重复得分）</w:t>
            </w:r>
            <w:r>
              <w:rPr>
                <w:rFonts w:hint="eastAsia" w:ascii="宋体" w:hAnsi="宋体" w:cs="宋体"/>
                <w:szCs w:val="21"/>
              </w:rPr>
              <w:t>（6分）</w:t>
            </w:r>
          </w:p>
          <w:p>
            <w:pPr>
              <w:widowControl/>
              <w:spacing w:line="340" w:lineRule="exact"/>
              <w:jc w:val="left"/>
              <w:rPr>
                <w:rFonts w:asciiTheme="minorEastAsia" w:hAnsiTheme="minorEastAsia" w:eastAsiaTheme="minorEastAsia" w:cstheme="minorEastAsia"/>
                <w:color w:val="FF0000"/>
                <w:kern w:val="0"/>
                <w:szCs w:val="21"/>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4"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服务方案</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（12分）</w:t>
            </w:r>
          </w:p>
        </w:tc>
        <w:tc>
          <w:tcPr>
            <w:tcW w:w="730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ascii="宋体" w:hAnsi="宋体" w:cs="宋体"/>
                <w:szCs w:val="21"/>
              </w:rPr>
            </w:pPr>
            <w:r>
              <w:rPr>
                <w:rFonts w:hint="eastAsia" w:ascii="宋体" w:hAnsi="宋体" w:cs="宋体"/>
                <w:szCs w:val="21"/>
              </w:rPr>
              <w:t>1.管理方案和举措（含食材卫生安全保障机制、质量保障机制、配送业务操作流程等）根据投标人提供的材料横向对比，优秀5分，良好3-4分，一般1-2分；（5分）</w:t>
            </w:r>
          </w:p>
          <w:p>
            <w:pPr>
              <w:tabs>
                <w:tab w:val="left" w:pos="464"/>
              </w:tabs>
              <w:rPr>
                <w:rFonts w:ascii="宋体" w:hAnsi="宋体" w:cs="宋体"/>
                <w:szCs w:val="21"/>
              </w:rPr>
            </w:pPr>
            <w:r>
              <w:rPr>
                <w:rFonts w:hint="eastAsia" w:ascii="宋体" w:hAnsi="宋体" w:cs="宋体"/>
                <w:szCs w:val="21"/>
              </w:rPr>
              <w:t>2.提供应急处置的实施方案，根据投标人提供的材料横向对比，优秀5分，良好3-4分，一般1-2分，没有得0分；（5分）</w:t>
            </w:r>
          </w:p>
          <w:p>
            <w:pPr>
              <w:tabs>
                <w:tab w:val="left" w:pos="464"/>
              </w:tabs>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3.本地化服务方案，</w:t>
            </w:r>
            <w:r>
              <w:rPr>
                <w:rFonts w:hint="eastAsia" w:ascii="宋体" w:hAnsi="宋体" w:cs="宋体"/>
                <w:szCs w:val="21"/>
              </w:rPr>
              <w:t>根据投标人提供的材料横向对比，优秀2分，良好1分，一般0.5分，没有不得分</w:t>
            </w:r>
            <w:r>
              <w:rPr>
                <w:rFonts w:hint="eastAsia" w:ascii="宋体" w:hAnsi="宋体" w:cs="宋体"/>
                <w:color w:val="000000" w:themeColor="text1"/>
                <w:kern w:val="0"/>
                <w:szCs w:val="21"/>
                <w14:textFill>
                  <w14:solidFill>
                    <w14:schemeClr w14:val="tx1"/>
                  </w14:solidFill>
                </w14:textFill>
              </w:rPr>
              <w:t>。（2分）</w:t>
            </w:r>
            <w:r>
              <w:rPr>
                <w:rFonts w:hint="eastAsia" w:ascii="宋体"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szCs w:val="21"/>
              </w:rPr>
              <w:t xml:space="preserve">仓储能力       </w:t>
            </w:r>
            <w:r>
              <w:rPr>
                <w:rFonts w:hint="eastAsia" w:asciiTheme="minorEastAsia" w:hAnsiTheme="minorEastAsia" w:eastAsiaTheme="minorEastAsia" w:cstheme="minorEastAsia"/>
                <w:color w:val="000000" w:themeColor="text1"/>
                <w:kern w:val="0"/>
                <w:szCs w:val="21"/>
                <w14:textFill>
                  <w14:solidFill>
                    <w14:schemeClr w14:val="tx1"/>
                  </w14:solidFill>
                </w14:textFill>
              </w:rPr>
              <w:t>（4分）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宋体" w:hAnsi="宋体" w:cs="宋体"/>
                <w:color w:val="auto"/>
                <w:kern w:val="0"/>
                <w:szCs w:val="21"/>
              </w:rPr>
            </w:pPr>
            <w:r>
              <w:rPr>
                <w:rFonts w:hint="eastAsia" w:ascii="宋体" w:hAnsi="宋体" w:cs="宋体"/>
                <w:color w:val="000000"/>
                <w:kern w:val="0"/>
                <w:szCs w:val="21"/>
              </w:rPr>
              <w:t>仓储仓库</w:t>
            </w:r>
            <w:r>
              <w:rPr>
                <w:rFonts w:hint="eastAsia" w:ascii="宋体" w:hAnsi="宋体" w:cs="宋体"/>
                <w:color w:val="auto"/>
                <w:kern w:val="0"/>
                <w:szCs w:val="21"/>
              </w:rPr>
              <w:t>800平方米（含）</w:t>
            </w:r>
            <w:r>
              <w:rPr>
                <w:rFonts w:hint="eastAsia" w:ascii="宋体" w:hAnsi="宋体" w:cs="宋体"/>
                <w:color w:val="auto"/>
                <w:szCs w:val="21"/>
              </w:rPr>
              <w:t>以上</w:t>
            </w:r>
            <w:r>
              <w:rPr>
                <w:rFonts w:hint="eastAsia" w:ascii="宋体" w:hAnsi="宋体" w:cs="宋体"/>
                <w:bCs/>
                <w:color w:val="auto"/>
                <w:szCs w:val="21"/>
              </w:rPr>
              <w:t>得</w:t>
            </w:r>
            <w:r>
              <w:rPr>
                <w:rFonts w:hint="eastAsia" w:ascii="宋体" w:hAnsi="宋体" w:cs="宋体"/>
                <w:color w:val="auto"/>
                <w:kern w:val="0"/>
                <w:szCs w:val="21"/>
              </w:rPr>
              <w:t>4分， 600平方米（含）至800平方米</w:t>
            </w:r>
            <w:r>
              <w:rPr>
                <w:rFonts w:hint="eastAsia" w:ascii="宋体" w:hAnsi="宋体" w:cs="宋体"/>
                <w:bCs/>
                <w:color w:val="auto"/>
                <w:szCs w:val="21"/>
              </w:rPr>
              <w:t>得3</w:t>
            </w:r>
            <w:r>
              <w:rPr>
                <w:rFonts w:hint="eastAsia" w:ascii="宋体" w:hAnsi="宋体" w:cs="宋体"/>
                <w:color w:val="auto"/>
                <w:kern w:val="0"/>
                <w:szCs w:val="21"/>
              </w:rPr>
              <w:t>分，400平方米</w:t>
            </w:r>
            <w:r>
              <w:rPr>
                <w:rFonts w:ascii="宋体" w:hAnsi="宋体" w:cs="宋体"/>
                <w:color w:val="auto"/>
                <w:kern w:val="0"/>
                <w:szCs w:val="21"/>
              </w:rPr>
              <w:t>（</w:t>
            </w:r>
            <w:r>
              <w:rPr>
                <w:rFonts w:hint="eastAsia" w:ascii="宋体" w:hAnsi="宋体" w:cs="宋体"/>
                <w:color w:val="auto"/>
                <w:kern w:val="0"/>
                <w:szCs w:val="21"/>
              </w:rPr>
              <w:t>含</w:t>
            </w:r>
            <w:r>
              <w:rPr>
                <w:rFonts w:ascii="宋体" w:hAnsi="宋体" w:cs="宋体"/>
                <w:color w:val="auto"/>
                <w:kern w:val="0"/>
                <w:szCs w:val="21"/>
              </w:rPr>
              <w:t>）</w:t>
            </w:r>
            <w:r>
              <w:rPr>
                <w:rFonts w:hint="eastAsia" w:ascii="宋体" w:hAnsi="宋体" w:cs="宋体"/>
                <w:color w:val="auto"/>
                <w:kern w:val="0"/>
                <w:szCs w:val="21"/>
              </w:rPr>
              <w:t>至600平方米</w:t>
            </w:r>
            <w:r>
              <w:rPr>
                <w:rFonts w:hint="eastAsia" w:ascii="宋体" w:hAnsi="宋体" w:cs="宋体"/>
                <w:bCs/>
                <w:color w:val="auto"/>
                <w:szCs w:val="21"/>
              </w:rPr>
              <w:t>得2</w:t>
            </w:r>
            <w:r>
              <w:rPr>
                <w:rFonts w:hint="eastAsia" w:ascii="宋体" w:hAnsi="宋体" w:cs="宋体"/>
                <w:color w:val="auto"/>
                <w:kern w:val="0"/>
                <w:szCs w:val="21"/>
              </w:rPr>
              <w:t>分，200平方米（含）至400平方米</w:t>
            </w:r>
            <w:r>
              <w:rPr>
                <w:rFonts w:hint="eastAsia" w:ascii="宋体" w:hAnsi="宋体" w:cs="宋体"/>
                <w:bCs/>
                <w:color w:val="auto"/>
                <w:szCs w:val="21"/>
              </w:rPr>
              <w:t>得1</w:t>
            </w:r>
            <w:r>
              <w:rPr>
                <w:rFonts w:hint="eastAsia" w:ascii="宋体" w:hAnsi="宋体" w:cs="宋体"/>
                <w:color w:val="auto"/>
                <w:kern w:val="0"/>
                <w:szCs w:val="21"/>
              </w:rPr>
              <w:t>分，200平方米</w:t>
            </w:r>
            <w:r>
              <w:rPr>
                <w:rFonts w:ascii="宋体" w:hAnsi="宋体" w:cs="宋体"/>
                <w:color w:val="auto"/>
                <w:kern w:val="0"/>
                <w:szCs w:val="21"/>
              </w:rPr>
              <w:t>以下</w:t>
            </w:r>
            <w:r>
              <w:rPr>
                <w:rFonts w:hint="eastAsia" w:ascii="宋体" w:hAnsi="宋体" w:cs="宋体"/>
                <w:color w:val="auto"/>
                <w:kern w:val="0"/>
                <w:szCs w:val="21"/>
              </w:rPr>
              <w:t>不得分。（4分）</w:t>
            </w:r>
          </w:p>
          <w:p>
            <w:pPr>
              <w:widowControl/>
              <w:spacing w:line="340" w:lineRule="exact"/>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kern w:val="0"/>
                <w:szCs w:val="21"/>
              </w:rPr>
              <w:t>注：投标人提供仓库的相关图片。自有仓库的须提供相关产权证明复印件；租赁仓库的须提供租赁协议及出租方相关产权证明复印件。上述资料不提供或提供不全的不得分，原件备查。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szCs w:val="21"/>
              </w:rPr>
              <w:t>送货车辆      （4分）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szCs w:val="21"/>
              </w:rPr>
              <w:t>投标人每提供一辆自有运输车辆得2分，提供一辆租赁运输车辆得1分，租赁车辆最高得2分。须提供相关证明材料（自有车辆所有人为投标单位，须提供运输车辆行驶证复印件、车辆外观彩色照片。租赁车辆须提供租赁企业道路经营许可证复印件、租赁车辆合同复印件、运输车辆的机动车行驶证复印件、车辆外观彩色照片，所有复印件模糊不清的不得分</w:t>
            </w:r>
            <w:r>
              <w:rPr>
                <w:rFonts w:hint="eastAsia" w:ascii="宋体" w:hAnsi="宋体" w:cs="宋体"/>
                <w:color w:val="000000"/>
                <w:kern w:val="0"/>
                <w:szCs w:val="21"/>
              </w:rPr>
              <w:t>，原件备查</w:t>
            </w:r>
            <w:r>
              <w:rPr>
                <w:rFonts w:hint="eastAsia" w:ascii="宋体" w:hAnsi="宋体" w:cs="宋体"/>
                <w:szCs w:val="21"/>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szCs w:val="21"/>
              </w:rPr>
            </w:pPr>
            <w:r>
              <w:rPr>
                <w:rFonts w:hint="eastAsia" w:ascii="宋体" w:hAnsi="宋体" w:cs="宋体"/>
                <w:szCs w:val="21"/>
              </w:rPr>
              <w:t>疫情防控</w:t>
            </w:r>
          </w:p>
          <w:p>
            <w:pPr>
              <w:widowControl/>
              <w:spacing w:line="340" w:lineRule="exact"/>
              <w:jc w:val="center"/>
              <w:rPr>
                <w:rFonts w:asciiTheme="minorEastAsia" w:hAnsiTheme="minorEastAsia" w:cstheme="minorEastAsia"/>
                <w:color w:val="000000" w:themeColor="text1"/>
                <w:kern w:val="0"/>
                <w:szCs w:val="21"/>
                <w14:textFill>
                  <w14:solidFill>
                    <w14:schemeClr w14:val="tx1"/>
                  </w14:solidFill>
                </w14:textFill>
              </w:rPr>
            </w:pPr>
            <w:r>
              <w:rPr>
                <w:rFonts w:hint="eastAsia" w:ascii="宋体" w:hAnsi="宋体" w:cs="宋体"/>
                <w:szCs w:val="21"/>
              </w:rPr>
              <w:t>(2分）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color w:val="000000" w:themeColor="text1"/>
                <w:szCs w:val="21"/>
                <w14:textFill>
                  <w14:solidFill>
                    <w14:schemeClr w14:val="tx1"/>
                  </w14:solidFill>
                </w14:textFill>
              </w:rPr>
            </w:pPr>
            <w:r>
              <w:rPr>
                <w:rFonts w:hint="eastAsia" w:ascii="宋体" w:hAnsi="宋体" w:cs="宋体"/>
                <w:bCs/>
                <w:szCs w:val="21"/>
              </w:rPr>
              <w:t>投标人提供切合实际、行之有效的疫情防控应急配送方案。</w:t>
            </w:r>
            <w:r>
              <w:rPr>
                <w:rFonts w:hint="eastAsia" w:ascii="宋体" w:hAnsi="宋体" w:cs="宋体"/>
                <w:szCs w:val="21"/>
              </w:rPr>
              <w:t>优秀2分，良好1分，一般得0.5分。（2分）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szCs w:val="21"/>
              </w:rPr>
            </w:pPr>
            <w:r>
              <w:rPr>
                <w:rFonts w:hint="eastAsia" w:ascii="宋体" w:hAnsi="宋体" w:cs="宋体"/>
                <w:szCs w:val="21"/>
              </w:rPr>
              <w:t>样品      （3分）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eastAsia" w:ascii="宋体" w:hAnsi="宋体" w:cs="宋体"/>
                <w:szCs w:val="21"/>
              </w:rPr>
            </w:pPr>
            <w:r>
              <w:rPr>
                <w:rFonts w:hint="eastAsia" w:ascii="宋体" w:hAnsi="宋体" w:cs="宋体"/>
                <w:bCs/>
                <w:szCs w:val="21"/>
              </w:rPr>
              <w:t>样品得分</w:t>
            </w:r>
            <w:r>
              <w:rPr>
                <w:rFonts w:hint="eastAsia" w:ascii="宋体" w:hAnsi="宋体" w:cs="宋体"/>
                <w:szCs w:val="21"/>
              </w:rPr>
              <w:t>,优秀3分，良好2分，一般1分，没有不得分。</w:t>
            </w:r>
            <w:r>
              <w:rPr>
                <w:rFonts w:ascii="宋体" w:hAnsi="宋体" w:cs="宋体"/>
                <w:szCs w:val="21"/>
              </w:rPr>
              <w:t>（</w:t>
            </w:r>
            <w:r>
              <w:rPr>
                <w:rFonts w:hint="eastAsia" w:ascii="宋体" w:hAnsi="宋体" w:cs="宋体"/>
                <w:szCs w:val="21"/>
              </w:rPr>
              <w:t>3分</w:t>
            </w:r>
            <w:r>
              <w:rPr>
                <w:rFonts w:ascii="宋体"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招标文件</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color w:val="000000" w:themeColor="text1"/>
                <w:szCs w:val="21"/>
                <w14:textFill>
                  <w14:solidFill>
                    <w14:schemeClr w14:val="tx1"/>
                  </w14:solidFill>
                </w14:textFill>
              </w:rPr>
              <w:t>根据投标文件对招标文件的响应情况、表述清晰程度、规范性等评分</w:t>
            </w:r>
            <w:r>
              <w:rPr>
                <w:rFonts w:hint="eastAsia"/>
                <w:color w:val="000000" w:themeColor="text1"/>
                <w14:textFill>
                  <w14:solidFill>
                    <w14:schemeClr w14:val="tx1"/>
                  </w14:solidFill>
                </w14:textFill>
              </w:rPr>
              <w:t>，满分1分</w:t>
            </w:r>
          </w:p>
        </w:tc>
      </w:tr>
    </w:tbl>
    <w:p>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为便于评分，请投标人按评分表样式，逐条列出证明材料所在页码，格式自定。</w:t>
      </w:r>
    </w:p>
    <w:p>
      <w:pPr>
        <w:spacing w:line="360" w:lineRule="auto"/>
        <w:ind w:firstLine="420" w:firstLineChars="200"/>
        <w:rPr>
          <w:b/>
          <w:color w:val="000000" w:themeColor="text1"/>
          <w:sz w:val="24"/>
          <w14:textFill>
            <w14:solidFill>
              <w14:schemeClr w14:val="tx1"/>
            </w14:solidFill>
          </w14:textFill>
        </w:rPr>
      </w:pPr>
      <w:r>
        <w:rPr>
          <w:rFonts w:hint="eastAsia" w:ascii="宋体" w:hAnsi="宋体"/>
          <w:color w:val="000000" w:themeColor="text1"/>
          <w14:textFill>
            <w14:solidFill>
              <w14:schemeClr w14:val="tx1"/>
            </w14:solidFill>
          </w14:textFill>
        </w:rPr>
        <w:t>备注</w:t>
      </w:r>
      <w:r>
        <w:rPr>
          <w:rFonts w:ascii="宋体" w:hAnsi="宋体"/>
          <w:color w:val="000000" w:themeColor="text1"/>
          <w14:textFill>
            <w14:solidFill>
              <w14:schemeClr w14:val="tx1"/>
            </w14:solidFill>
          </w14:textFill>
        </w:rPr>
        <w:t>：</w:t>
      </w:r>
      <w:r>
        <w:rPr>
          <w:rFonts w:hint="eastAsia" w:ascii="黑体" w:hAnsi="黑体" w:eastAsia="黑体"/>
          <w:color w:val="000000" w:themeColor="text1"/>
          <w:sz w:val="24"/>
          <w14:textFill>
            <w14:solidFill>
              <w14:schemeClr w14:val="tx1"/>
            </w14:solidFill>
          </w14:textFill>
        </w:rPr>
        <w:t>以上所有证书、图片、合同等复印件相关资料均需盖投标人公章，原件备查。</w:t>
      </w:r>
    </w:p>
    <w:p>
      <w:pPr>
        <w:pStyle w:val="4"/>
        <w:rPr>
          <w:color w:val="000000" w:themeColor="text1"/>
          <w14:textFill>
            <w14:solidFill>
              <w14:schemeClr w14:val="tx1"/>
            </w14:solidFill>
          </w14:textFill>
        </w:rPr>
      </w:pPr>
      <w:bookmarkStart w:id="11" w:name="_Toc73516686"/>
      <w:r>
        <w:rPr>
          <w:rFonts w:hint="eastAsia"/>
          <w:color w:val="000000" w:themeColor="text1"/>
          <w14:textFill>
            <w14:solidFill>
              <w14:schemeClr w14:val="tx1"/>
            </w14:solidFill>
          </w14:textFill>
        </w:rPr>
        <w:t>六、定标</w:t>
      </w:r>
      <w:bookmarkEnd w:id="11"/>
    </w:p>
    <w:p>
      <w:pPr>
        <w:spacing w:line="360" w:lineRule="auto"/>
        <w:ind w:firstLine="482" w:firstLineChars="200"/>
        <w:rPr>
          <w:color w:val="auto"/>
          <w:sz w:val="24"/>
        </w:rPr>
      </w:pPr>
      <w:r>
        <w:rPr>
          <w:b/>
          <w:color w:val="000000" w:themeColor="text1"/>
          <w:sz w:val="24"/>
          <w14:textFill>
            <w14:solidFill>
              <w14:schemeClr w14:val="tx1"/>
            </w14:solidFill>
          </w14:textFill>
        </w:rPr>
        <w:t>6.1.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按照得分高低顺序对投标人进行排列。排名在入围数之内（含入围数）的投标人将</w:t>
      </w:r>
      <w:r>
        <w:rPr>
          <w:rFonts w:hint="eastAsia"/>
          <w:color w:val="000000" w:themeColor="text1"/>
          <w:sz w:val="24"/>
          <w14:textFill>
            <w14:solidFill>
              <w14:schemeClr w14:val="tx1"/>
            </w14:solidFill>
          </w14:textFill>
        </w:rPr>
        <w:t>被推荐为中标候选人或者直接被确定为中标人。得分相同的，按投标报价由低到高顺序排列，</w:t>
      </w:r>
      <w:r>
        <w:rPr>
          <w:color w:val="auto"/>
          <w:sz w:val="24"/>
        </w:rPr>
        <w:t>如报价相同</w:t>
      </w:r>
      <w:r>
        <w:rPr>
          <w:rFonts w:hint="eastAsia"/>
          <w:color w:val="auto"/>
          <w:sz w:val="24"/>
        </w:rPr>
        <w:t>按服务方案得分</w:t>
      </w:r>
      <w:r>
        <w:rPr>
          <w:color w:val="auto"/>
          <w:sz w:val="24"/>
        </w:rPr>
        <w:t>由高到低排序，如再同</w:t>
      </w:r>
      <w:r>
        <w:rPr>
          <w:rFonts w:hint="eastAsia"/>
          <w:color w:val="auto"/>
          <w:sz w:val="24"/>
        </w:rPr>
        <w:t>则抽签</w:t>
      </w:r>
      <w:r>
        <w:rPr>
          <w:color w:val="auto"/>
          <w:sz w:val="24"/>
        </w:rPr>
        <w:t>决定</w:t>
      </w:r>
      <w:r>
        <w:rPr>
          <w:rFonts w:hint="eastAsia"/>
          <w:color w:val="auto"/>
          <w:sz w:val="24"/>
        </w:rPr>
        <w:t>。</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6.2.</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可取消其中标资格。</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6.3. </w:t>
      </w:r>
      <w:r>
        <w:rPr>
          <w:rFonts w:hint="eastAsia"/>
          <w:color w:val="000000" w:themeColor="text1"/>
          <w:sz w:val="24"/>
          <w14:textFill>
            <w14:solidFill>
              <w14:schemeClr w14:val="tx1"/>
            </w14:solidFill>
          </w14:textFill>
        </w:rPr>
        <w:t>评标小组认为所有投标报价均不合理或所有投标方案均不能满足招标人要求时，有权否决所有投标，评标小组也没有义务必须接受最低报价的投标。</w:t>
      </w:r>
    </w:p>
    <w:p>
      <w:pPr>
        <w:spacing w:line="360" w:lineRule="auto"/>
        <w:ind w:firstLine="472" w:firstLineChars="196"/>
        <w:rPr>
          <w:rFonts w:ascii="宋体" w:cs="Arial"/>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6.4. </w:t>
      </w:r>
      <w:r>
        <w:rPr>
          <w:rFonts w:hint="eastAsia" w:ascii="宋体" w:hAnsi="宋体" w:cs="Arial"/>
          <w:color w:val="000000" w:themeColor="text1"/>
          <w:sz w:val="24"/>
          <w14:textFill>
            <w14:solidFill>
              <w14:schemeClr w14:val="tx1"/>
            </w14:solidFill>
          </w14:textFill>
        </w:rPr>
        <w:t>出现下列情形之一的，招标人有权决定本次招标作废标处理：</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投标人的投标报价均超过了采购预算，学校不能支付的；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因重大变故，采购任务取消的。</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6.5. </w:t>
      </w:r>
      <w:r>
        <w:rPr>
          <w:rFonts w:hint="eastAsia"/>
          <w:color w:val="000000" w:themeColor="text1"/>
          <w:sz w:val="24"/>
          <w14:textFill>
            <w14:solidFill>
              <w14:schemeClr w14:val="tx1"/>
            </w14:solidFill>
          </w14:textFill>
        </w:rPr>
        <w:t>对未中标的投标人，招标人不做未中标解释。</w:t>
      </w:r>
    </w:p>
    <w:p>
      <w:pPr>
        <w:pStyle w:val="4"/>
        <w:rPr>
          <w:color w:val="000000" w:themeColor="text1"/>
          <w14:textFill>
            <w14:solidFill>
              <w14:schemeClr w14:val="tx1"/>
            </w14:solidFill>
          </w14:textFill>
        </w:rPr>
      </w:pPr>
      <w:bookmarkStart w:id="12" w:name="_Toc73516687"/>
      <w:r>
        <w:rPr>
          <w:rFonts w:hint="eastAsia"/>
          <w:color w:val="000000" w:themeColor="text1"/>
          <w14:textFill>
            <w14:solidFill>
              <w14:schemeClr w14:val="tx1"/>
            </w14:solidFill>
          </w14:textFill>
        </w:rPr>
        <w:t>七、合同的签订</w:t>
      </w:r>
      <w:bookmarkEnd w:id="12"/>
    </w:p>
    <w:p>
      <w:pPr>
        <w:spacing w:line="360" w:lineRule="auto"/>
        <w:ind w:right="-4" w:rightChars="-2" w:firstLine="475" w:firstLineChars="197"/>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7.1. </w:t>
      </w:r>
      <w:r>
        <w:rPr>
          <w:rFonts w:hint="eastAsia" w:ascii="宋体" w:hAnsi="宋体" w:cs="宋体"/>
          <w:color w:val="000000" w:themeColor="text1"/>
          <w:kern w:val="0"/>
          <w:sz w:val="24"/>
          <w14:textFill>
            <w14:solidFill>
              <w14:schemeClr w14:val="tx1"/>
            </w14:solidFill>
          </w14:textFill>
        </w:rPr>
        <w:t>中标人确定后，招标人将通过学校招标网公示</w:t>
      </w:r>
      <w:r>
        <w:rPr>
          <w:rFonts w:ascii="宋体" w:hAnsi="宋体" w:cs="宋体"/>
          <w:color w:val="000000" w:themeColor="text1"/>
          <w:kern w:val="0"/>
          <w:sz w:val="24"/>
          <w14:textFill>
            <w14:solidFill>
              <w14:schemeClr w14:val="tx1"/>
            </w14:solidFill>
          </w14:textFill>
        </w:rPr>
        <w:t>1</w:t>
      </w:r>
      <w:r>
        <w:rPr>
          <w:rFonts w:hint="eastAsia" w:ascii="宋体" w:hAnsi="宋体" w:cs="宋体"/>
          <w:color w:val="000000" w:themeColor="text1"/>
          <w:kern w:val="0"/>
          <w:sz w:val="24"/>
          <w14:textFill>
            <w14:solidFill>
              <w14:schemeClr w14:val="tx1"/>
            </w14:solidFill>
          </w14:textFill>
        </w:rPr>
        <w:t>天，公示期满无异议，中标人应在</w:t>
      </w:r>
      <w:r>
        <w:rPr>
          <w:rFonts w:ascii="宋体" w:hAnsi="宋体" w:cs="宋体"/>
          <w:color w:val="000000" w:themeColor="text1"/>
          <w:kern w:val="0"/>
          <w:sz w:val="24"/>
          <w14:textFill>
            <w14:solidFill>
              <w14:schemeClr w14:val="tx1"/>
            </w14:solidFill>
          </w14:textFill>
        </w:rPr>
        <w:t>30</w:t>
      </w:r>
      <w:r>
        <w:rPr>
          <w:rFonts w:hint="eastAsia" w:ascii="宋体" w:hAnsi="宋体" w:cs="宋体"/>
          <w:color w:val="000000" w:themeColor="text1"/>
          <w:kern w:val="0"/>
          <w:sz w:val="24"/>
          <w14:textFill>
            <w14:solidFill>
              <w14:schemeClr w14:val="tx1"/>
            </w14:solidFill>
          </w14:textFill>
        </w:rPr>
        <w:t>日内与招标人签订采购合同，过期视为放弃中标。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7.2. </w:t>
      </w:r>
      <w:r>
        <w:rPr>
          <w:rFonts w:hint="eastAsia" w:ascii="宋体" w:hAnsi="宋体" w:cs="宋体"/>
          <w:color w:val="000000" w:themeColor="text1"/>
          <w:kern w:val="0"/>
          <w:sz w:val="24"/>
          <w14:textFill>
            <w14:solidFill>
              <w14:schemeClr w14:val="tx1"/>
            </w14:solidFill>
          </w14:textFill>
        </w:rPr>
        <w:t>本招标文件和中标人的投标文件包括中标人所做出的各种书面承诺将作为招标人与中标人双方签订合同的依据，并作为合同的附件与合同具有同等法律效力。</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7.3. </w:t>
      </w:r>
      <w:r>
        <w:rPr>
          <w:rFonts w:hint="eastAsia"/>
          <w:color w:val="000000" w:themeColor="text1"/>
          <w:sz w:val="24"/>
          <w14:textFill>
            <w14:solidFill>
              <w14:schemeClr w14:val="tx1"/>
            </w14:solidFill>
          </w14:textFill>
        </w:rPr>
        <w:t>如投标人中标后悔标，招标人将取消该投标人本次中标资格及今后两年内的投标资格。</w:t>
      </w:r>
    </w:p>
    <w:p>
      <w:pPr>
        <w:pStyle w:val="4"/>
        <w:rPr>
          <w:color w:val="000000" w:themeColor="text1"/>
          <w14:textFill>
            <w14:solidFill>
              <w14:schemeClr w14:val="tx1"/>
            </w14:solidFill>
          </w14:textFill>
        </w:rPr>
      </w:pPr>
      <w:bookmarkStart w:id="13" w:name="_Toc73516689"/>
      <w:r>
        <w:rPr>
          <w:rFonts w:hint="eastAsia"/>
          <w:color w:val="000000" w:themeColor="text1"/>
          <w14:textFill>
            <w14:solidFill>
              <w14:schemeClr w14:val="tx1"/>
            </w14:solidFill>
          </w14:textFill>
        </w:rPr>
        <w:t>八、其他</w:t>
      </w:r>
      <w:bookmarkEnd w:id="13"/>
    </w:p>
    <w:p>
      <w:pPr>
        <w:spacing w:line="360" w:lineRule="auto"/>
        <w:ind w:firstLine="482" w:firstLineChars="200"/>
        <w:rPr>
          <w:rFonts w:ascii="宋体"/>
          <w:b/>
          <w:color w:val="000000" w:themeColor="text1"/>
          <w:spacing w:val="4"/>
          <w:sz w:val="44"/>
          <w:szCs w:val="44"/>
          <w14:textFill>
            <w14:solidFill>
              <w14:schemeClr w14:val="tx1"/>
            </w14:solidFill>
          </w14:textFill>
        </w:rPr>
      </w:pPr>
      <w:r>
        <w:rPr>
          <w:rFonts w:hint="eastAsia" w:ascii="黑体" w:eastAsia="黑体"/>
          <w:b/>
          <w:color w:val="000000" w:themeColor="text1"/>
          <w:sz w:val="24"/>
          <w14:textFill>
            <w14:solidFill>
              <w14:schemeClr w14:val="tx1"/>
            </w14:solidFill>
          </w14:textFill>
        </w:rPr>
        <w:t>8</w:t>
      </w:r>
      <w:r>
        <w:rPr>
          <w:rFonts w:ascii="黑体" w:eastAsia="黑体"/>
          <w:b/>
          <w:color w:val="000000" w:themeColor="text1"/>
          <w:sz w:val="24"/>
          <w14:textFill>
            <w14:solidFill>
              <w14:schemeClr w14:val="tx1"/>
            </w14:solidFill>
          </w14:textFill>
        </w:rPr>
        <w:t xml:space="preserve">.1. </w:t>
      </w:r>
      <w:r>
        <w:rPr>
          <w:rFonts w:hint="eastAsia" w:ascii="黑体" w:eastAsia="黑体"/>
          <w:b/>
          <w:color w:val="000000" w:themeColor="text1"/>
          <w:sz w:val="24"/>
          <w14:textFill>
            <w14:solidFill>
              <w14:schemeClr w14:val="tx1"/>
            </w14:solidFill>
          </w14:textFill>
        </w:rPr>
        <w:t>投标人无论中标与否，招标人不承担投标人参加投标的任何费用。</w:t>
      </w:r>
    </w:p>
    <w:p>
      <w:pPr>
        <w:pStyle w:val="3"/>
        <w:jc w:val="center"/>
        <w:rPr>
          <w:color w:val="000000" w:themeColor="text1"/>
          <w14:textFill>
            <w14:solidFill>
              <w14:schemeClr w14:val="tx1"/>
            </w14:solidFill>
          </w14:textFill>
        </w:rPr>
      </w:pPr>
      <w:bookmarkStart w:id="14" w:name="_Toc73516690"/>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3"/>
        <w:jc w:val="center"/>
        <w:rPr>
          <w:color w:val="000000" w:themeColor="text1"/>
          <w14:textFill>
            <w14:solidFill>
              <w14:schemeClr w14:val="tx1"/>
            </w14:solidFill>
          </w14:textFill>
        </w:rPr>
      </w:pPr>
    </w:p>
    <w:p>
      <w:pPr>
        <w:pStyle w:val="3"/>
        <w:jc w:val="center"/>
        <w:rPr>
          <w:color w:val="000000" w:themeColor="text1"/>
          <w14:textFill>
            <w14:solidFill>
              <w14:schemeClr w14:val="tx1"/>
            </w14:solidFill>
          </w14:textFill>
        </w:rPr>
      </w:pPr>
    </w:p>
    <w:p>
      <w:pPr>
        <w:pStyle w:val="3"/>
        <w:jc w:val="center"/>
        <w:rPr>
          <w:color w:val="000000" w:themeColor="text1"/>
          <w14:textFill>
            <w14:solidFill>
              <w14:schemeClr w14:val="tx1"/>
            </w14:solidFill>
          </w14:textFill>
        </w:rPr>
      </w:pPr>
    </w:p>
    <w:p/>
    <w:p>
      <w:pPr>
        <w:pStyle w:val="3"/>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第三部分招标货物要求及相关说明</w:t>
      </w:r>
      <w:bookmarkEnd w:id="14"/>
    </w:p>
    <w:p>
      <w:pPr>
        <w:rPr>
          <w:color w:val="000000" w:themeColor="text1"/>
          <w14:textFill>
            <w14:solidFill>
              <w14:schemeClr w14:val="tx1"/>
            </w14:solidFill>
          </w14:textFill>
        </w:rPr>
      </w:pPr>
    </w:p>
    <w:p>
      <w:pPr>
        <w:widowControl/>
        <w:spacing w:line="440" w:lineRule="exact"/>
        <w:ind w:firstLine="482" w:firstLineChars="200"/>
        <w:jc w:val="left"/>
        <w:rPr>
          <w:rFonts w:ascii="宋体" w:hAnsi="宋体" w:cs="宋体"/>
          <w:b/>
          <w:kern w:val="0"/>
          <w:sz w:val="24"/>
        </w:rPr>
      </w:pPr>
      <w:r>
        <w:rPr>
          <w:rFonts w:hint="eastAsia" w:ascii="宋体" w:hAnsi="宋体" w:cs="宋体"/>
          <w:b/>
          <w:kern w:val="0"/>
          <w:sz w:val="24"/>
        </w:rPr>
        <w:t>一、产品质量要求</w:t>
      </w:r>
    </w:p>
    <w:p>
      <w:pPr>
        <w:spacing w:line="440" w:lineRule="exact"/>
        <w:ind w:firstLine="480" w:firstLineChars="200"/>
        <w:rPr>
          <w:rFonts w:ascii="宋体" w:hAnsi="宋体" w:cs="宋体"/>
          <w:kern w:val="0"/>
          <w:sz w:val="24"/>
        </w:rPr>
      </w:pPr>
      <w:r>
        <w:rPr>
          <w:rFonts w:hint="eastAsia" w:ascii="宋体" w:hAnsi="宋体" w:cs="宋体"/>
          <w:kern w:val="0"/>
          <w:sz w:val="24"/>
        </w:rPr>
        <w:t>（一）干货</w:t>
      </w:r>
    </w:p>
    <w:p>
      <w:pPr>
        <w:spacing w:line="440" w:lineRule="exact"/>
        <w:ind w:firstLine="480" w:firstLineChars="200"/>
        <w:rPr>
          <w:rFonts w:ascii="宋体" w:hAnsi="宋体" w:cs="宋体"/>
          <w:kern w:val="0"/>
          <w:sz w:val="24"/>
        </w:rPr>
      </w:pPr>
      <w:r>
        <w:rPr>
          <w:rFonts w:hint="eastAsia" w:ascii="宋体" w:hAnsi="宋体" w:cs="宋体"/>
          <w:kern w:val="0"/>
          <w:sz w:val="24"/>
        </w:rPr>
        <w:t>1.干货制品符合国家产品所有要求，</w:t>
      </w:r>
      <w:r>
        <w:rPr>
          <w:rFonts w:hint="eastAsia" w:ascii="宋体" w:hAnsi="宋体" w:cs="宋体"/>
          <w:color w:val="auto"/>
          <w:kern w:val="0"/>
          <w:sz w:val="24"/>
        </w:rPr>
        <w:t>感光好、外观好</w:t>
      </w:r>
      <w:r>
        <w:rPr>
          <w:rFonts w:hint="eastAsia" w:ascii="宋体" w:hAnsi="宋体" w:cs="宋体"/>
          <w:kern w:val="0"/>
          <w:sz w:val="24"/>
        </w:rPr>
        <w:t>；</w:t>
      </w:r>
    </w:p>
    <w:p>
      <w:pPr>
        <w:spacing w:line="440" w:lineRule="exact"/>
        <w:ind w:firstLine="480" w:firstLineChars="200"/>
        <w:rPr>
          <w:rFonts w:ascii="宋体" w:hAnsi="宋体" w:cs="宋体"/>
          <w:kern w:val="0"/>
          <w:sz w:val="24"/>
        </w:rPr>
      </w:pPr>
      <w:r>
        <w:rPr>
          <w:rFonts w:hint="eastAsia" w:ascii="宋体" w:hAnsi="宋体" w:cs="宋体"/>
          <w:kern w:val="0"/>
          <w:sz w:val="24"/>
        </w:rPr>
        <w:t>2.呈干燥状，具有该种香料植物所特有的色、香、味，没有不纯正的气味和味道，无发霉味或其他异味；</w:t>
      </w:r>
    </w:p>
    <w:p>
      <w:pPr>
        <w:ind w:firstLine="480" w:firstLineChars="200"/>
        <w:rPr>
          <w:rFonts w:ascii="宋体" w:hAnsi="宋体" w:cs="宋体"/>
          <w:kern w:val="0"/>
          <w:sz w:val="24"/>
        </w:rPr>
      </w:pPr>
      <w:r>
        <w:rPr>
          <w:rFonts w:hint="eastAsia" w:ascii="宋体" w:hAnsi="宋体" w:cs="宋体"/>
          <w:kern w:val="0"/>
          <w:sz w:val="24"/>
        </w:rPr>
        <w:t>3.具有固有色泽和香味，无污染、色泽、气味、口味正常，无异味或霉味（霉变），无杂质异物等；</w:t>
      </w:r>
    </w:p>
    <w:p>
      <w:pPr>
        <w:ind w:firstLine="480" w:firstLineChars="200"/>
        <w:rPr>
          <w:rFonts w:hint="eastAsia" w:ascii="宋体" w:hAnsi="宋体" w:eastAsia="宋体"/>
          <w:color w:val="000000"/>
          <w:sz w:val="24"/>
          <w:lang w:eastAsia="zh-CN"/>
        </w:rPr>
      </w:pPr>
      <w:r>
        <w:rPr>
          <w:rFonts w:ascii="宋体" w:hAnsi="宋体"/>
          <w:color w:val="000000"/>
          <w:sz w:val="24"/>
        </w:rPr>
        <w:t>4.所供每批次产品必须出具产品合格证</w:t>
      </w:r>
      <w:r>
        <w:rPr>
          <w:rFonts w:hint="eastAsia" w:ascii="宋体" w:hAnsi="宋体"/>
          <w:color w:val="000000"/>
          <w:sz w:val="24"/>
          <w:lang w:eastAsia="zh-CN"/>
        </w:rPr>
        <w:t>；</w:t>
      </w:r>
    </w:p>
    <w:p>
      <w:pPr>
        <w:spacing w:line="440" w:lineRule="exact"/>
        <w:ind w:firstLine="480" w:firstLineChars="200"/>
        <w:rPr>
          <w:rFonts w:hint="eastAsia" w:ascii="宋体" w:hAnsi="宋体" w:eastAsia="宋体"/>
          <w:sz w:val="18"/>
          <w:szCs w:val="18"/>
          <w:lang w:eastAsia="zh-CN"/>
        </w:rPr>
      </w:pPr>
      <w:r>
        <w:rPr>
          <w:rFonts w:hint="eastAsia" w:ascii="宋体" w:hAnsi="宋体" w:cs="宋体"/>
          <w:kern w:val="0"/>
          <w:sz w:val="24"/>
        </w:rPr>
        <w:t>5.</w:t>
      </w:r>
      <w:r>
        <w:rPr>
          <w:rFonts w:hint="eastAsia" w:ascii="宋体" w:hAnsi="宋体"/>
          <w:sz w:val="24"/>
        </w:rPr>
        <w:t>供货时剩余保质期不少于三分之二</w:t>
      </w:r>
      <w:r>
        <w:rPr>
          <w:rFonts w:hint="eastAsia" w:ascii="宋体" w:hAnsi="宋体"/>
          <w:sz w:val="24"/>
          <w:lang w:eastAsia="zh-CN"/>
        </w:rPr>
        <w:t>；</w:t>
      </w:r>
    </w:p>
    <w:p>
      <w:pPr>
        <w:spacing w:line="440" w:lineRule="exact"/>
        <w:ind w:firstLine="480" w:firstLineChars="200"/>
        <w:rPr>
          <w:rFonts w:hint="eastAsia" w:ascii="宋体" w:hAnsi="宋体"/>
          <w:sz w:val="24"/>
        </w:rPr>
      </w:pPr>
      <w:r>
        <w:rPr>
          <w:rFonts w:hint="eastAsia" w:ascii="宋体" w:hAnsi="宋体"/>
          <w:sz w:val="24"/>
          <w:lang w:val="en-US" w:eastAsia="zh-CN"/>
        </w:rPr>
        <w:t>6</w:t>
      </w:r>
      <w:r>
        <w:rPr>
          <w:rFonts w:hint="eastAsia" w:ascii="宋体" w:hAnsi="宋体"/>
          <w:sz w:val="24"/>
        </w:rPr>
        <w:t>.</w:t>
      </w:r>
      <w:r>
        <w:rPr>
          <w:rFonts w:hint="eastAsia" w:ascii="宋体" w:hAnsi="宋体"/>
          <w:sz w:val="24"/>
          <w:lang w:eastAsia="zh-CN"/>
        </w:rPr>
        <w:t>符合食品安全质量要求。</w:t>
      </w:r>
    </w:p>
    <w:p>
      <w:pPr>
        <w:spacing w:line="440" w:lineRule="exact"/>
        <w:ind w:firstLine="480" w:firstLineChars="200"/>
        <w:rPr>
          <w:rFonts w:ascii="宋体" w:hAnsi="宋体" w:cs="宋体"/>
          <w:kern w:val="0"/>
          <w:sz w:val="24"/>
        </w:rPr>
      </w:pPr>
      <w:r>
        <w:rPr>
          <w:rFonts w:hint="eastAsia" w:ascii="宋体" w:hAnsi="宋体" w:cs="宋体"/>
          <w:kern w:val="0"/>
          <w:sz w:val="24"/>
        </w:rPr>
        <w:t>（</w:t>
      </w:r>
      <w:r>
        <w:rPr>
          <w:rFonts w:hint="eastAsia" w:ascii="宋体" w:hAnsi="宋体" w:cs="宋体"/>
          <w:kern w:val="0"/>
          <w:sz w:val="24"/>
          <w:lang w:eastAsia="zh-CN"/>
        </w:rPr>
        <w:t>二</w:t>
      </w:r>
      <w:r>
        <w:rPr>
          <w:rFonts w:hint="eastAsia" w:ascii="宋体" w:hAnsi="宋体" w:cs="宋体"/>
          <w:kern w:val="0"/>
          <w:sz w:val="24"/>
        </w:rPr>
        <w:t>）一次性用品</w:t>
      </w:r>
    </w:p>
    <w:p>
      <w:pPr>
        <w:spacing w:line="440" w:lineRule="exact"/>
        <w:ind w:firstLine="480" w:firstLineChars="200"/>
        <w:rPr>
          <w:rFonts w:ascii="宋体" w:hAnsi="宋体" w:cs="宋体"/>
          <w:kern w:val="0"/>
          <w:sz w:val="24"/>
        </w:rPr>
      </w:pPr>
      <w:r>
        <w:rPr>
          <w:rFonts w:hint="eastAsia" w:ascii="宋体" w:hAnsi="宋体" w:cs="宋体"/>
          <w:kern w:val="0"/>
          <w:sz w:val="24"/>
        </w:rPr>
        <w:t>1.一次性用品必须符合国家产品要求；</w:t>
      </w:r>
    </w:p>
    <w:p>
      <w:pPr>
        <w:ind w:firstLine="480" w:firstLineChars="200"/>
        <w:rPr>
          <w:rFonts w:ascii="宋体" w:hAnsi="宋体" w:cs="宋体"/>
          <w:kern w:val="0"/>
          <w:sz w:val="24"/>
        </w:rPr>
      </w:pPr>
      <w:r>
        <w:rPr>
          <w:rFonts w:hint="eastAsia" w:ascii="宋体" w:hAnsi="宋体" w:cs="宋体"/>
          <w:kern w:val="0"/>
          <w:sz w:val="24"/>
        </w:rPr>
        <w:t>2.具有固有色泽和香味，无污染、色泽、气味、口味正常，无异味或霉味（霉变），无杂质异物等；</w:t>
      </w:r>
    </w:p>
    <w:p>
      <w:pPr>
        <w:ind w:firstLine="480" w:firstLineChars="200"/>
        <w:rPr>
          <w:rFonts w:hint="eastAsia" w:ascii="宋体" w:hAnsi="宋体" w:eastAsia="宋体" w:cs="宋体"/>
          <w:kern w:val="0"/>
          <w:sz w:val="24"/>
          <w:lang w:eastAsia="zh-CN"/>
        </w:rPr>
      </w:pPr>
      <w:r>
        <w:rPr>
          <w:rFonts w:ascii="宋体" w:hAnsi="宋体" w:cs="宋体"/>
          <w:kern w:val="0"/>
          <w:sz w:val="24"/>
        </w:rPr>
        <w:t>3.所供每批次产品必须出具产品合格证</w:t>
      </w:r>
      <w:r>
        <w:rPr>
          <w:rFonts w:hint="eastAsia" w:ascii="宋体" w:hAnsi="宋体" w:cs="宋体"/>
          <w:kern w:val="0"/>
          <w:sz w:val="24"/>
          <w:lang w:eastAsia="zh-CN"/>
        </w:rPr>
        <w:t>；</w:t>
      </w:r>
    </w:p>
    <w:p>
      <w:pPr>
        <w:spacing w:line="440" w:lineRule="exact"/>
        <w:ind w:firstLine="480" w:firstLineChars="200"/>
        <w:rPr>
          <w:rFonts w:hint="eastAsia" w:ascii="宋体" w:hAnsi="宋体" w:eastAsia="宋体" w:cs="宋体"/>
          <w:kern w:val="0"/>
          <w:sz w:val="24"/>
          <w:lang w:eastAsia="zh-CN"/>
        </w:rPr>
      </w:pPr>
      <w:r>
        <w:rPr>
          <w:rFonts w:hint="eastAsia" w:ascii="宋体" w:hAnsi="宋体" w:cs="宋体"/>
          <w:kern w:val="0"/>
          <w:sz w:val="24"/>
        </w:rPr>
        <w:t>4.</w:t>
      </w:r>
      <w:r>
        <w:rPr>
          <w:rFonts w:hint="eastAsia" w:ascii="宋体" w:hAnsi="宋体"/>
          <w:sz w:val="24"/>
        </w:rPr>
        <w:t>供货时剩余保质期不少于三分之二</w:t>
      </w:r>
      <w:r>
        <w:rPr>
          <w:rFonts w:hint="eastAsia" w:ascii="宋体" w:hAnsi="宋体"/>
          <w:sz w:val="24"/>
          <w:lang w:eastAsia="zh-CN"/>
        </w:rPr>
        <w:t>；</w:t>
      </w:r>
    </w:p>
    <w:p>
      <w:pPr>
        <w:spacing w:line="440" w:lineRule="exact"/>
        <w:ind w:firstLine="480" w:firstLineChars="200"/>
        <w:rPr>
          <w:rFonts w:hint="eastAsia" w:ascii="宋体" w:hAnsi="宋体"/>
          <w:sz w:val="24"/>
        </w:rPr>
      </w:pPr>
      <w:r>
        <w:rPr>
          <w:rFonts w:hint="eastAsia" w:ascii="宋体" w:hAnsi="宋体"/>
          <w:sz w:val="24"/>
          <w:lang w:val="en-US" w:eastAsia="zh-CN"/>
        </w:rPr>
        <w:t>5</w:t>
      </w:r>
      <w:r>
        <w:rPr>
          <w:rFonts w:hint="eastAsia" w:ascii="宋体" w:hAnsi="宋体"/>
          <w:sz w:val="24"/>
        </w:rPr>
        <w:t>.</w:t>
      </w:r>
      <w:r>
        <w:rPr>
          <w:rFonts w:hint="eastAsia" w:ascii="宋体" w:hAnsi="宋体"/>
          <w:sz w:val="24"/>
          <w:lang w:eastAsia="zh-CN"/>
        </w:rPr>
        <w:t>符合食品安全质量要求。</w:t>
      </w:r>
    </w:p>
    <w:p>
      <w:pPr>
        <w:spacing w:line="440" w:lineRule="exact"/>
        <w:ind w:firstLine="480" w:firstLineChars="200"/>
        <w:rPr>
          <w:rFonts w:ascii="宋体" w:hAnsi="宋体" w:cs="宋体"/>
          <w:kern w:val="0"/>
          <w:sz w:val="24"/>
        </w:rPr>
      </w:pPr>
      <w:r>
        <w:rPr>
          <w:rFonts w:hint="eastAsia" w:ascii="宋体" w:hAnsi="宋体" w:cs="宋体"/>
          <w:kern w:val="0"/>
          <w:sz w:val="24"/>
        </w:rPr>
        <w:t>（</w:t>
      </w:r>
      <w:r>
        <w:rPr>
          <w:rFonts w:hint="eastAsia" w:ascii="宋体" w:hAnsi="宋体" w:cs="宋体"/>
          <w:kern w:val="0"/>
          <w:sz w:val="24"/>
          <w:lang w:eastAsia="zh-CN"/>
        </w:rPr>
        <w:t>三</w:t>
      </w:r>
      <w:r>
        <w:rPr>
          <w:rFonts w:hint="eastAsia" w:ascii="宋体" w:hAnsi="宋体" w:cs="宋体"/>
          <w:kern w:val="0"/>
          <w:sz w:val="24"/>
        </w:rPr>
        <w:t>）奶制品</w:t>
      </w:r>
    </w:p>
    <w:p>
      <w:pPr>
        <w:spacing w:line="440" w:lineRule="exact"/>
        <w:ind w:firstLine="480" w:firstLineChars="200"/>
        <w:rPr>
          <w:rFonts w:ascii="宋体" w:hAnsi="宋体" w:cs="宋体"/>
          <w:kern w:val="0"/>
          <w:sz w:val="24"/>
        </w:rPr>
      </w:pPr>
      <w:r>
        <w:rPr>
          <w:rFonts w:hint="eastAsia" w:ascii="宋体" w:hAnsi="宋体" w:cs="宋体"/>
          <w:kern w:val="0"/>
          <w:sz w:val="24"/>
        </w:rPr>
        <w:t>1.奶制品必须符合国家最新检测标准，具有“SC”食品生产许可证编号（每一批次必须提供有效的质检报告）；</w:t>
      </w:r>
    </w:p>
    <w:p>
      <w:pPr>
        <w:spacing w:line="440" w:lineRule="exact"/>
        <w:ind w:firstLine="480" w:firstLineChars="200"/>
        <w:rPr>
          <w:rFonts w:ascii="宋体" w:hAnsi="宋体" w:cs="宋体"/>
          <w:kern w:val="0"/>
          <w:sz w:val="24"/>
        </w:rPr>
      </w:pPr>
      <w:r>
        <w:rPr>
          <w:rFonts w:hint="eastAsia" w:ascii="宋体" w:hAnsi="宋体" w:cs="宋体"/>
          <w:kern w:val="0"/>
          <w:sz w:val="24"/>
        </w:rPr>
        <w:t>2.具有固有色泽和香味，无污染、色泽、气味、口味正常，无异味或霉味（霉变），无杂质异物等；</w:t>
      </w:r>
    </w:p>
    <w:p>
      <w:pPr>
        <w:spacing w:line="440" w:lineRule="exact"/>
        <w:ind w:firstLine="480" w:firstLineChars="200"/>
        <w:rPr>
          <w:rFonts w:hint="eastAsia" w:ascii="宋体" w:hAnsi="宋体" w:eastAsia="宋体" w:cs="宋体"/>
          <w:kern w:val="0"/>
          <w:sz w:val="24"/>
          <w:lang w:eastAsia="zh-CN"/>
        </w:rPr>
      </w:pPr>
      <w:r>
        <w:rPr>
          <w:rFonts w:ascii="宋体" w:hAnsi="宋体" w:cs="宋体"/>
          <w:kern w:val="0"/>
          <w:sz w:val="24"/>
        </w:rPr>
        <w:t>3.所供每批次产品必须出具产品合格证</w:t>
      </w:r>
      <w:r>
        <w:rPr>
          <w:rFonts w:hint="eastAsia" w:ascii="宋体" w:hAnsi="宋体" w:cs="宋体"/>
          <w:kern w:val="0"/>
          <w:sz w:val="24"/>
          <w:lang w:eastAsia="zh-CN"/>
        </w:rPr>
        <w:t>；</w:t>
      </w:r>
    </w:p>
    <w:p>
      <w:pPr>
        <w:widowControl/>
        <w:spacing w:line="440" w:lineRule="exact"/>
        <w:ind w:firstLine="480" w:firstLineChars="200"/>
        <w:jc w:val="left"/>
        <w:rPr>
          <w:rFonts w:hint="eastAsia" w:ascii="宋体" w:hAnsi="宋体"/>
          <w:sz w:val="24"/>
        </w:rPr>
      </w:pPr>
      <w:r>
        <w:rPr>
          <w:rFonts w:hint="eastAsia" w:ascii="宋体" w:hAnsi="宋体"/>
          <w:sz w:val="24"/>
          <w:lang w:val="en-US" w:eastAsia="zh-CN"/>
        </w:rPr>
        <w:t>4</w:t>
      </w:r>
      <w:r>
        <w:rPr>
          <w:rFonts w:hint="eastAsia" w:ascii="宋体" w:hAnsi="宋体"/>
          <w:sz w:val="24"/>
        </w:rPr>
        <w:t>.</w:t>
      </w:r>
      <w:r>
        <w:rPr>
          <w:rFonts w:hint="eastAsia" w:ascii="宋体" w:hAnsi="宋体"/>
          <w:sz w:val="24"/>
          <w:lang w:eastAsia="zh-CN"/>
        </w:rPr>
        <w:t>符合食品安全质量要求。</w:t>
      </w:r>
    </w:p>
    <w:p>
      <w:pPr>
        <w:widowControl/>
        <w:spacing w:line="440" w:lineRule="exact"/>
        <w:ind w:firstLine="482" w:firstLineChars="200"/>
        <w:jc w:val="left"/>
        <w:rPr>
          <w:rFonts w:ascii="宋体" w:hAnsi="宋体" w:cs="宋体"/>
          <w:b/>
          <w:kern w:val="0"/>
          <w:sz w:val="24"/>
        </w:rPr>
      </w:pPr>
      <w:r>
        <w:rPr>
          <w:rFonts w:hint="eastAsia" w:ascii="宋体" w:hAnsi="宋体" w:cs="宋体"/>
          <w:b/>
          <w:kern w:val="0"/>
          <w:sz w:val="24"/>
        </w:rPr>
        <w:t>二、有关说明</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1.投标人在递交投标书的同时，须提供相关投标样品，一次性用品提供1份/品种，干货</w:t>
      </w:r>
      <w:r>
        <w:rPr>
          <w:rFonts w:hint="eastAsia" w:ascii="宋体" w:hAnsi="宋体" w:cs="宋体"/>
          <w:kern w:val="0"/>
          <w:sz w:val="24"/>
          <w:lang w:eastAsia="zh-CN"/>
        </w:rPr>
        <w:t>提供</w:t>
      </w:r>
      <w:r>
        <w:rPr>
          <w:rFonts w:hint="eastAsia" w:ascii="宋体" w:hAnsi="宋体" w:cs="宋体"/>
          <w:kern w:val="0"/>
          <w:sz w:val="24"/>
          <w:lang w:val="en-US" w:eastAsia="zh-CN"/>
        </w:rPr>
        <w:t>150克/品种</w:t>
      </w:r>
      <w:r>
        <w:rPr>
          <w:rFonts w:hint="eastAsia" w:ascii="宋体" w:hAnsi="宋体" w:cs="宋体"/>
          <w:kern w:val="0"/>
          <w:sz w:val="24"/>
        </w:rPr>
        <w:t>，奶制品1份/品种。中标后由采购人封存，作为采购货物验收的标准</w:t>
      </w:r>
      <w:r>
        <w:rPr>
          <w:rFonts w:hint="eastAsia" w:ascii="宋体" w:hAnsi="宋体" w:cs="宋体"/>
          <w:kern w:val="0"/>
          <w:sz w:val="24"/>
          <w:lang w:eastAsia="zh-CN"/>
        </w:rPr>
        <w:t>，</w:t>
      </w:r>
      <w:bookmarkStart w:id="32" w:name="_GoBack"/>
      <w:bookmarkEnd w:id="32"/>
      <w:r>
        <w:rPr>
          <w:rFonts w:hint="eastAsia"/>
          <w:sz w:val="24"/>
          <w:lang w:eastAsia="zh-CN"/>
        </w:rPr>
        <w:t>未中标单位样品当场退回</w:t>
      </w:r>
      <w:r>
        <w:rPr>
          <w:rFonts w:hint="eastAsia"/>
          <w:sz w:val="24"/>
        </w:rPr>
        <w:t>。</w:t>
      </w:r>
    </w:p>
    <w:p>
      <w:pPr>
        <w:spacing w:line="380" w:lineRule="exact"/>
        <w:ind w:firstLine="480" w:firstLineChars="200"/>
        <w:rPr>
          <w:rFonts w:ascii="宋体" w:hAnsi="宋体" w:cs="宋体"/>
          <w:kern w:val="0"/>
          <w:sz w:val="24"/>
        </w:rPr>
      </w:pPr>
      <w:r>
        <w:rPr>
          <w:rFonts w:hint="eastAsia" w:ascii="宋体" w:hAnsi="宋体" w:cs="宋体"/>
          <w:kern w:val="0"/>
          <w:sz w:val="24"/>
        </w:rPr>
        <w:t>2.</w:t>
      </w:r>
      <w:r>
        <w:rPr>
          <w:rFonts w:hint="eastAsia" w:ascii="宋体" w:hAnsi="宋体" w:cs="宋体"/>
          <w:b/>
          <w:bCs/>
          <w:kern w:val="0"/>
          <w:sz w:val="24"/>
        </w:rPr>
        <w:t>本次投标报价为一次性报价</w:t>
      </w:r>
      <w:r>
        <w:rPr>
          <w:rFonts w:hint="eastAsia" w:ascii="宋体" w:hAnsi="宋体" w:cs="宋体"/>
          <w:kern w:val="0"/>
          <w:sz w:val="24"/>
        </w:rPr>
        <w:t>，</w:t>
      </w:r>
      <w:r>
        <w:rPr>
          <w:rFonts w:hint="eastAsia" w:ascii="宋体" w:hAnsi="宋体" w:cs="宋体"/>
          <w:b/>
          <w:bCs/>
          <w:sz w:val="24"/>
        </w:rPr>
        <w:t>各投标人应充分考虑市场行情，原材料价格波动，谨慎报价。</w:t>
      </w:r>
      <w:r>
        <w:rPr>
          <w:rFonts w:hint="eastAsia" w:ascii="宋体" w:hAnsi="宋体" w:cs="宋体"/>
          <w:kern w:val="0"/>
          <w:sz w:val="24"/>
        </w:rPr>
        <w:t>投标报价包括成本、包装、运输、上下力、保险、利润、税金、政策性规费以及所有风险。</w:t>
      </w:r>
      <w:r>
        <w:rPr>
          <w:rFonts w:hint="eastAsia" w:ascii="宋体" w:hAnsi="宋体" w:cs="宋体"/>
          <w:sz w:val="24"/>
        </w:rPr>
        <w:t>在供货期限内，当招标单品种价格市场平均价与该单品种统一结算单价相比下浮5%及以上，即刻启动同步价格下浮调整机制。</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3.供货周期：20</w:t>
      </w:r>
      <w:r>
        <w:rPr>
          <w:rFonts w:ascii="宋体" w:hAnsi="宋体" w:cs="宋体"/>
          <w:kern w:val="0"/>
          <w:sz w:val="24"/>
        </w:rPr>
        <w:t>2</w:t>
      </w:r>
      <w:r>
        <w:rPr>
          <w:rFonts w:hint="eastAsia" w:ascii="宋体" w:hAnsi="宋体" w:cs="宋体"/>
          <w:kern w:val="0"/>
          <w:sz w:val="24"/>
        </w:rPr>
        <w:t>2年</w:t>
      </w:r>
      <w:r>
        <w:rPr>
          <w:rFonts w:ascii="宋体" w:hAnsi="宋体" w:cs="宋体"/>
          <w:kern w:val="0"/>
          <w:sz w:val="24"/>
        </w:rPr>
        <w:t>8</w:t>
      </w:r>
      <w:r>
        <w:rPr>
          <w:rFonts w:hint="eastAsia" w:ascii="宋体" w:hAnsi="宋体" w:cs="宋体"/>
          <w:kern w:val="0"/>
          <w:sz w:val="24"/>
        </w:rPr>
        <w:t>月26日-2023年2月25日。</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4.送货时间：根据</w:t>
      </w:r>
      <w:r>
        <w:rPr>
          <w:rFonts w:hint="eastAsia" w:ascii="宋体" w:hAnsi="宋体" w:cs="宋体"/>
          <w:sz w:val="24"/>
        </w:rPr>
        <w:t>南通大学后勤保障部采供系统每天下午四点生成第二日的供货订单，</w:t>
      </w:r>
      <w:r>
        <w:rPr>
          <w:rFonts w:hint="eastAsia" w:ascii="宋体" w:hAnsi="宋体" w:cs="宋体"/>
          <w:kern w:val="0"/>
          <w:sz w:val="24"/>
        </w:rPr>
        <w:t>次日早上7点30分前送至各校区食堂。干货接到订单后48小时内送至各校区食堂。</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5.送货地点：启秀校区食堂（启秀路19号）、钟秀校区食堂（外环东路999号）、啬园校区食堂（啬园路9号）、启东校区食堂（启东高新区南海路1号）。</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6.凡本次中标的商家在签订合同前按规定缴纳合同履约保证金2万元/标段；合同期满，无任何违约、纠纷等，则无息退还。</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7.投标品种应与经营范围相符。</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8.投标人必须保证满足“投标主体、合同主体、送货主体与货款结算主体”四个一致的要求，不得违背。</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9.所供货物经饮服中心各校区食堂验收、使用确认无质量问题后，按照供货周期（每月的26日至次月的25日为一个供货周期）开具正式发票，经过学校报销手续后，按照合同约定方式结算。</w:t>
      </w:r>
    </w:p>
    <w:p>
      <w:pPr>
        <w:widowControl/>
        <w:spacing w:line="440" w:lineRule="exact"/>
        <w:ind w:firstLine="480" w:firstLineChars="200"/>
        <w:jc w:val="left"/>
        <w:rPr>
          <w:b/>
          <w:sz w:val="24"/>
        </w:rPr>
      </w:pPr>
      <w:r>
        <w:rPr>
          <w:rFonts w:hint="eastAsia" w:ascii="宋体" w:hAnsi="宋体" w:cs="宋体"/>
          <w:kern w:val="0"/>
          <w:sz w:val="24"/>
        </w:rPr>
        <w:t>10</w:t>
      </w:r>
      <w:r>
        <w:rPr>
          <w:rFonts w:ascii="宋体" w:hAnsi="宋体" w:cs="宋体"/>
          <w:kern w:val="0"/>
          <w:sz w:val="24"/>
        </w:rPr>
        <w:t>.</w:t>
      </w:r>
      <w:r>
        <w:rPr>
          <w:rFonts w:hint="eastAsia"/>
          <w:b/>
          <w:sz w:val="24"/>
        </w:rPr>
        <w:t>按照</w:t>
      </w:r>
      <w:r>
        <w:rPr>
          <w:b/>
          <w:sz w:val="24"/>
        </w:rPr>
        <w:t>疫情防控要求，</w:t>
      </w:r>
      <w:r>
        <w:rPr>
          <w:rFonts w:hint="eastAsia"/>
          <w:b/>
          <w:sz w:val="24"/>
        </w:rPr>
        <w:t>中标</w:t>
      </w:r>
      <w:r>
        <w:rPr>
          <w:b/>
          <w:sz w:val="24"/>
        </w:rPr>
        <w:t>单位</w:t>
      </w:r>
      <w:r>
        <w:rPr>
          <w:rFonts w:hint="eastAsia"/>
          <w:b/>
          <w:sz w:val="24"/>
        </w:rPr>
        <w:t>所有</w:t>
      </w:r>
      <w:r>
        <w:rPr>
          <w:b/>
          <w:sz w:val="24"/>
        </w:rPr>
        <w:t>进校员工须完成疫苗接种</w:t>
      </w:r>
      <w:r>
        <w:rPr>
          <w:rFonts w:hint="eastAsia"/>
          <w:b/>
          <w:sz w:val="24"/>
        </w:rPr>
        <w:t>全过程</w:t>
      </w:r>
      <w:r>
        <w:rPr>
          <w:b/>
          <w:sz w:val="24"/>
        </w:rPr>
        <w:t>，</w:t>
      </w:r>
      <w:r>
        <w:rPr>
          <w:rFonts w:hint="eastAsia"/>
          <w:b/>
          <w:sz w:val="24"/>
        </w:rPr>
        <w:t>未</w:t>
      </w:r>
      <w:r>
        <w:rPr>
          <w:b/>
          <w:sz w:val="24"/>
        </w:rPr>
        <w:t>完成</w:t>
      </w:r>
      <w:r>
        <w:rPr>
          <w:rFonts w:hint="eastAsia"/>
          <w:b/>
          <w:sz w:val="24"/>
        </w:rPr>
        <w:t>接种</w:t>
      </w:r>
      <w:r>
        <w:rPr>
          <w:b/>
          <w:sz w:val="24"/>
        </w:rPr>
        <w:t>的人员一律不得进校</w:t>
      </w:r>
      <w:r>
        <w:rPr>
          <w:rFonts w:hint="eastAsia"/>
          <w:b/>
          <w:sz w:val="24"/>
        </w:rPr>
        <w:t>。</w:t>
      </w:r>
    </w:p>
    <w:p>
      <w:pPr>
        <w:spacing w:line="560" w:lineRule="exact"/>
        <w:ind w:firstLine="482" w:firstLineChars="200"/>
        <w:rPr>
          <w:rFonts w:ascii="黑体" w:hAnsi="黑体" w:eastAsia="黑体"/>
          <w:b/>
          <w:color w:val="000000" w:themeColor="text1"/>
          <w:sz w:val="24"/>
          <w14:textFill>
            <w14:solidFill>
              <w14:schemeClr w14:val="tx1"/>
            </w14:solidFill>
          </w14:textFill>
        </w:rPr>
        <w:sectPr>
          <w:footerReference r:id="rId5" w:type="first"/>
          <w:footerReference r:id="rId4" w:type="default"/>
          <w:pgSz w:w="11906" w:h="16838"/>
          <w:pgMar w:top="1440" w:right="1080" w:bottom="1440" w:left="1080" w:header="851" w:footer="992" w:gutter="0"/>
          <w:pgNumType w:start="1"/>
          <w:cols w:space="425" w:num="1"/>
          <w:docGrid w:type="lines" w:linePitch="312" w:charSpace="0"/>
        </w:sectPr>
      </w:pPr>
    </w:p>
    <w:p>
      <w:pPr>
        <w:pStyle w:val="3"/>
        <w:jc w:val="center"/>
        <w:rPr>
          <w:color w:val="000000" w:themeColor="text1"/>
          <w14:textFill>
            <w14:solidFill>
              <w14:schemeClr w14:val="tx1"/>
            </w14:solidFill>
          </w14:textFill>
        </w:rPr>
      </w:pPr>
      <w:bookmarkStart w:id="15" w:name="_Toc73516692"/>
      <w:r>
        <w:rPr>
          <w:rFonts w:hint="eastAsia"/>
          <w:color w:val="000000" w:themeColor="text1"/>
          <w14:textFill>
            <w14:solidFill>
              <w14:schemeClr w14:val="tx1"/>
            </w14:solidFill>
          </w14:textFill>
        </w:rPr>
        <w:t>第四部分合同主要条款</w:t>
      </w:r>
      <w:bookmarkEnd w:id="15"/>
    </w:p>
    <w:p>
      <w:pPr>
        <w:spacing w:line="420" w:lineRule="exact"/>
        <w:rPr>
          <w:rFonts w:ascii="宋体" w:hAnsi="宋体"/>
          <w:b/>
          <w:sz w:val="24"/>
        </w:rPr>
      </w:pPr>
      <w:bookmarkStart w:id="16" w:name="_Toc73516693"/>
      <w:r>
        <w:rPr>
          <w:rFonts w:hint="eastAsia" w:ascii="宋体" w:hAnsi="宋体"/>
          <w:b/>
          <w:sz w:val="24"/>
        </w:rPr>
        <w:t>一、供货周期</w:t>
      </w:r>
    </w:p>
    <w:p>
      <w:pPr>
        <w:spacing w:line="420" w:lineRule="exact"/>
        <w:ind w:firstLine="480" w:firstLineChars="200"/>
        <w:rPr>
          <w:rFonts w:ascii="宋体" w:hAnsi="宋体"/>
          <w:sz w:val="24"/>
        </w:rPr>
      </w:pPr>
      <w:r>
        <w:rPr>
          <w:rFonts w:hint="eastAsia" w:ascii="宋体" w:hAnsi="宋体"/>
          <w:sz w:val="24"/>
        </w:rPr>
        <w:t>本合同有效日期自20</w:t>
      </w:r>
      <w:r>
        <w:rPr>
          <w:rFonts w:ascii="宋体" w:hAnsi="宋体"/>
          <w:sz w:val="24"/>
        </w:rPr>
        <w:t>2</w:t>
      </w:r>
      <w:r>
        <w:rPr>
          <w:rFonts w:hint="eastAsia" w:ascii="宋体" w:hAnsi="宋体"/>
          <w:sz w:val="24"/>
        </w:rPr>
        <w:t>2年8月26日起至2023年2月25日止。</w:t>
      </w:r>
    </w:p>
    <w:p>
      <w:pPr>
        <w:spacing w:line="420" w:lineRule="exact"/>
        <w:rPr>
          <w:rFonts w:ascii="宋体" w:hAnsi="宋体"/>
          <w:b/>
          <w:sz w:val="24"/>
        </w:rPr>
      </w:pPr>
      <w:r>
        <w:rPr>
          <w:rFonts w:hint="eastAsia" w:ascii="宋体" w:hAnsi="宋体"/>
          <w:b/>
          <w:sz w:val="24"/>
        </w:rPr>
        <w:t>二、供货要求  　　</w:t>
      </w:r>
    </w:p>
    <w:p>
      <w:pPr>
        <w:spacing w:line="420" w:lineRule="exact"/>
        <w:ind w:firstLine="480" w:firstLineChars="200"/>
        <w:rPr>
          <w:rFonts w:ascii="宋体" w:hAnsi="宋体"/>
          <w:sz w:val="24"/>
        </w:rPr>
      </w:pPr>
      <w:r>
        <w:rPr>
          <w:rFonts w:hint="eastAsia" w:ascii="宋体" w:hAnsi="宋体"/>
          <w:sz w:val="24"/>
        </w:rPr>
        <w:t>1.乙方所提供的商品必须符合国家标准，不得低于招标公告中明确的质量要求。乙方对所提供产品的质量负责，并承担因质量问题而引起的一切法律后果，且赔偿甲方的所有损失。</w:t>
      </w:r>
    </w:p>
    <w:p>
      <w:pPr>
        <w:spacing w:line="420" w:lineRule="exact"/>
        <w:ind w:firstLine="480" w:firstLineChars="200"/>
        <w:rPr>
          <w:rFonts w:ascii="宋体" w:hAnsi="宋体"/>
          <w:sz w:val="24"/>
        </w:rPr>
      </w:pPr>
      <w:r>
        <w:rPr>
          <w:rFonts w:hint="eastAsia" w:ascii="宋体" w:hAnsi="宋体"/>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pPr>
        <w:spacing w:line="420" w:lineRule="exact"/>
        <w:ind w:firstLine="480" w:firstLineChars="200"/>
        <w:rPr>
          <w:rFonts w:ascii="宋体" w:hAnsi="宋体"/>
          <w:sz w:val="24"/>
        </w:rPr>
      </w:pPr>
      <w:r>
        <w:rPr>
          <w:rFonts w:hint="eastAsia" w:ascii="宋体" w:hAnsi="宋体"/>
          <w:sz w:val="24"/>
        </w:rPr>
        <w:t>3.乙方必须按国家有关规定就所供原料向甲方提供以下索证资料：</w:t>
      </w:r>
    </w:p>
    <w:p>
      <w:pPr>
        <w:spacing w:line="420" w:lineRule="exact"/>
        <w:rPr>
          <w:rFonts w:ascii="宋体" w:hAnsi="宋体"/>
          <w:sz w:val="24"/>
        </w:rPr>
      </w:pPr>
      <w:r>
        <w:rPr>
          <w:rFonts w:hint="eastAsia" w:ascii="宋体" w:hAnsi="宋体"/>
          <w:sz w:val="24"/>
        </w:rPr>
        <w:t xml:space="preserve">    a.相同批次产品的检验合格证或者化验单。</w:t>
      </w:r>
    </w:p>
    <w:p>
      <w:pPr>
        <w:spacing w:line="420" w:lineRule="exact"/>
        <w:rPr>
          <w:rFonts w:ascii="宋体" w:hAnsi="宋体"/>
          <w:sz w:val="24"/>
        </w:rPr>
      </w:pPr>
      <w:r>
        <w:rPr>
          <w:rFonts w:hint="eastAsia" w:ascii="宋体" w:hAnsi="宋体"/>
          <w:sz w:val="24"/>
        </w:rPr>
        <w:t xml:space="preserve">    b.货物的《质量检验报告》，提供产品在半年内由国家质量检测机构出具的“质量检验报告”，自检报告无效。</w:t>
      </w:r>
    </w:p>
    <w:p>
      <w:pPr>
        <w:spacing w:line="420" w:lineRule="exact"/>
        <w:ind w:firstLine="480" w:firstLineChars="200"/>
        <w:rPr>
          <w:rFonts w:ascii="宋体" w:hAnsi="宋体"/>
          <w:sz w:val="24"/>
        </w:rPr>
      </w:pPr>
      <w:r>
        <w:rPr>
          <w:rFonts w:hint="eastAsia" w:ascii="宋体" w:hAnsi="宋体"/>
          <w:sz w:val="24"/>
        </w:rPr>
        <w:t>4.产品包装上必须提供品牌、生产商、产地、SC标识，包装上必须有明确的生产日期、保质期。</w:t>
      </w:r>
    </w:p>
    <w:p>
      <w:pPr>
        <w:spacing w:line="420" w:lineRule="exact"/>
        <w:rPr>
          <w:rFonts w:ascii="宋体" w:hAnsi="宋体"/>
          <w:b/>
          <w:sz w:val="24"/>
        </w:rPr>
      </w:pPr>
      <w:r>
        <w:rPr>
          <w:rFonts w:hint="eastAsia" w:ascii="宋体" w:hAnsi="宋体"/>
          <w:sz w:val="24"/>
        </w:rPr>
        <w:t xml:space="preserve"> 　　</w:t>
      </w:r>
      <w:r>
        <w:rPr>
          <w:rFonts w:hint="eastAsia" w:ascii="宋体" w:hAnsi="宋体"/>
          <w:b/>
          <w:sz w:val="24"/>
        </w:rPr>
        <w:t>三、交货期限  　　</w:t>
      </w:r>
    </w:p>
    <w:p>
      <w:pPr>
        <w:spacing w:line="420" w:lineRule="exact"/>
        <w:ind w:firstLine="480" w:firstLineChars="200"/>
        <w:rPr>
          <w:rFonts w:ascii="宋体" w:hAnsi="宋体"/>
          <w:sz w:val="24"/>
        </w:rPr>
      </w:pPr>
      <w:r>
        <w:rPr>
          <w:rFonts w:ascii="宋体" w:hAnsi="宋体"/>
          <w:sz w:val="24"/>
        </w:rPr>
        <w:t>1</w:t>
      </w:r>
      <w:r>
        <w:rPr>
          <w:rFonts w:hint="eastAsia" w:ascii="宋体" w:hAnsi="宋体"/>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pPr>
        <w:spacing w:line="420" w:lineRule="exact"/>
        <w:rPr>
          <w:rFonts w:ascii="宋体" w:hAnsi="宋体"/>
          <w:sz w:val="24"/>
        </w:rPr>
      </w:pPr>
      <w:r>
        <w:rPr>
          <w:rFonts w:hint="eastAsia" w:ascii="宋体" w:hAnsi="宋体"/>
          <w:sz w:val="24"/>
        </w:rPr>
        <w:t xml:space="preserve">    </w:t>
      </w:r>
      <w:r>
        <w:rPr>
          <w:rFonts w:ascii="宋体" w:hAnsi="宋体"/>
          <w:sz w:val="24"/>
        </w:rPr>
        <w:t>2</w:t>
      </w:r>
      <w:r>
        <w:rPr>
          <w:rFonts w:hint="eastAsia" w:ascii="宋体" w:hAnsi="宋体"/>
          <w:sz w:val="24"/>
        </w:rPr>
        <w:t>.乙方送货的延缓时间在15分钟内不视为违约。</w:t>
      </w:r>
    </w:p>
    <w:p>
      <w:pPr>
        <w:spacing w:line="420" w:lineRule="exact"/>
        <w:rPr>
          <w:rFonts w:ascii="宋体" w:hAnsi="宋体"/>
          <w:sz w:val="24"/>
        </w:rPr>
      </w:pPr>
      <w:r>
        <w:rPr>
          <w:rFonts w:hint="eastAsia" w:ascii="宋体" w:hAnsi="宋体"/>
          <w:sz w:val="24"/>
        </w:rPr>
        <w:t xml:space="preserve">    </w:t>
      </w:r>
      <w:r>
        <w:rPr>
          <w:rFonts w:ascii="宋体" w:hAnsi="宋体"/>
          <w:sz w:val="24"/>
        </w:rPr>
        <w:t>3</w:t>
      </w:r>
      <w:r>
        <w:rPr>
          <w:rFonts w:hint="eastAsia" w:ascii="宋体" w:hAnsi="宋体"/>
          <w:sz w:val="24"/>
        </w:rPr>
        <w:t>.若因乙方的送货延误而给甲方带来的一切损失，将由乙方全部承担。  　　</w:t>
      </w:r>
    </w:p>
    <w:p>
      <w:pPr>
        <w:spacing w:line="420" w:lineRule="exact"/>
        <w:rPr>
          <w:rFonts w:ascii="宋体" w:hAnsi="宋体"/>
          <w:b/>
          <w:sz w:val="24"/>
        </w:rPr>
      </w:pPr>
      <w:r>
        <w:rPr>
          <w:rFonts w:hint="eastAsia" w:ascii="宋体" w:hAnsi="宋体"/>
          <w:b/>
          <w:sz w:val="24"/>
        </w:rPr>
        <w:t>四、付款方式  　　</w:t>
      </w:r>
    </w:p>
    <w:p>
      <w:pPr>
        <w:spacing w:line="420" w:lineRule="exact"/>
        <w:ind w:firstLine="480" w:firstLineChars="200"/>
        <w:rPr>
          <w:rFonts w:ascii="宋体" w:hAnsi="宋体"/>
          <w:sz w:val="24"/>
        </w:rPr>
      </w:pPr>
      <w:r>
        <w:rPr>
          <w:rFonts w:hint="eastAsia" w:ascii="宋体" w:hAnsi="宋体"/>
          <w:sz w:val="24"/>
        </w:rPr>
        <w:t>1.按月结算（每个自然月的26日至次月25日为一个结算周期）。结算周期内订单经学校核实无误后经报销程序结清。</w:t>
      </w:r>
    </w:p>
    <w:p>
      <w:pPr>
        <w:spacing w:line="420" w:lineRule="exact"/>
        <w:ind w:firstLine="480" w:firstLineChars="200"/>
        <w:rPr>
          <w:rFonts w:ascii="宋体" w:hAnsi="宋体"/>
          <w:sz w:val="24"/>
        </w:rPr>
      </w:pPr>
      <w:r>
        <w:rPr>
          <w:rFonts w:hint="eastAsia" w:ascii="宋体" w:hAnsi="宋体"/>
          <w:sz w:val="24"/>
        </w:rPr>
        <w:t>2.乙方在货款结算时，必须在次月5日前提供有效的本单位发票凭证。</w:t>
      </w:r>
    </w:p>
    <w:p>
      <w:pPr>
        <w:spacing w:line="420" w:lineRule="exact"/>
        <w:ind w:firstLine="480" w:firstLineChars="200"/>
        <w:rPr>
          <w:rFonts w:ascii="宋体" w:hAnsi="宋体"/>
          <w:sz w:val="24"/>
        </w:rPr>
      </w:pPr>
      <w:r>
        <w:rPr>
          <w:rFonts w:hint="eastAsia" w:ascii="宋体" w:hAnsi="宋体"/>
          <w:sz w:val="24"/>
        </w:rPr>
        <w:t>3.结算无误后，甲方通过银行转帐付款，甲方无特殊原因不得延期付款。涉及到甲方寒、暑假期间的付款时间，一律顺延到开学后通过银行转帐付款。</w:t>
      </w:r>
    </w:p>
    <w:p>
      <w:pPr>
        <w:pStyle w:val="3"/>
        <w:jc w:val="center"/>
        <w:rPr>
          <w:rFonts w:ascii="宋体"/>
          <w:b w:val="0"/>
          <w:color w:val="000000" w:themeColor="text1"/>
          <w:spacing w:val="4"/>
          <w14:textFill>
            <w14:solidFill>
              <w14:schemeClr w14:val="tx1"/>
            </w14:solidFill>
          </w14:textFill>
        </w:rPr>
      </w:pPr>
      <w:r>
        <w:rPr>
          <w:rFonts w:hint="eastAsia"/>
          <w:color w:val="000000" w:themeColor="text1"/>
          <w14:textFill>
            <w14:solidFill>
              <w14:schemeClr w14:val="tx1"/>
            </w14:solidFill>
          </w14:textFill>
        </w:rPr>
        <w:t>第五部分附件</w:t>
      </w:r>
      <w:bookmarkEnd w:id="16"/>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：投标函</w:t>
      </w:r>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2</w:t>
      </w:r>
      <w:r>
        <w:rPr>
          <w:rFonts w:hint="eastAsia" w:ascii="宋体" w:hAnsi="宋体"/>
          <w:color w:val="000000" w:themeColor="text1"/>
          <w:spacing w:val="4"/>
          <w:sz w:val="24"/>
          <w14:textFill>
            <w14:solidFill>
              <w14:schemeClr w14:val="tx1"/>
            </w14:solidFill>
          </w14:textFill>
        </w:rPr>
        <w:t>：投标报价表</w:t>
      </w:r>
    </w:p>
    <w:p>
      <w:pPr>
        <w:spacing w:line="360" w:lineRule="auto"/>
        <w:rPr>
          <w:rFonts w:ascii="宋体" w:hAnsi="宋体"/>
          <w:sz w:val="24"/>
        </w:rPr>
      </w:pPr>
      <w:r>
        <w:rPr>
          <w:rFonts w:hint="eastAsia"/>
          <w:sz w:val="24"/>
        </w:rPr>
        <w:t>附件</w:t>
      </w:r>
      <w:r>
        <w:rPr>
          <w:rFonts w:hint="eastAsia" w:ascii="宋体" w:hAnsi="宋体"/>
          <w:sz w:val="24"/>
        </w:rPr>
        <w:t>3：法定代表人资格证明</w:t>
      </w:r>
    </w:p>
    <w:p>
      <w:pPr>
        <w:spacing w:line="360" w:lineRule="auto"/>
        <w:rPr>
          <w:rFonts w:ascii="宋体" w:hAnsi="宋体"/>
          <w:sz w:val="24"/>
        </w:rPr>
      </w:pPr>
      <w:r>
        <w:rPr>
          <w:rFonts w:hint="eastAsia" w:ascii="宋体" w:hAnsi="宋体"/>
          <w:sz w:val="24"/>
        </w:rPr>
        <w:t>附件4：法定代表人授权书</w:t>
      </w:r>
    </w:p>
    <w:p>
      <w:pPr>
        <w:spacing w:line="360" w:lineRule="auto"/>
        <w:rPr>
          <w:rFonts w:ascii="宋体" w:hAnsi="宋体" w:cs="宋体"/>
          <w:sz w:val="24"/>
        </w:rPr>
      </w:pPr>
      <w:r>
        <w:rPr>
          <w:rFonts w:hint="eastAsia" w:ascii="宋体" w:hAnsi="宋体" w:cs="宋体"/>
          <w:sz w:val="24"/>
        </w:rPr>
        <w:t>附件5：</w:t>
      </w:r>
      <w:r>
        <w:rPr>
          <w:rFonts w:hint="eastAsia" w:ascii="宋体" w:hAnsi="宋体" w:cs="宋体"/>
          <w:color w:val="000000" w:themeColor="text1"/>
          <w:sz w:val="24"/>
          <w14:textFill>
            <w14:solidFill>
              <w14:schemeClr w14:val="tx1"/>
            </w14:solidFill>
          </w14:textFill>
        </w:rPr>
        <w:t>无重大违法记录声明</w:t>
      </w:r>
    </w:p>
    <w:p>
      <w:pPr>
        <w:spacing w:line="360" w:lineRule="auto"/>
        <w:rPr>
          <w:rFonts w:ascii="宋体" w:hAnsi="宋体" w:cs="宋体"/>
          <w:sz w:val="24"/>
        </w:rPr>
      </w:pPr>
      <w:r>
        <w:rPr>
          <w:rFonts w:hint="eastAsia" w:ascii="宋体" w:hAnsi="宋体" w:cs="宋体"/>
          <w:sz w:val="24"/>
        </w:rPr>
        <w:t>附件6：</w:t>
      </w:r>
      <w:r>
        <w:rPr>
          <w:rFonts w:hint="eastAsia" w:ascii="宋体" w:hAnsi="宋体" w:cs="宋体"/>
          <w:color w:val="000000" w:themeColor="text1"/>
          <w:sz w:val="24"/>
          <w14:textFill>
            <w14:solidFill>
              <w14:schemeClr w14:val="tx1"/>
            </w14:solidFill>
          </w14:textFill>
        </w:rPr>
        <w:t>诚信承诺书</w:t>
      </w:r>
    </w:p>
    <w:p>
      <w:pPr>
        <w:spacing w:line="360" w:lineRule="auto"/>
        <w:jc w:val="left"/>
        <w:rPr>
          <w:rFonts w:cs="宋体"/>
          <w:color w:val="000000" w:themeColor="text1"/>
          <w:sz w:val="24"/>
          <w14:textFill>
            <w14:solidFill>
              <w14:schemeClr w14:val="tx1"/>
            </w14:solidFill>
          </w14:textFill>
        </w:rPr>
      </w:pPr>
      <w:r>
        <w:rPr>
          <w:rFonts w:hint="eastAsia" w:ascii="宋体" w:hAnsi="宋体"/>
          <w:sz w:val="24"/>
        </w:rPr>
        <w:t>附件7：食堂原料供货商周期竞价供货实施细则</w:t>
      </w:r>
    </w:p>
    <w:p>
      <w:pPr>
        <w:spacing w:line="360" w:lineRule="auto"/>
        <w:jc w:val="left"/>
        <w:rPr>
          <w:rFonts w:cs="宋体"/>
          <w:color w:val="000000" w:themeColor="text1"/>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color w:val="000000" w:themeColor="text1"/>
          <w:sz w:val="24"/>
          <w14:textFill>
            <w14:solidFill>
              <w14:schemeClr w14:val="tx1"/>
            </w14:solidFill>
          </w14:textFill>
        </w:rPr>
        <w:br w:type="page"/>
      </w:r>
      <w:bookmarkStart w:id="17" w:name="_Toc73516694"/>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1</w:t>
      </w:r>
      <w:r>
        <w:rPr>
          <w:rFonts w:hint="eastAsia"/>
          <w:b w:val="0"/>
          <w:color w:val="000000" w:themeColor="text1"/>
          <w:sz w:val="21"/>
          <w:szCs w:val="21"/>
          <w14:textFill>
            <w14:solidFill>
              <w14:schemeClr w14:val="tx1"/>
            </w14:solidFill>
          </w14:textFill>
        </w:rPr>
        <w:t>：投标函</w:t>
      </w:r>
      <w:bookmarkEnd w:id="17"/>
    </w:p>
    <w:p>
      <w:pPr>
        <w:jc w:val="center"/>
        <w:rPr>
          <w:rFonts w:ascii="宋体"/>
          <w:color w:val="000000" w:themeColor="text1"/>
          <w14:textFill>
            <w14:solidFill>
              <w14:schemeClr w14:val="tx1"/>
            </w14:solidFill>
          </w14:textFill>
        </w:rPr>
      </w:pPr>
      <w:r>
        <w:rPr>
          <w:rFonts w:hint="eastAsia" w:ascii="宋体" w:hAnsi="宋体"/>
          <w:b/>
          <w:bCs/>
          <w:color w:val="000000" w:themeColor="text1"/>
          <w:sz w:val="44"/>
          <w14:textFill>
            <w14:solidFill>
              <w14:schemeClr w14:val="tx1"/>
            </w14:solidFill>
          </w14:textFill>
        </w:rPr>
        <w:t>投标函</w:t>
      </w:r>
    </w:p>
    <w:p>
      <w:pPr>
        <w:spacing w:line="360" w:lineRule="auto"/>
        <w:rPr>
          <w:color w:val="000000" w:themeColor="text1"/>
          <w:sz w:val="24"/>
          <w14:textFill>
            <w14:solidFill>
              <w14:schemeClr w14:val="tx1"/>
            </w14:solidFill>
          </w14:textFill>
        </w:rPr>
      </w:pP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南通大学招投标管理办公室：</w:t>
      </w:r>
    </w:p>
    <w:p>
      <w:pPr>
        <w:spacing w:line="360" w:lineRule="auto"/>
        <w:ind w:left="1" w:firstLine="564" w:firstLineChars="235"/>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我方经仔细阅读研究项目招标文件（项目编号），已完全了解招标文件中的所有条款及要求，决定参加投标，同时做出如下承诺：</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、我公司与本招标项目及该项目相关人员之间均不存在可能影响招标公正性的任何利害关系。</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、愿按招标文件的要求提供货物和服务，投标货物及服务的投标总价为：</w:t>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（小写）</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，（大写）</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、接受招标文件的所有条款、条件和</w:t>
      </w:r>
      <w:r>
        <w:rPr>
          <w:rFonts w:hint="eastAsia" w:ascii="宋体" w:hAnsi="宋体"/>
          <w:bCs/>
          <w:color w:val="000000" w:themeColor="text1"/>
          <w:sz w:val="24"/>
          <w14:textFill>
            <w14:solidFill>
              <w14:schemeClr w14:val="tx1"/>
            </w14:solidFill>
          </w14:textFill>
        </w:rPr>
        <w:t>规定</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放弃对招标文件提出质疑的权利。</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、同意按照招标文件的要求提供所有资料、数据或信息。</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认可</w:t>
      </w:r>
      <w:r>
        <w:rPr>
          <w:rFonts w:hint="eastAsia"/>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、我方如中标，将保证遵守招标文件对投标人的所有要求和规定，履行自己在投标文件中承诺的全部责任和义务。</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、本投标文件的有效期为投标截止日后</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天内，如我方中标，有效期将延至合同有效期终止日为止。</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、与本次招投标有关的事宜请按以下信息联系：</w:t>
      </w:r>
    </w:p>
    <w:tbl>
      <w:tblPr>
        <w:tblStyle w:val="27"/>
        <w:tblW w:w="0" w:type="auto"/>
        <w:jc w:val="center"/>
        <w:tblLayout w:type="autofit"/>
        <w:tblCellMar>
          <w:top w:w="0" w:type="dxa"/>
          <w:left w:w="108" w:type="dxa"/>
          <w:bottom w:w="0" w:type="dxa"/>
          <w:right w:w="108" w:type="dxa"/>
        </w:tblCellMar>
      </w:tblPr>
      <w:tblGrid>
        <w:gridCol w:w="2376"/>
        <w:gridCol w:w="4678"/>
      </w:tblGrid>
      <w:tr>
        <w:tblPrEx>
          <w:tblCellMar>
            <w:top w:w="0" w:type="dxa"/>
            <w:left w:w="108" w:type="dxa"/>
            <w:bottom w:w="0" w:type="dxa"/>
            <w:right w:w="108" w:type="dxa"/>
          </w:tblCellMar>
        </w:tblPrEx>
        <w:trPr>
          <w:trHeight w:val="587" w:hRule="atLeast"/>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投标人（公章）：</w:t>
            </w:r>
          </w:p>
        </w:tc>
        <w:tc>
          <w:tcPr>
            <w:tcW w:w="4678" w:type="dxa"/>
            <w:tcBorders>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授权代表（签名）：</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手机：</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ascii="Adobe 黑体 Std R" w:hAnsi="Adobe 黑体 Std R" w:eastAsia="Adobe 黑体 Std R"/>
                <w:color w:val="000000" w:themeColor="text1"/>
                <w:sz w:val="24"/>
                <w14:textFill>
                  <w14:solidFill>
                    <w14:schemeClr w14:val="tx1"/>
                  </w14:solidFill>
                </w14:textFill>
              </w:rPr>
              <w:t>E  m  a  i  l</w:t>
            </w:r>
            <w:r>
              <w:rPr>
                <w:rFonts w:hint="eastAsia"/>
                <w:color w:val="000000" w:themeColor="text1"/>
                <w:sz w:val="24"/>
                <w14:textFill>
                  <w14:solidFill>
                    <w14:schemeClr w14:val="tx1"/>
                  </w14:solidFill>
                </w14:textFill>
              </w:rPr>
              <w:t>：</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地址：</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日期：</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bl>
    <w:p>
      <w:pPr>
        <w:spacing w:line="360" w:lineRule="auto"/>
        <w:ind w:firstLine="480" w:firstLineChars="200"/>
        <w:rPr>
          <w:color w:val="000000" w:themeColor="text1"/>
          <w:sz w:val="24"/>
          <w14:textFill>
            <w14:solidFill>
              <w14:schemeClr w14:val="tx1"/>
            </w14:solidFill>
          </w14:textFill>
        </w:rPr>
      </w:pPr>
    </w:p>
    <w:p>
      <w:pPr>
        <w:snapToGrid w:val="0"/>
        <w:spacing w:line="360" w:lineRule="auto"/>
        <w:ind w:left="-143" w:leftChars="-68" w:right="-351" w:rightChars="-167"/>
        <w:rPr>
          <w:rFonts w:ascii="宋体"/>
          <w:color w:val="000000" w:themeColor="text1"/>
          <w:spacing w:val="4"/>
          <w:sz w:val="24"/>
          <w14:textFill>
            <w14:solidFill>
              <w14:schemeClr w14:val="tx1"/>
            </w14:solidFill>
          </w14:textFill>
        </w:rPr>
        <w:sectPr>
          <w:pgSz w:w="11906" w:h="16838"/>
          <w:pgMar w:top="1440" w:right="1077" w:bottom="1440" w:left="1077" w:header="851" w:footer="992" w:gutter="0"/>
          <w:cols w:space="425" w:num="1"/>
          <w:titlePg/>
          <w:docGrid w:linePitch="312" w:charSpace="0"/>
        </w:sectPr>
      </w:pPr>
    </w:p>
    <w:p>
      <w:pPr>
        <w:pStyle w:val="4"/>
        <w:rPr>
          <w:rFonts w:ascii="Times New Roman" w:hAnsi="Times New Roman"/>
          <w:b w:val="0"/>
          <w:bCs w:val="0"/>
          <w:sz w:val="21"/>
          <w:szCs w:val="21"/>
        </w:rPr>
      </w:pPr>
      <w:bookmarkStart w:id="18" w:name="_Toc73516695"/>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2</w:t>
      </w:r>
      <w:r>
        <w:rPr>
          <w:rFonts w:hint="eastAsia"/>
          <w:b w:val="0"/>
          <w:color w:val="000000" w:themeColor="text1"/>
          <w:sz w:val="21"/>
          <w:szCs w:val="21"/>
          <w14:textFill>
            <w14:solidFill>
              <w14:schemeClr w14:val="tx1"/>
            </w14:solidFill>
          </w14:textFill>
        </w:rPr>
        <w:t>-1：</w:t>
      </w:r>
      <w:bookmarkEnd w:id="18"/>
      <w:r>
        <w:rPr>
          <w:rFonts w:hint="eastAsia" w:ascii="Times New Roman" w:hAnsi="Times New Roman"/>
          <w:b w:val="0"/>
          <w:bCs w:val="0"/>
          <w:sz w:val="21"/>
          <w:szCs w:val="21"/>
        </w:rPr>
        <w:t>干货类报价单</w:t>
      </w:r>
    </w:p>
    <w:p>
      <w:pPr>
        <w:jc w:val="center"/>
      </w:pPr>
      <w:r>
        <w:rPr>
          <w:rFonts w:hint="eastAsia"/>
          <w:b/>
          <w:sz w:val="36"/>
          <w:szCs w:val="36"/>
        </w:rPr>
        <w:t>干货报价单</w:t>
      </w:r>
    </w:p>
    <w:tbl>
      <w:tblPr>
        <w:tblStyle w:val="27"/>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6"/>
        <w:gridCol w:w="1824"/>
        <w:gridCol w:w="158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596" w:type="dxa"/>
          </w:tcPr>
          <w:p>
            <w:pPr>
              <w:tabs>
                <w:tab w:val="left" w:pos="2280"/>
              </w:tabs>
              <w:jc w:val="center"/>
              <w:rPr>
                <w:sz w:val="30"/>
                <w:szCs w:val="30"/>
              </w:rPr>
            </w:pPr>
            <w:r>
              <w:rPr>
                <w:rFonts w:hint="eastAsia"/>
                <w:sz w:val="30"/>
                <w:szCs w:val="30"/>
              </w:rPr>
              <w:t>品名</w:t>
            </w:r>
          </w:p>
        </w:tc>
        <w:tc>
          <w:tcPr>
            <w:tcW w:w="1824" w:type="dxa"/>
          </w:tcPr>
          <w:p>
            <w:pPr>
              <w:tabs>
                <w:tab w:val="left" w:pos="2280"/>
              </w:tabs>
              <w:jc w:val="center"/>
              <w:rPr>
                <w:sz w:val="30"/>
                <w:szCs w:val="30"/>
              </w:rPr>
            </w:pPr>
            <w:r>
              <w:rPr>
                <w:rFonts w:hint="eastAsia"/>
                <w:sz w:val="30"/>
                <w:szCs w:val="30"/>
              </w:rPr>
              <w:t>基本要求</w:t>
            </w:r>
          </w:p>
        </w:tc>
        <w:tc>
          <w:tcPr>
            <w:tcW w:w="1584" w:type="dxa"/>
          </w:tcPr>
          <w:p>
            <w:pPr>
              <w:tabs>
                <w:tab w:val="left" w:pos="2280"/>
              </w:tabs>
              <w:jc w:val="center"/>
              <w:rPr>
                <w:sz w:val="30"/>
                <w:szCs w:val="30"/>
              </w:rPr>
            </w:pPr>
            <w:r>
              <w:rPr>
                <w:rFonts w:hint="eastAsia"/>
                <w:sz w:val="30"/>
                <w:szCs w:val="30"/>
              </w:rPr>
              <w:t>单位</w:t>
            </w:r>
          </w:p>
        </w:tc>
        <w:tc>
          <w:tcPr>
            <w:tcW w:w="1705" w:type="dxa"/>
          </w:tcPr>
          <w:p>
            <w:pPr>
              <w:tabs>
                <w:tab w:val="left" w:pos="2280"/>
              </w:tabs>
              <w:jc w:val="center"/>
              <w:rPr>
                <w:sz w:val="30"/>
                <w:szCs w:val="30"/>
              </w:rPr>
            </w:pPr>
            <w:r>
              <w:rPr>
                <w:rFonts w:hint="eastAsia"/>
                <w:sz w:val="30"/>
                <w:szCs w:val="30"/>
              </w:rPr>
              <w:t>报价</w:t>
            </w:r>
          </w:p>
        </w:tc>
        <w:tc>
          <w:tcPr>
            <w:tcW w:w="1705" w:type="dxa"/>
          </w:tcPr>
          <w:p>
            <w:pPr>
              <w:tabs>
                <w:tab w:val="left" w:pos="2280"/>
              </w:tabs>
              <w:jc w:val="center"/>
              <w:rPr>
                <w:sz w:val="30"/>
                <w:szCs w:val="30"/>
              </w:rPr>
            </w:pPr>
            <w:r>
              <w:rPr>
                <w:rFonts w:hint="eastAsia"/>
                <w:sz w:val="30"/>
                <w:szCs w:val="3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1596" w:type="dxa"/>
            <w:vAlign w:val="center"/>
          </w:tcPr>
          <w:p>
            <w:pPr>
              <w:tabs>
                <w:tab w:val="left" w:pos="2280"/>
              </w:tabs>
              <w:jc w:val="center"/>
              <w:rPr>
                <w:sz w:val="24"/>
              </w:rPr>
            </w:pPr>
            <w:r>
              <w:rPr>
                <w:rFonts w:hint="eastAsia"/>
                <w:sz w:val="24"/>
              </w:rPr>
              <w:t>花生米</w:t>
            </w:r>
          </w:p>
        </w:tc>
        <w:tc>
          <w:tcPr>
            <w:tcW w:w="1824" w:type="dxa"/>
            <w:vMerge w:val="restart"/>
          </w:tcPr>
          <w:p>
            <w:pPr>
              <w:tabs>
                <w:tab w:val="left" w:pos="2280"/>
              </w:tabs>
              <w:jc w:val="center"/>
              <w:rPr>
                <w:szCs w:val="21"/>
              </w:rPr>
            </w:pPr>
          </w:p>
          <w:p>
            <w:pPr>
              <w:tabs>
                <w:tab w:val="left" w:pos="2280"/>
              </w:tabs>
              <w:jc w:val="center"/>
              <w:rPr>
                <w:szCs w:val="21"/>
              </w:rPr>
            </w:pPr>
          </w:p>
          <w:p>
            <w:pPr>
              <w:tabs>
                <w:tab w:val="left" w:pos="2280"/>
              </w:tabs>
              <w:jc w:val="center"/>
              <w:rPr>
                <w:szCs w:val="21"/>
              </w:rPr>
            </w:pPr>
          </w:p>
          <w:p>
            <w:pPr>
              <w:tabs>
                <w:tab w:val="left" w:pos="2280"/>
              </w:tabs>
              <w:jc w:val="center"/>
              <w:rPr>
                <w:rFonts w:hint="eastAsia"/>
                <w:szCs w:val="21"/>
              </w:rPr>
            </w:pPr>
          </w:p>
          <w:p>
            <w:pPr>
              <w:tabs>
                <w:tab w:val="left" w:pos="2280"/>
              </w:tabs>
              <w:jc w:val="center"/>
              <w:rPr>
                <w:rFonts w:hint="eastAsia"/>
                <w:szCs w:val="21"/>
              </w:rPr>
            </w:pPr>
          </w:p>
          <w:p>
            <w:pPr>
              <w:tabs>
                <w:tab w:val="left" w:pos="2280"/>
              </w:tabs>
              <w:jc w:val="center"/>
              <w:rPr>
                <w:rFonts w:hint="eastAsia"/>
                <w:szCs w:val="21"/>
              </w:rPr>
            </w:pPr>
          </w:p>
          <w:p>
            <w:pPr>
              <w:tabs>
                <w:tab w:val="left" w:pos="2280"/>
              </w:tabs>
              <w:jc w:val="center"/>
              <w:rPr>
                <w:rFonts w:hint="eastAsia"/>
                <w:szCs w:val="21"/>
              </w:rPr>
            </w:pPr>
          </w:p>
          <w:p>
            <w:pPr>
              <w:tabs>
                <w:tab w:val="left" w:pos="2280"/>
              </w:tabs>
              <w:jc w:val="center"/>
              <w:rPr>
                <w:rFonts w:hint="eastAsia"/>
                <w:szCs w:val="21"/>
              </w:rPr>
            </w:pPr>
          </w:p>
          <w:p>
            <w:pPr>
              <w:tabs>
                <w:tab w:val="left" w:pos="2280"/>
              </w:tabs>
              <w:jc w:val="center"/>
              <w:rPr>
                <w:szCs w:val="21"/>
              </w:rPr>
            </w:pPr>
            <w:r>
              <w:rPr>
                <w:rFonts w:hint="eastAsia"/>
                <w:szCs w:val="21"/>
              </w:rPr>
              <w:t>干燥、无杂质、外观好、清香无异味</w:t>
            </w:r>
          </w:p>
        </w:tc>
        <w:tc>
          <w:tcPr>
            <w:tcW w:w="1584" w:type="dxa"/>
            <w:vAlign w:val="center"/>
          </w:tcPr>
          <w:p>
            <w:pPr>
              <w:tabs>
                <w:tab w:val="left" w:pos="2280"/>
              </w:tabs>
              <w:jc w:val="center"/>
              <w:rPr>
                <w:szCs w:val="21"/>
              </w:rPr>
            </w:pPr>
            <w:r>
              <w:rPr>
                <w:rFonts w:hint="eastAsia"/>
                <w:szCs w:val="21"/>
              </w:rPr>
              <w:t>斤</w:t>
            </w:r>
          </w:p>
        </w:tc>
        <w:tc>
          <w:tcPr>
            <w:tcW w:w="1705" w:type="dxa"/>
          </w:tcPr>
          <w:p>
            <w:pPr>
              <w:tabs>
                <w:tab w:val="left" w:pos="2280"/>
              </w:tabs>
              <w:jc w:val="center"/>
              <w:rPr>
                <w:szCs w:val="21"/>
              </w:rPr>
            </w:pPr>
          </w:p>
        </w:tc>
        <w:tc>
          <w:tcPr>
            <w:tcW w:w="1705" w:type="dxa"/>
          </w:tcPr>
          <w:p>
            <w:pPr>
              <w:tabs>
                <w:tab w:val="left" w:pos="2280"/>
              </w:tabs>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596" w:type="dxa"/>
            <w:vAlign w:val="center"/>
          </w:tcPr>
          <w:p>
            <w:pPr>
              <w:tabs>
                <w:tab w:val="left" w:pos="2280"/>
              </w:tabs>
              <w:jc w:val="center"/>
              <w:rPr>
                <w:sz w:val="24"/>
              </w:rPr>
            </w:pPr>
            <w:r>
              <w:rPr>
                <w:rFonts w:hint="eastAsia"/>
                <w:sz w:val="24"/>
              </w:rPr>
              <w:t>黑木耳</w:t>
            </w:r>
          </w:p>
        </w:tc>
        <w:tc>
          <w:tcPr>
            <w:tcW w:w="1824" w:type="dxa"/>
            <w:vMerge w:val="continue"/>
          </w:tcPr>
          <w:p>
            <w:pPr>
              <w:tabs>
                <w:tab w:val="left" w:pos="2280"/>
              </w:tabs>
              <w:jc w:val="center"/>
              <w:rPr>
                <w:szCs w:val="21"/>
              </w:rPr>
            </w:pPr>
          </w:p>
        </w:tc>
        <w:tc>
          <w:tcPr>
            <w:tcW w:w="1584" w:type="dxa"/>
            <w:vAlign w:val="center"/>
          </w:tcPr>
          <w:p>
            <w:pPr>
              <w:tabs>
                <w:tab w:val="left" w:pos="2280"/>
              </w:tabs>
              <w:jc w:val="center"/>
              <w:rPr>
                <w:szCs w:val="21"/>
              </w:rPr>
            </w:pPr>
            <w:r>
              <w:rPr>
                <w:rFonts w:hint="eastAsia"/>
                <w:szCs w:val="21"/>
              </w:rPr>
              <w:t>斤</w:t>
            </w:r>
          </w:p>
        </w:tc>
        <w:tc>
          <w:tcPr>
            <w:tcW w:w="1705" w:type="dxa"/>
          </w:tcPr>
          <w:p>
            <w:pPr>
              <w:tabs>
                <w:tab w:val="left" w:pos="2280"/>
              </w:tabs>
              <w:jc w:val="center"/>
              <w:rPr>
                <w:szCs w:val="21"/>
              </w:rPr>
            </w:pPr>
          </w:p>
        </w:tc>
        <w:tc>
          <w:tcPr>
            <w:tcW w:w="1705" w:type="dxa"/>
          </w:tcPr>
          <w:p>
            <w:pPr>
              <w:tabs>
                <w:tab w:val="left" w:pos="2280"/>
              </w:tabs>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596" w:type="dxa"/>
            <w:vAlign w:val="center"/>
          </w:tcPr>
          <w:p>
            <w:pPr>
              <w:tabs>
                <w:tab w:val="left" w:pos="2280"/>
              </w:tabs>
              <w:jc w:val="center"/>
              <w:rPr>
                <w:sz w:val="24"/>
              </w:rPr>
            </w:pPr>
            <w:r>
              <w:rPr>
                <w:rFonts w:hint="eastAsia"/>
                <w:szCs w:val="21"/>
              </w:rPr>
              <w:t>腐竹</w:t>
            </w:r>
          </w:p>
        </w:tc>
        <w:tc>
          <w:tcPr>
            <w:tcW w:w="1824" w:type="dxa"/>
            <w:vMerge w:val="continue"/>
          </w:tcPr>
          <w:p>
            <w:pPr>
              <w:tabs>
                <w:tab w:val="left" w:pos="2280"/>
              </w:tabs>
              <w:jc w:val="center"/>
              <w:rPr>
                <w:szCs w:val="21"/>
              </w:rPr>
            </w:pPr>
          </w:p>
        </w:tc>
        <w:tc>
          <w:tcPr>
            <w:tcW w:w="1584" w:type="dxa"/>
            <w:vAlign w:val="center"/>
          </w:tcPr>
          <w:p>
            <w:pPr>
              <w:tabs>
                <w:tab w:val="left" w:pos="2280"/>
              </w:tabs>
              <w:jc w:val="center"/>
              <w:rPr>
                <w:szCs w:val="21"/>
              </w:rPr>
            </w:pPr>
            <w:r>
              <w:rPr>
                <w:rFonts w:hint="eastAsia"/>
                <w:szCs w:val="21"/>
              </w:rPr>
              <w:t>斤</w:t>
            </w:r>
          </w:p>
        </w:tc>
        <w:tc>
          <w:tcPr>
            <w:tcW w:w="1705" w:type="dxa"/>
          </w:tcPr>
          <w:p>
            <w:pPr>
              <w:tabs>
                <w:tab w:val="left" w:pos="2280"/>
              </w:tabs>
              <w:jc w:val="center"/>
              <w:rPr>
                <w:szCs w:val="21"/>
              </w:rPr>
            </w:pPr>
          </w:p>
        </w:tc>
        <w:tc>
          <w:tcPr>
            <w:tcW w:w="1705" w:type="dxa"/>
          </w:tcPr>
          <w:p>
            <w:pPr>
              <w:tabs>
                <w:tab w:val="left" w:pos="2280"/>
              </w:tabs>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1596" w:type="dxa"/>
            <w:vAlign w:val="center"/>
          </w:tcPr>
          <w:p>
            <w:pPr>
              <w:tabs>
                <w:tab w:val="left" w:pos="2280"/>
              </w:tabs>
              <w:jc w:val="center"/>
              <w:rPr>
                <w:sz w:val="24"/>
              </w:rPr>
            </w:pPr>
            <w:r>
              <w:rPr>
                <w:rFonts w:hint="eastAsia"/>
                <w:sz w:val="24"/>
              </w:rPr>
              <w:t>粉丝</w:t>
            </w:r>
          </w:p>
        </w:tc>
        <w:tc>
          <w:tcPr>
            <w:tcW w:w="1824" w:type="dxa"/>
            <w:vMerge w:val="continue"/>
          </w:tcPr>
          <w:p>
            <w:pPr>
              <w:tabs>
                <w:tab w:val="left" w:pos="2280"/>
              </w:tabs>
              <w:jc w:val="center"/>
              <w:rPr>
                <w:szCs w:val="21"/>
              </w:rPr>
            </w:pPr>
          </w:p>
        </w:tc>
        <w:tc>
          <w:tcPr>
            <w:tcW w:w="1584" w:type="dxa"/>
            <w:vAlign w:val="center"/>
          </w:tcPr>
          <w:p>
            <w:pPr>
              <w:tabs>
                <w:tab w:val="left" w:pos="2280"/>
              </w:tabs>
              <w:jc w:val="center"/>
              <w:rPr>
                <w:szCs w:val="21"/>
              </w:rPr>
            </w:pPr>
            <w:r>
              <w:rPr>
                <w:rFonts w:hint="eastAsia"/>
                <w:szCs w:val="21"/>
              </w:rPr>
              <w:t>斤</w:t>
            </w:r>
          </w:p>
        </w:tc>
        <w:tc>
          <w:tcPr>
            <w:tcW w:w="1705" w:type="dxa"/>
          </w:tcPr>
          <w:p>
            <w:pPr>
              <w:tabs>
                <w:tab w:val="left" w:pos="2280"/>
              </w:tabs>
              <w:jc w:val="center"/>
              <w:rPr>
                <w:szCs w:val="21"/>
              </w:rPr>
            </w:pPr>
          </w:p>
        </w:tc>
        <w:tc>
          <w:tcPr>
            <w:tcW w:w="1705" w:type="dxa"/>
          </w:tcPr>
          <w:p>
            <w:pPr>
              <w:tabs>
                <w:tab w:val="left" w:pos="2280"/>
              </w:tabs>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596" w:type="dxa"/>
            <w:vAlign w:val="center"/>
          </w:tcPr>
          <w:p>
            <w:pPr>
              <w:tabs>
                <w:tab w:val="left" w:pos="2280"/>
              </w:tabs>
              <w:jc w:val="center"/>
              <w:rPr>
                <w:szCs w:val="21"/>
              </w:rPr>
            </w:pPr>
            <w:r>
              <w:rPr>
                <w:rFonts w:hint="eastAsia"/>
                <w:sz w:val="24"/>
              </w:rPr>
              <w:t>云丝</w:t>
            </w:r>
          </w:p>
        </w:tc>
        <w:tc>
          <w:tcPr>
            <w:tcW w:w="1824" w:type="dxa"/>
            <w:vMerge w:val="continue"/>
          </w:tcPr>
          <w:p>
            <w:pPr>
              <w:tabs>
                <w:tab w:val="left" w:pos="2280"/>
              </w:tabs>
              <w:jc w:val="center"/>
              <w:rPr>
                <w:szCs w:val="21"/>
              </w:rPr>
            </w:pPr>
          </w:p>
        </w:tc>
        <w:tc>
          <w:tcPr>
            <w:tcW w:w="1584" w:type="dxa"/>
            <w:vAlign w:val="center"/>
          </w:tcPr>
          <w:p>
            <w:pPr>
              <w:tabs>
                <w:tab w:val="left" w:pos="2280"/>
              </w:tabs>
              <w:jc w:val="center"/>
              <w:rPr>
                <w:szCs w:val="21"/>
              </w:rPr>
            </w:pPr>
            <w:r>
              <w:rPr>
                <w:rFonts w:hint="eastAsia"/>
                <w:szCs w:val="21"/>
              </w:rPr>
              <w:t>斤</w:t>
            </w:r>
          </w:p>
        </w:tc>
        <w:tc>
          <w:tcPr>
            <w:tcW w:w="1705" w:type="dxa"/>
          </w:tcPr>
          <w:p>
            <w:pPr>
              <w:tabs>
                <w:tab w:val="left" w:pos="2280"/>
              </w:tabs>
              <w:jc w:val="center"/>
              <w:rPr>
                <w:szCs w:val="21"/>
              </w:rPr>
            </w:pPr>
          </w:p>
        </w:tc>
        <w:tc>
          <w:tcPr>
            <w:tcW w:w="1705" w:type="dxa"/>
          </w:tcPr>
          <w:p>
            <w:pPr>
              <w:tabs>
                <w:tab w:val="left" w:pos="2280"/>
              </w:tabs>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596" w:type="dxa"/>
            <w:vAlign w:val="center"/>
          </w:tcPr>
          <w:p>
            <w:pPr>
              <w:tabs>
                <w:tab w:val="left" w:pos="2280"/>
              </w:tabs>
              <w:jc w:val="center"/>
              <w:rPr>
                <w:sz w:val="24"/>
              </w:rPr>
            </w:pPr>
            <w:r>
              <w:rPr>
                <w:rFonts w:hint="eastAsia"/>
                <w:sz w:val="24"/>
              </w:rPr>
              <w:t>生粉</w:t>
            </w:r>
          </w:p>
        </w:tc>
        <w:tc>
          <w:tcPr>
            <w:tcW w:w="1824" w:type="dxa"/>
            <w:vMerge w:val="continue"/>
          </w:tcPr>
          <w:p>
            <w:pPr>
              <w:tabs>
                <w:tab w:val="left" w:pos="2280"/>
              </w:tabs>
              <w:jc w:val="center"/>
              <w:rPr>
                <w:szCs w:val="21"/>
              </w:rPr>
            </w:pPr>
          </w:p>
        </w:tc>
        <w:tc>
          <w:tcPr>
            <w:tcW w:w="1584" w:type="dxa"/>
            <w:vAlign w:val="center"/>
          </w:tcPr>
          <w:p>
            <w:pPr>
              <w:tabs>
                <w:tab w:val="left" w:pos="2280"/>
              </w:tabs>
              <w:jc w:val="center"/>
              <w:rPr>
                <w:szCs w:val="21"/>
              </w:rPr>
            </w:pPr>
            <w:r>
              <w:rPr>
                <w:rFonts w:hint="eastAsia"/>
                <w:szCs w:val="21"/>
              </w:rPr>
              <w:t>斤</w:t>
            </w:r>
          </w:p>
        </w:tc>
        <w:tc>
          <w:tcPr>
            <w:tcW w:w="1705" w:type="dxa"/>
          </w:tcPr>
          <w:p>
            <w:pPr>
              <w:tabs>
                <w:tab w:val="left" w:pos="2280"/>
              </w:tabs>
              <w:jc w:val="center"/>
              <w:rPr>
                <w:szCs w:val="21"/>
              </w:rPr>
            </w:pPr>
          </w:p>
        </w:tc>
        <w:tc>
          <w:tcPr>
            <w:tcW w:w="1705" w:type="dxa"/>
          </w:tcPr>
          <w:p>
            <w:pPr>
              <w:tabs>
                <w:tab w:val="left" w:pos="2280"/>
              </w:tabs>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596" w:type="dxa"/>
            <w:vAlign w:val="center"/>
          </w:tcPr>
          <w:p>
            <w:pPr>
              <w:tabs>
                <w:tab w:val="left" w:pos="2280"/>
              </w:tabs>
              <w:jc w:val="center"/>
              <w:rPr>
                <w:sz w:val="24"/>
              </w:rPr>
            </w:pPr>
            <w:r>
              <w:rPr>
                <w:rFonts w:hint="eastAsia"/>
                <w:sz w:val="24"/>
              </w:rPr>
              <w:t>干辣椒</w:t>
            </w:r>
          </w:p>
        </w:tc>
        <w:tc>
          <w:tcPr>
            <w:tcW w:w="1824" w:type="dxa"/>
            <w:vMerge w:val="continue"/>
          </w:tcPr>
          <w:p>
            <w:pPr>
              <w:tabs>
                <w:tab w:val="left" w:pos="2280"/>
              </w:tabs>
              <w:jc w:val="center"/>
              <w:rPr>
                <w:szCs w:val="21"/>
              </w:rPr>
            </w:pPr>
          </w:p>
        </w:tc>
        <w:tc>
          <w:tcPr>
            <w:tcW w:w="1584" w:type="dxa"/>
            <w:vAlign w:val="center"/>
          </w:tcPr>
          <w:p>
            <w:pPr>
              <w:tabs>
                <w:tab w:val="left" w:pos="2280"/>
              </w:tabs>
              <w:jc w:val="center"/>
              <w:rPr>
                <w:szCs w:val="21"/>
              </w:rPr>
            </w:pPr>
            <w:r>
              <w:rPr>
                <w:rFonts w:hint="eastAsia"/>
                <w:szCs w:val="21"/>
              </w:rPr>
              <w:t>斤</w:t>
            </w:r>
          </w:p>
        </w:tc>
        <w:tc>
          <w:tcPr>
            <w:tcW w:w="1705" w:type="dxa"/>
          </w:tcPr>
          <w:p>
            <w:pPr>
              <w:tabs>
                <w:tab w:val="left" w:pos="2280"/>
              </w:tabs>
              <w:jc w:val="center"/>
              <w:rPr>
                <w:szCs w:val="21"/>
              </w:rPr>
            </w:pPr>
          </w:p>
        </w:tc>
        <w:tc>
          <w:tcPr>
            <w:tcW w:w="1705" w:type="dxa"/>
          </w:tcPr>
          <w:p>
            <w:pPr>
              <w:tabs>
                <w:tab w:val="left" w:pos="2280"/>
              </w:tabs>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596" w:type="dxa"/>
            <w:vAlign w:val="center"/>
          </w:tcPr>
          <w:p>
            <w:pPr>
              <w:tabs>
                <w:tab w:val="left" w:pos="2280"/>
              </w:tabs>
              <w:jc w:val="center"/>
              <w:rPr>
                <w:sz w:val="24"/>
              </w:rPr>
            </w:pPr>
            <w:r>
              <w:rPr>
                <w:rFonts w:hint="eastAsia"/>
                <w:sz w:val="24"/>
              </w:rPr>
              <w:t>白芷</w:t>
            </w:r>
          </w:p>
        </w:tc>
        <w:tc>
          <w:tcPr>
            <w:tcW w:w="1824" w:type="dxa"/>
            <w:vMerge w:val="continue"/>
          </w:tcPr>
          <w:p>
            <w:pPr>
              <w:tabs>
                <w:tab w:val="left" w:pos="2280"/>
              </w:tabs>
              <w:jc w:val="center"/>
              <w:rPr>
                <w:szCs w:val="21"/>
              </w:rPr>
            </w:pPr>
          </w:p>
        </w:tc>
        <w:tc>
          <w:tcPr>
            <w:tcW w:w="1584" w:type="dxa"/>
            <w:vAlign w:val="center"/>
          </w:tcPr>
          <w:p>
            <w:pPr>
              <w:tabs>
                <w:tab w:val="left" w:pos="2280"/>
              </w:tabs>
              <w:jc w:val="center"/>
              <w:rPr>
                <w:rFonts w:ascii="Times New Roman" w:hAnsi="Times New Roman" w:eastAsia="宋体" w:cs="Times New Roman"/>
                <w:kern w:val="2"/>
                <w:sz w:val="21"/>
                <w:szCs w:val="21"/>
                <w:lang w:val="en-US" w:eastAsia="zh-CN" w:bidi="ar-SA"/>
              </w:rPr>
            </w:pPr>
            <w:r>
              <w:rPr>
                <w:rFonts w:hint="eastAsia"/>
                <w:szCs w:val="21"/>
              </w:rPr>
              <w:t>斤</w:t>
            </w:r>
          </w:p>
        </w:tc>
        <w:tc>
          <w:tcPr>
            <w:tcW w:w="1705" w:type="dxa"/>
          </w:tcPr>
          <w:p>
            <w:pPr>
              <w:tabs>
                <w:tab w:val="left" w:pos="2280"/>
              </w:tabs>
              <w:jc w:val="center"/>
              <w:rPr>
                <w:szCs w:val="21"/>
              </w:rPr>
            </w:pPr>
          </w:p>
        </w:tc>
        <w:tc>
          <w:tcPr>
            <w:tcW w:w="1705" w:type="dxa"/>
          </w:tcPr>
          <w:p>
            <w:pPr>
              <w:tabs>
                <w:tab w:val="left" w:pos="2280"/>
              </w:tabs>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596" w:type="dxa"/>
            <w:vAlign w:val="center"/>
          </w:tcPr>
          <w:p>
            <w:pPr>
              <w:tabs>
                <w:tab w:val="left" w:pos="2280"/>
              </w:tabs>
              <w:jc w:val="center"/>
              <w:rPr>
                <w:sz w:val="24"/>
              </w:rPr>
            </w:pPr>
            <w:r>
              <w:rPr>
                <w:rFonts w:hint="eastAsia"/>
                <w:sz w:val="24"/>
              </w:rPr>
              <w:t>面包糠</w:t>
            </w:r>
          </w:p>
        </w:tc>
        <w:tc>
          <w:tcPr>
            <w:tcW w:w="1824" w:type="dxa"/>
            <w:vMerge w:val="continue"/>
          </w:tcPr>
          <w:p>
            <w:pPr>
              <w:tabs>
                <w:tab w:val="left" w:pos="2280"/>
              </w:tabs>
              <w:jc w:val="center"/>
              <w:rPr>
                <w:szCs w:val="21"/>
              </w:rPr>
            </w:pPr>
          </w:p>
        </w:tc>
        <w:tc>
          <w:tcPr>
            <w:tcW w:w="1584" w:type="dxa"/>
            <w:vAlign w:val="center"/>
          </w:tcPr>
          <w:p>
            <w:pPr>
              <w:tabs>
                <w:tab w:val="left" w:pos="2280"/>
              </w:tabs>
              <w:jc w:val="center"/>
              <w:rPr>
                <w:rFonts w:ascii="Times New Roman" w:hAnsi="Times New Roman" w:eastAsia="宋体" w:cs="Times New Roman"/>
                <w:kern w:val="2"/>
                <w:sz w:val="21"/>
                <w:szCs w:val="21"/>
                <w:lang w:val="en-US" w:eastAsia="zh-CN" w:bidi="ar-SA"/>
              </w:rPr>
            </w:pPr>
            <w:r>
              <w:rPr>
                <w:rFonts w:hint="eastAsia"/>
                <w:szCs w:val="21"/>
              </w:rPr>
              <w:t>斤</w:t>
            </w:r>
          </w:p>
        </w:tc>
        <w:tc>
          <w:tcPr>
            <w:tcW w:w="1705" w:type="dxa"/>
          </w:tcPr>
          <w:p>
            <w:pPr>
              <w:tabs>
                <w:tab w:val="left" w:pos="2280"/>
              </w:tabs>
              <w:jc w:val="center"/>
              <w:rPr>
                <w:szCs w:val="21"/>
              </w:rPr>
            </w:pPr>
          </w:p>
        </w:tc>
        <w:tc>
          <w:tcPr>
            <w:tcW w:w="1705" w:type="dxa"/>
          </w:tcPr>
          <w:p>
            <w:pPr>
              <w:tabs>
                <w:tab w:val="left" w:pos="2280"/>
              </w:tabs>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596" w:type="dxa"/>
            <w:vAlign w:val="center"/>
          </w:tcPr>
          <w:p>
            <w:pPr>
              <w:tabs>
                <w:tab w:val="left" w:pos="2280"/>
              </w:tabs>
              <w:jc w:val="center"/>
              <w:rPr>
                <w:sz w:val="24"/>
              </w:rPr>
            </w:pPr>
            <w:r>
              <w:rPr>
                <w:rFonts w:hint="eastAsia"/>
                <w:sz w:val="24"/>
              </w:rPr>
              <w:t>绿豆</w:t>
            </w:r>
          </w:p>
        </w:tc>
        <w:tc>
          <w:tcPr>
            <w:tcW w:w="1824" w:type="dxa"/>
            <w:vMerge w:val="continue"/>
          </w:tcPr>
          <w:p>
            <w:pPr>
              <w:tabs>
                <w:tab w:val="left" w:pos="2280"/>
              </w:tabs>
              <w:jc w:val="center"/>
              <w:rPr>
                <w:szCs w:val="21"/>
              </w:rPr>
            </w:pPr>
          </w:p>
        </w:tc>
        <w:tc>
          <w:tcPr>
            <w:tcW w:w="1584" w:type="dxa"/>
            <w:vAlign w:val="center"/>
          </w:tcPr>
          <w:p>
            <w:pPr>
              <w:tabs>
                <w:tab w:val="left" w:pos="2280"/>
              </w:tabs>
              <w:jc w:val="center"/>
              <w:rPr>
                <w:rFonts w:ascii="Times New Roman" w:hAnsi="Times New Roman" w:eastAsia="宋体" w:cs="Times New Roman"/>
                <w:kern w:val="2"/>
                <w:sz w:val="21"/>
                <w:szCs w:val="21"/>
                <w:lang w:val="en-US" w:eastAsia="zh-CN" w:bidi="ar-SA"/>
              </w:rPr>
            </w:pPr>
            <w:r>
              <w:rPr>
                <w:rFonts w:hint="eastAsia"/>
                <w:szCs w:val="21"/>
              </w:rPr>
              <w:t>斤</w:t>
            </w:r>
          </w:p>
        </w:tc>
        <w:tc>
          <w:tcPr>
            <w:tcW w:w="1705" w:type="dxa"/>
          </w:tcPr>
          <w:p>
            <w:pPr>
              <w:tabs>
                <w:tab w:val="left" w:pos="2280"/>
              </w:tabs>
              <w:jc w:val="center"/>
              <w:rPr>
                <w:szCs w:val="21"/>
              </w:rPr>
            </w:pPr>
          </w:p>
        </w:tc>
        <w:tc>
          <w:tcPr>
            <w:tcW w:w="1705" w:type="dxa"/>
          </w:tcPr>
          <w:p>
            <w:pPr>
              <w:tabs>
                <w:tab w:val="left" w:pos="2280"/>
              </w:tabs>
              <w:jc w:val="center"/>
              <w:rPr>
                <w:szCs w:val="21"/>
              </w:rPr>
            </w:pPr>
          </w:p>
        </w:tc>
      </w:tr>
    </w:tbl>
    <w:p>
      <w:pPr>
        <w:tabs>
          <w:tab w:val="left" w:pos="2280"/>
        </w:tabs>
        <w:jc w:val="center"/>
        <w:rPr>
          <w:sz w:val="24"/>
        </w:rPr>
      </w:pPr>
    </w:p>
    <w:p>
      <w:pPr>
        <w:widowControl/>
        <w:spacing w:line="360" w:lineRule="atLeast"/>
        <w:jc w:val="left"/>
        <w:rPr>
          <w:rFonts w:ascii="宋体" w:hAnsi="宋体" w:cs="宋体"/>
          <w:kern w:val="0"/>
          <w:sz w:val="24"/>
        </w:rPr>
      </w:pPr>
      <w:r>
        <w:rPr>
          <w:rFonts w:ascii="宋体" w:hAnsi="宋体" w:cs="宋体"/>
          <w:kern w:val="0"/>
          <w:sz w:val="24"/>
        </w:rPr>
        <w:t>备注：1</w:t>
      </w:r>
      <w:r>
        <w:rPr>
          <w:rFonts w:hint="eastAsia" w:ascii="宋体" w:hAnsi="宋体" w:cs="宋体"/>
          <w:kern w:val="0"/>
          <w:sz w:val="24"/>
        </w:rPr>
        <w:t>.</w:t>
      </w:r>
      <w:r>
        <w:rPr>
          <w:rFonts w:hint="eastAsia" w:ascii="宋体" w:hAnsi="宋体" w:cs="宋体"/>
          <w:b/>
          <w:bCs/>
          <w:kern w:val="0"/>
          <w:sz w:val="24"/>
        </w:rPr>
        <w:t>报价</w:t>
      </w:r>
      <w:r>
        <w:rPr>
          <w:rFonts w:ascii="宋体" w:hAnsi="宋体" w:cs="宋体"/>
          <w:b/>
          <w:bCs/>
          <w:kern w:val="0"/>
          <w:sz w:val="24"/>
        </w:rPr>
        <w:t>一律</w:t>
      </w:r>
      <w:r>
        <w:rPr>
          <w:rFonts w:hint="eastAsia" w:ascii="宋体" w:hAnsi="宋体" w:cs="宋体"/>
          <w:b/>
          <w:bCs/>
          <w:kern w:val="0"/>
          <w:sz w:val="24"/>
        </w:rPr>
        <w:t>使</w:t>
      </w:r>
      <w:r>
        <w:rPr>
          <w:rFonts w:ascii="宋体" w:hAnsi="宋体" w:cs="宋体"/>
          <w:b/>
          <w:bCs/>
          <w:kern w:val="0"/>
          <w:sz w:val="24"/>
        </w:rPr>
        <w:t>用</w:t>
      </w:r>
      <w:r>
        <w:rPr>
          <w:rFonts w:hint="eastAsia" w:ascii="宋体" w:hAnsi="宋体" w:cs="宋体"/>
          <w:b/>
          <w:bCs/>
          <w:kern w:val="0"/>
          <w:sz w:val="24"/>
        </w:rPr>
        <w:t>电脑</w:t>
      </w:r>
      <w:r>
        <w:rPr>
          <w:rFonts w:ascii="宋体" w:hAnsi="宋体" w:cs="宋体"/>
          <w:b/>
          <w:bCs/>
          <w:kern w:val="0"/>
          <w:sz w:val="24"/>
        </w:rPr>
        <w:t>打印</w:t>
      </w:r>
      <w:r>
        <w:rPr>
          <w:rFonts w:hint="eastAsia" w:ascii="宋体" w:hAnsi="宋体" w:cs="宋体"/>
          <w:b/>
          <w:bCs/>
          <w:kern w:val="0"/>
          <w:sz w:val="24"/>
        </w:rPr>
        <w:t>，手写将作废标处理</w:t>
      </w:r>
      <w:r>
        <w:rPr>
          <w:rFonts w:ascii="宋体" w:hAnsi="宋体" w:cs="宋体"/>
          <w:b/>
          <w:bCs/>
          <w:kern w:val="0"/>
          <w:sz w:val="24"/>
        </w:rPr>
        <w:t>。</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w:t>
      </w:r>
      <w:r>
        <w:rPr>
          <w:rFonts w:ascii="宋体" w:hAnsi="宋体" w:cs="宋体"/>
          <w:kern w:val="0"/>
          <w:sz w:val="24"/>
        </w:rPr>
        <w:t>有何其它说明请填写在表格备注栏内。</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w:t>
      </w:r>
      <w:r>
        <w:rPr>
          <w:rFonts w:ascii="宋体" w:hAnsi="宋体" w:cs="宋体"/>
          <w:kern w:val="0"/>
          <w:sz w:val="24"/>
        </w:rPr>
        <w:t>本次投标中标价格</w:t>
      </w:r>
      <w:r>
        <w:rPr>
          <w:rFonts w:hint="eastAsia" w:ascii="宋体" w:hAnsi="宋体" w:cs="宋体"/>
          <w:kern w:val="0"/>
          <w:sz w:val="24"/>
        </w:rPr>
        <w:t>按照所有产品报价的合计计算并</w:t>
      </w:r>
      <w:r>
        <w:rPr>
          <w:rFonts w:ascii="宋体" w:hAnsi="宋体" w:cs="宋体"/>
          <w:kern w:val="0"/>
          <w:sz w:val="24"/>
        </w:rPr>
        <w:t>精确到分（0.01元）</w:t>
      </w:r>
      <w:r>
        <w:rPr>
          <w:rFonts w:hint="eastAsia" w:ascii="宋体" w:hAnsi="宋体" w:cs="宋体"/>
          <w:kern w:val="0"/>
          <w:sz w:val="24"/>
        </w:rPr>
        <w:t>。</w:t>
      </w:r>
    </w:p>
    <w:p>
      <w:pPr>
        <w:widowControl/>
        <w:spacing w:line="360" w:lineRule="atLeast"/>
        <w:ind w:firstLine="720" w:firstLineChars="300"/>
        <w:jc w:val="left"/>
        <w:rPr>
          <w:rFonts w:ascii="宋体" w:hAnsi="宋体" w:cs="宋体"/>
          <w:kern w:val="0"/>
          <w:sz w:val="24"/>
        </w:rPr>
      </w:pPr>
      <w:r>
        <w:rPr>
          <w:rFonts w:hint="eastAsia" w:ascii="宋体" w:hAnsi="宋体" w:cs="宋体"/>
          <w:kern w:val="0"/>
          <w:sz w:val="24"/>
        </w:rPr>
        <w:t>4.若报价不全，商务标得分为零。</w:t>
      </w: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投标单位（盖章）：</w:t>
      </w:r>
    </w:p>
    <w:p>
      <w:pPr>
        <w:widowControl/>
        <w:spacing w:line="300" w:lineRule="exact"/>
        <w:jc w:val="center"/>
        <w:rPr>
          <w:rFonts w:ascii="宋体" w:hAnsi="宋体" w:cs="宋体"/>
          <w:kern w:val="0"/>
          <w:sz w:val="24"/>
        </w:rPr>
      </w:pPr>
      <w:r>
        <w:rPr>
          <w:rFonts w:ascii="宋体" w:hAnsi="宋体" w:cs="宋体"/>
          <w:kern w:val="0"/>
          <w:sz w:val="24"/>
        </w:rPr>
        <w:t xml:space="preserve">               </w:t>
      </w:r>
    </w:p>
    <w:p>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hint="eastAsia" w:ascii="宋体" w:hAnsi="宋体" w:cs="宋体"/>
          <w:kern w:val="0"/>
          <w:sz w:val="24"/>
        </w:rPr>
        <w:t>或签字</w:t>
      </w:r>
      <w:r>
        <w:rPr>
          <w:rFonts w:ascii="宋体" w:hAnsi="宋体" w:cs="宋体"/>
          <w:kern w:val="0"/>
          <w:sz w:val="24"/>
        </w:rPr>
        <w:t>）：</w:t>
      </w:r>
    </w:p>
    <w:p>
      <w:pPr>
        <w:widowControl/>
        <w:spacing w:line="300" w:lineRule="exact"/>
        <w:jc w:val="center"/>
        <w:rPr>
          <w:rFonts w:ascii="宋体" w:hAnsi="宋体" w:cs="宋体"/>
          <w:kern w:val="0"/>
          <w:sz w:val="24"/>
        </w:rPr>
      </w:pPr>
      <w:r>
        <w:rPr>
          <w:rFonts w:ascii="宋体" w:hAnsi="宋体" w:cs="宋体"/>
          <w:kern w:val="0"/>
          <w:sz w:val="24"/>
        </w:rPr>
        <w:t>                                            </w:t>
      </w: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年</w:t>
      </w:r>
      <w:r>
        <w:rPr>
          <w:rFonts w:hint="eastAsia" w:ascii="宋体" w:hAnsi="宋体" w:cs="宋体"/>
          <w:kern w:val="0"/>
          <w:sz w:val="24"/>
        </w:rPr>
        <w:t xml:space="preserve">   </w:t>
      </w:r>
      <w:r>
        <w:rPr>
          <w:rFonts w:ascii="宋体" w:hAnsi="宋体" w:cs="宋体"/>
          <w:kern w:val="0"/>
          <w:sz w:val="24"/>
        </w:rPr>
        <w:t>月 </w:t>
      </w:r>
      <w:r>
        <w:rPr>
          <w:rFonts w:hint="eastAsia" w:ascii="宋体" w:hAnsi="宋体" w:cs="宋体"/>
          <w:kern w:val="0"/>
          <w:sz w:val="24"/>
        </w:rPr>
        <w:t xml:space="preserve">   </w:t>
      </w:r>
      <w:r>
        <w:rPr>
          <w:rFonts w:ascii="宋体" w:hAnsi="宋体" w:cs="宋体"/>
          <w:kern w:val="0"/>
          <w:sz w:val="24"/>
        </w:rPr>
        <w:t>日</w:t>
      </w:r>
    </w:p>
    <w:p>
      <w:pPr>
        <w:rPr>
          <w:rFonts w:ascii="宋体" w:hAnsi="宋体" w:cs="宋体"/>
          <w:b/>
          <w:bCs/>
          <w:kern w:val="0"/>
          <w:sz w:val="24"/>
        </w:rPr>
      </w:pPr>
      <w:r>
        <w:rPr>
          <w:rFonts w:ascii="宋体" w:hAnsi="宋体" w:cs="宋体"/>
          <w:b/>
          <w:bCs/>
          <w:kern w:val="0"/>
          <w:sz w:val="24"/>
        </w:rPr>
        <w:br w:type="page"/>
      </w:r>
    </w:p>
    <w:p>
      <w:pPr>
        <w:rPr>
          <w:color w:val="000000" w:themeColor="text1"/>
          <w:szCs w:val="21"/>
          <w14:textFill>
            <w14:solidFill>
              <w14:schemeClr w14:val="tx1"/>
            </w14:solidFill>
          </w14:textFill>
        </w:rPr>
      </w:pPr>
    </w:p>
    <w:p>
      <w:pPr>
        <w:rPr>
          <w:bCs/>
          <w:szCs w:val="21"/>
        </w:rPr>
      </w:pPr>
      <w:r>
        <w:rPr>
          <w:rFonts w:hint="eastAsia"/>
          <w:color w:val="000000" w:themeColor="text1"/>
          <w:szCs w:val="21"/>
          <w14:textFill>
            <w14:solidFill>
              <w14:schemeClr w14:val="tx1"/>
            </w14:solidFill>
          </w14:textFill>
        </w:rPr>
        <w:t>附件</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w:t>
      </w:r>
      <w:r>
        <w:rPr>
          <w:rFonts w:hint="eastAsia"/>
          <w:color w:val="000000" w:themeColor="text1"/>
          <w:szCs w:val="21"/>
          <w:lang w:val="en-US" w:eastAsia="zh-CN"/>
          <w14:textFill>
            <w14:solidFill>
              <w14:schemeClr w14:val="tx1"/>
            </w14:solidFill>
          </w14:textFill>
        </w:rPr>
        <w:t>2</w:t>
      </w:r>
      <w:r>
        <w:rPr>
          <w:rFonts w:hint="eastAsia"/>
          <w:color w:val="000000" w:themeColor="text1"/>
          <w:szCs w:val="21"/>
          <w14:textFill>
            <w14:solidFill>
              <w14:schemeClr w14:val="tx1"/>
            </w14:solidFill>
          </w14:textFill>
        </w:rPr>
        <w:t>：</w:t>
      </w:r>
      <w:r>
        <w:rPr>
          <w:rFonts w:hint="eastAsia"/>
          <w:bCs/>
          <w:szCs w:val="21"/>
        </w:rPr>
        <w:t>一次性用品报价单</w:t>
      </w:r>
    </w:p>
    <w:p>
      <w:pPr>
        <w:jc w:val="center"/>
      </w:pPr>
      <w:r>
        <w:rPr>
          <w:rFonts w:hint="eastAsia"/>
          <w:b/>
          <w:sz w:val="36"/>
          <w:szCs w:val="36"/>
        </w:rPr>
        <w:t>一次性用品报价单</w:t>
      </w:r>
    </w:p>
    <w:tbl>
      <w:tblPr>
        <w:tblStyle w:val="27"/>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6"/>
        <w:gridCol w:w="1824"/>
        <w:gridCol w:w="158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596" w:type="dxa"/>
            <w:vAlign w:val="center"/>
          </w:tcPr>
          <w:p>
            <w:pPr>
              <w:tabs>
                <w:tab w:val="left" w:pos="2280"/>
              </w:tabs>
              <w:spacing w:line="400" w:lineRule="exact"/>
              <w:jc w:val="center"/>
              <w:rPr>
                <w:sz w:val="30"/>
                <w:szCs w:val="30"/>
              </w:rPr>
            </w:pPr>
            <w:r>
              <w:rPr>
                <w:rFonts w:hint="eastAsia"/>
                <w:sz w:val="30"/>
                <w:szCs w:val="30"/>
              </w:rPr>
              <w:t>品名</w:t>
            </w:r>
          </w:p>
        </w:tc>
        <w:tc>
          <w:tcPr>
            <w:tcW w:w="1824" w:type="dxa"/>
            <w:vAlign w:val="center"/>
          </w:tcPr>
          <w:p>
            <w:pPr>
              <w:tabs>
                <w:tab w:val="left" w:pos="2280"/>
              </w:tabs>
              <w:spacing w:line="400" w:lineRule="exact"/>
              <w:jc w:val="center"/>
              <w:rPr>
                <w:sz w:val="30"/>
                <w:szCs w:val="30"/>
              </w:rPr>
            </w:pPr>
            <w:r>
              <w:rPr>
                <w:rFonts w:hint="eastAsia"/>
                <w:sz w:val="30"/>
                <w:szCs w:val="30"/>
              </w:rPr>
              <w:t>基本要求</w:t>
            </w:r>
          </w:p>
        </w:tc>
        <w:tc>
          <w:tcPr>
            <w:tcW w:w="1584" w:type="dxa"/>
            <w:vAlign w:val="center"/>
          </w:tcPr>
          <w:p>
            <w:pPr>
              <w:tabs>
                <w:tab w:val="left" w:pos="2280"/>
              </w:tabs>
              <w:spacing w:line="400" w:lineRule="exact"/>
              <w:jc w:val="center"/>
              <w:rPr>
                <w:sz w:val="30"/>
                <w:szCs w:val="30"/>
              </w:rPr>
            </w:pPr>
            <w:r>
              <w:rPr>
                <w:rFonts w:hint="eastAsia"/>
                <w:sz w:val="30"/>
                <w:szCs w:val="30"/>
              </w:rPr>
              <w:t>单位</w:t>
            </w:r>
          </w:p>
        </w:tc>
        <w:tc>
          <w:tcPr>
            <w:tcW w:w="1705" w:type="dxa"/>
            <w:vAlign w:val="center"/>
          </w:tcPr>
          <w:p>
            <w:pPr>
              <w:tabs>
                <w:tab w:val="left" w:pos="2280"/>
              </w:tabs>
              <w:spacing w:line="400" w:lineRule="exact"/>
              <w:jc w:val="center"/>
              <w:rPr>
                <w:sz w:val="30"/>
                <w:szCs w:val="30"/>
              </w:rPr>
            </w:pPr>
            <w:r>
              <w:rPr>
                <w:rFonts w:hint="eastAsia"/>
                <w:sz w:val="30"/>
                <w:szCs w:val="30"/>
              </w:rPr>
              <w:t>报价</w:t>
            </w:r>
          </w:p>
          <w:p>
            <w:pPr>
              <w:pStyle w:val="2"/>
              <w:spacing w:before="0" w:after="0" w:line="400" w:lineRule="exact"/>
              <w:ind w:left="0"/>
              <w:jc w:val="center"/>
              <w:rPr>
                <w:rFonts w:hint="eastAsia"/>
              </w:rPr>
            </w:pPr>
            <w:r>
              <w:rPr>
                <w:rFonts w:hint="eastAsia"/>
                <w:sz w:val="22"/>
              </w:rPr>
              <w:t>（元/单位）</w:t>
            </w:r>
          </w:p>
        </w:tc>
        <w:tc>
          <w:tcPr>
            <w:tcW w:w="1705" w:type="dxa"/>
            <w:vAlign w:val="center"/>
          </w:tcPr>
          <w:p>
            <w:pPr>
              <w:tabs>
                <w:tab w:val="left" w:pos="2280"/>
              </w:tabs>
              <w:spacing w:line="400" w:lineRule="exact"/>
              <w:jc w:val="center"/>
              <w:rPr>
                <w:sz w:val="30"/>
                <w:szCs w:val="30"/>
              </w:rPr>
            </w:pPr>
            <w:r>
              <w:rPr>
                <w:rFonts w:hint="eastAsia"/>
                <w:sz w:val="30"/>
                <w:szCs w:val="3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1596" w:type="dxa"/>
            <w:vAlign w:val="center"/>
          </w:tcPr>
          <w:p>
            <w:pPr>
              <w:tabs>
                <w:tab w:val="left" w:pos="2280"/>
              </w:tabs>
              <w:jc w:val="center"/>
              <w:rPr>
                <w:rFonts w:hint="eastAsia" w:ascii="宋体" w:hAnsi="宋体" w:eastAsia="宋体" w:cs="宋体"/>
                <w:sz w:val="21"/>
                <w:szCs w:val="21"/>
              </w:rPr>
            </w:pPr>
            <w:r>
              <w:rPr>
                <w:rFonts w:hint="eastAsia" w:ascii="宋体" w:hAnsi="宋体" w:eastAsia="宋体" w:cs="宋体"/>
                <w:sz w:val="21"/>
                <w:szCs w:val="21"/>
                <w:lang w:eastAsia="zh-CN"/>
              </w:rPr>
              <w:t>塑料</w:t>
            </w:r>
            <w:r>
              <w:rPr>
                <w:rFonts w:hint="eastAsia" w:ascii="宋体" w:hAnsi="宋体" w:eastAsia="宋体" w:cs="宋体"/>
                <w:sz w:val="21"/>
                <w:szCs w:val="21"/>
              </w:rPr>
              <w:t>方盒</w:t>
            </w:r>
          </w:p>
        </w:tc>
        <w:tc>
          <w:tcPr>
            <w:tcW w:w="1824" w:type="dxa"/>
            <w:vMerge w:val="restart"/>
            <w:vAlign w:val="center"/>
          </w:tcPr>
          <w:p>
            <w:pPr>
              <w:tabs>
                <w:tab w:val="left" w:pos="2280"/>
              </w:tabs>
              <w:jc w:val="center"/>
              <w:rPr>
                <w:rFonts w:hint="eastAsia" w:ascii="宋体" w:hAnsi="宋体" w:eastAsia="宋体" w:cs="宋体"/>
                <w:sz w:val="21"/>
                <w:szCs w:val="21"/>
                <w:lang w:eastAsia="zh-CN"/>
              </w:rPr>
            </w:pPr>
            <w:r>
              <w:rPr>
                <w:rFonts w:hint="eastAsia" w:ascii="宋体" w:hAnsi="宋体" w:eastAsia="宋体" w:cs="宋体"/>
                <w:sz w:val="21"/>
                <w:szCs w:val="21"/>
              </w:rPr>
              <w:t>绿色、环保</w:t>
            </w:r>
            <w:r>
              <w:rPr>
                <w:rFonts w:hint="eastAsia" w:ascii="宋体" w:hAnsi="宋体" w:cs="宋体"/>
                <w:sz w:val="21"/>
                <w:szCs w:val="21"/>
                <w:lang w:eastAsia="zh-CN"/>
              </w:rPr>
              <w:t>、食品级</w:t>
            </w:r>
          </w:p>
        </w:tc>
        <w:tc>
          <w:tcPr>
            <w:tcW w:w="1584" w:type="dxa"/>
            <w:vAlign w:val="center"/>
          </w:tcPr>
          <w:p>
            <w:pPr>
              <w:tabs>
                <w:tab w:val="left" w:pos="2280"/>
              </w:tabs>
              <w:jc w:val="center"/>
              <w:rPr>
                <w:rFonts w:hint="eastAsia" w:ascii="宋体" w:hAnsi="宋体" w:eastAsia="宋体" w:cs="宋体"/>
                <w:sz w:val="21"/>
                <w:szCs w:val="21"/>
              </w:rPr>
            </w:pPr>
            <w:r>
              <w:rPr>
                <w:rFonts w:hint="eastAsia" w:ascii="宋体" w:hAnsi="宋体" w:eastAsia="宋体" w:cs="宋体"/>
                <w:sz w:val="21"/>
                <w:szCs w:val="21"/>
              </w:rPr>
              <w:t>100只</w:t>
            </w:r>
          </w:p>
        </w:tc>
        <w:tc>
          <w:tcPr>
            <w:tcW w:w="1705" w:type="dxa"/>
            <w:vAlign w:val="center"/>
          </w:tcPr>
          <w:p>
            <w:pPr>
              <w:tabs>
                <w:tab w:val="left" w:pos="2280"/>
              </w:tabs>
              <w:jc w:val="center"/>
              <w:rPr>
                <w:rFonts w:hint="eastAsia" w:ascii="宋体" w:hAnsi="宋体" w:eastAsia="宋体" w:cs="宋体"/>
                <w:sz w:val="21"/>
                <w:szCs w:val="21"/>
              </w:rPr>
            </w:pPr>
          </w:p>
        </w:tc>
        <w:tc>
          <w:tcPr>
            <w:tcW w:w="1705" w:type="dxa"/>
            <w:vAlign w:val="center"/>
          </w:tcPr>
          <w:p>
            <w:pPr>
              <w:tabs>
                <w:tab w:val="left" w:pos="2280"/>
              </w:tabs>
              <w:jc w:val="center"/>
              <w:rPr>
                <w:rFonts w:hint="eastAsia" w:ascii="宋体" w:hAnsi="宋体" w:eastAsia="宋体" w:cs="宋体"/>
                <w:sz w:val="21"/>
                <w:szCs w:val="21"/>
              </w:rPr>
            </w:pPr>
            <w:r>
              <w:rPr>
                <w:rFonts w:hint="eastAsia" w:ascii="宋体" w:hAnsi="宋体" w:eastAsia="宋体" w:cs="宋体"/>
                <w:sz w:val="21"/>
                <w:szCs w:val="21"/>
              </w:rPr>
              <w:t>1000ml/只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1596" w:type="dxa"/>
            <w:vAlign w:val="center"/>
          </w:tcPr>
          <w:p>
            <w:pPr>
              <w:tabs>
                <w:tab w:val="left" w:pos="2280"/>
              </w:tabs>
              <w:jc w:val="center"/>
              <w:rPr>
                <w:rFonts w:hint="eastAsia" w:ascii="宋体" w:hAnsi="宋体" w:eastAsia="宋体" w:cs="宋体"/>
                <w:sz w:val="21"/>
                <w:szCs w:val="21"/>
              </w:rPr>
            </w:pPr>
            <w:r>
              <w:rPr>
                <w:rFonts w:hint="eastAsia" w:ascii="宋体" w:hAnsi="宋体" w:eastAsia="宋体" w:cs="宋体"/>
                <w:sz w:val="21"/>
                <w:szCs w:val="21"/>
              </w:rPr>
              <w:t>纸碗</w:t>
            </w:r>
          </w:p>
        </w:tc>
        <w:tc>
          <w:tcPr>
            <w:tcW w:w="1824" w:type="dxa"/>
            <w:vMerge w:val="continue"/>
            <w:vAlign w:val="center"/>
          </w:tcPr>
          <w:p>
            <w:pPr>
              <w:tabs>
                <w:tab w:val="left" w:pos="2280"/>
              </w:tabs>
              <w:jc w:val="center"/>
              <w:rPr>
                <w:rFonts w:hint="eastAsia" w:ascii="宋体" w:hAnsi="宋体" w:eastAsia="宋体" w:cs="宋体"/>
                <w:sz w:val="21"/>
                <w:szCs w:val="21"/>
              </w:rPr>
            </w:pPr>
          </w:p>
        </w:tc>
        <w:tc>
          <w:tcPr>
            <w:tcW w:w="1584" w:type="dxa"/>
            <w:vAlign w:val="center"/>
          </w:tcPr>
          <w:p>
            <w:pPr>
              <w:tabs>
                <w:tab w:val="left" w:pos="2280"/>
              </w:tabs>
              <w:jc w:val="center"/>
              <w:rPr>
                <w:rFonts w:hint="eastAsia" w:ascii="宋体" w:hAnsi="宋体" w:eastAsia="宋体" w:cs="宋体"/>
                <w:sz w:val="21"/>
                <w:szCs w:val="21"/>
              </w:rPr>
            </w:pPr>
            <w:r>
              <w:rPr>
                <w:rFonts w:hint="eastAsia" w:ascii="宋体" w:hAnsi="宋体" w:eastAsia="宋体" w:cs="宋体"/>
                <w:sz w:val="21"/>
                <w:szCs w:val="21"/>
              </w:rPr>
              <w:t>100只</w:t>
            </w:r>
          </w:p>
        </w:tc>
        <w:tc>
          <w:tcPr>
            <w:tcW w:w="1705" w:type="dxa"/>
            <w:vAlign w:val="center"/>
          </w:tcPr>
          <w:p>
            <w:pPr>
              <w:tabs>
                <w:tab w:val="left" w:pos="2280"/>
              </w:tabs>
              <w:jc w:val="center"/>
              <w:rPr>
                <w:rFonts w:hint="eastAsia" w:ascii="宋体" w:hAnsi="宋体" w:eastAsia="宋体" w:cs="宋体"/>
                <w:sz w:val="21"/>
                <w:szCs w:val="21"/>
              </w:rPr>
            </w:pPr>
          </w:p>
        </w:tc>
        <w:tc>
          <w:tcPr>
            <w:tcW w:w="1705" w:type="dxa"/>
            <w:vAlign w:val="center"/>
          </w:tcPr>
          <w:p>
            <w:pPr>
              <w:tabs>
                <w:tab w:val="left" w:pos="2280"/>
              </w:tabs>
              <w:jc w:val="center"/>
              <w:rPr>
                <w:rFonts w:hint="eastAsia" w:ascii="宋体" w:hAnsi="宋体" w:eastAsia="宋体" w:cs="宋体"/>
                <w:sz w:val="21"/>
                <w:szCs w:val="21"/>
              </w:rPr>
            </w:pPr>
            <w:r>
              <w:rPr>
                <w:rFonts w:hint="eastAsia" w:ascii="宋体" w:hAnsi="宋体" w:eastAsia="宋体" w:cs="宋体"/>
                <w:sz w:val="21"/>
                <w:szCs w:val="21"/>
              </w:rPr>
              <w:t>850ml/只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1596" w:type="dxa"/>
            <w:vAlign w:val="center"/>
          </w:tcPr>
          <w:p>
            <w:pPr>
              <w:tabs>
                <w:tab w:val="left" w:pos="2280"/>
              </w:tabs>
              <w:jc w:val="center"/>
              <w:rPr>
                <w:rFonts w:hint="eastAsia" w:ascii="宋体" w:hAnsi="宋体" w:eastAsia="宋体" w:cs="宋体"/>
                <w:sz w:val="21"/>
                <w:szCs w:val="21"/>
              </w:rPr>
            </w:pPr>
            <w:r>
              <w:rPr>
                <w:rFonts w:hint="eastAsia" w:ascii="宋体" w:hAnsi="宋体" w:eastAsia="宋体" w:cs="宋体"/>
                <w:sz w:val="21"/>
                <w:szCs w:val="21"/>
                <w:lang w:eastAsia="zh-CN"/>
              </w:rPr>
              <w:t>塑料</w:t>
            </w:r>
            <w:r>
              <w:rPr>
                <w:rFonts w:hint="eastAsia" w:ascii="宋体" w:hAnsi="宋体" w:eastAsia="宋体" w:cs="宋体"/>
                <w:sz w:val="21"/>
                <w:szCs w:val="21"/>
              </w:rPr>
              <w:t>圆盒</w:t>
            </w:r>
          </w:p>
        </w:tc>
        <w:tc>
          <w:tcPr>
            <w:tcW w:w="1824" w:type="dxa"/>
            <w:vMerge w:val="continue"/>
            <w:vAlign w:val="center"/>
          </w:tcPr>
          <w:p>
            <w:pPr>
              <w:tabs>
                <w:tab w:val="left" w:pos="2280"/>
              </w:tabs>
              <w:jc w:val="center"/>
              <w:rPr>
                <w:rFonts w:hint="eastAsia" w:ascii="宋体" w:hAnsi="宋体" w:eastAsia="宋体" w:cs="宋体"/>
                <w:sz w:val="21"/>
                <w:szCs w:val="21"/>
              </w:rPr>
            </w:pPr>
          </w:p>
        </w:tc>
        <w:tc>
          <w:tcPr>
            <w:tcW w:w="1584" w:type="dxa"/>
            <w:vAlign w:val="center"/>
          </w:tcPr>
          <w:p>
            <w:pPr>
              <w:tabs>
                <w:tab w:val="left" w:pos="2280"/>
              </w:tabs>
              <w:jc w:val="center"/>
              <w:rPr>
                <w:rFonts w:hint="eastAsia" w:ascii="宋体" w:hAnsi="宋体" w:eastAsia="宋体" w:cs="宋体"/>
                <w:sz w:val="21"/>
                <w:szCs w:val="21"/>
              </w:rPr>
            </w:pPr>
            <w:r>
              <w:rPr>
                <w:rFonts w:hint="eastAsia" w:ascii="宋体" w:hAnsi="宋体" w:eastAsia="宋体" w:cs="宋体"/>
                <w:sz w:val="21"/>
                <w:szCs w:val="21"/>
              </w:rPr>
              <w:t>100只</w:t>
            </w:r>
          </w:p>
        </w:tc>
        <w:tc>
          <w:tcPr>
            <w:tcW w:w="1705" w:type="dxa"/>
            <w:vAlign w:val="center"/>
          </w:tcPr>
          <w:p>
            <w:pPr>
              <w:tabs>
                <w:tab w:val="left" w:pos="2280"/>
              </w:tabs>
              <w:jc w:val="center"/>
              <w:rPr>
                <w:rFonts w:hint="eastAsia" w:ascii="宋体" w:hAnsi="宋体" w:eastAsia="宋体" w:cs="宋体"/>
                <w:sz w:val="21"/>
                <w:szCs w:val="21"/>
              </w:rPr>
            </w:pPr>
          </w:p>
        </w:tc>
        <w:tc>
          <w:tcPr>
            <w:tcW w:w="1705" w:type="dxa"/>
            <w:vAlign w:val="center"/>
          </w:tcPr>
          <w:p>
            <w:pPr>
              <w:tabs>
                <w:tab w:val="left" w:pos="2280"/>
              </w:tabs>
              <w:jc w:val="center"/>
              <w:rPr>
                <w:rFonts w:hint="eastAsia" w:ascii="宋体" w:hAnsi="宋体" w:eastAsia="宋体" w:cs="宋体"/>
                <w:sz w:val="21"/>
                <w:szCs w:val="21"/>
              </w:rPr>
            </w:pPr>
            <w:r>
              <w:rPr>
                <w:rFonts w:hint="eastAsia" w:ascii="宋体" w:hAnsi="宋体" w:cs="宋体"/>
                <w:sz w:val="21"/>
                <w:szCs w:val="21"/>
                <w:lang w:val="en-US" w:eastAsia="zh-CN"/>
              </w:rPr>
              <w:t>150</w:t>
            </w:r>
            <w:r>
              <w:rPr>
                <w:rFonts w:hint="eastAsia" w:ascii="宋体" w:hAnsi="宋体" w:eastAsia="宋体" w:cs="宋体"/>
                <w:sz w:val="21"/>
                <w:szCs w:val="21"/>
              </w:rPr>
              <w:t>0ml/只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trPr>
        <w:tc>
          <w:tcPr>
            <w:tcW w:w="1596" w:type="dxa"/>
            <w:vAlign w:val="center"/>
          </w:tcPr>
          <w:p>
            <w:pPr>
              <w:tabs>
                <w:tab w:val="left" w:pos="2280"/>
              </w:tabs>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方4格</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1000ml）</w:t>
            </w:r>
          </w:p>
        </w:tc>
        <w:tc>
          <w:tcPr>
            <w:tcW w:w="1824" w:type="dxa"/>
            <w:vMerge w:val="continue"/>
            <w:vAlign w:val="center"/>
          </w:tcPr>
          <w:p>
            <w:pPr>
              <w:tabs>
                <w:tab w:val="left" w:pos="2280"/>
              </w:tabs>
              <w:jc w:val="center"/>
              <w:rPr>
                <w:rFonts w:hint="eastAsia" w:ascii="宋体" w:hAnsi="宋体" w:eastAsia="宋体" w:cs="宋体"/>
                <w:color w:val="auto"/>
                <w:sz w:val="21"/>
                <w:szCs w:val="21"/>
              </w:rPr>
            </w:pPr>
          </w:p>
        </w:tc>
        <w:tc>
          <w:tcPr>
            <w:tcW w:w="1584" w:type="dxa"/>
            <w:vAlign w:val="center"/>
          </w:tcPr>
          <w:p>
            <w:pPr>
              <w:tabs>
                <w:tab w:val="left" w:pos="2280"/>
              </w:tabs>
              <w:jc w:val="center"/>
              <w:rPr>
                <w:rFonts w:hint="eastAsia" w:ascii="宋体" w:hAnsi="宋体" w:eastAsia="宋体" w:cs="宋体"/>
                <w:color w:val="auto"/>
                <w:sz w:val="21"/>
                <w:szCs w:val="21"/>
              </w:rPr>
            </w:pPr>
            <w:r>
              <w:rPr>
                <w:rFonts w:hint="eastAsia" w:ascii="宋体" w:hAnsi="宋体" w:eastAsia="宋体" w:cs="宋体"/>
                <w:color w:val="auto"/>
                <w:sz w:val="21"/>
                <w:szCs w:val="21"/>
              </w:rPr>
              <w:t>100只</w:t>
            </w:r>
          </w:p>
        </w:tc>
        <w:tc>
          <w:tcPr>
            <w:tcW w:w="1705" w:type="dxa"/>
            <w:vAlign w:val="center"/>
          </w:tcPr>
          <w:p>
            <w:pPr>
              <w:tabs>
                <w:tab w:val="left" w:pos="2280"/>
              </w:tabs>
              <w:jc w:val="center"/>
              <w:rPr>
                <w:rFonts w:hint="eastAsia" w:ascii="宋体" w:hAnsi="宋体" w:eastAsia="宋体" w:cs="宋体"/>
                <w:color w:val="auto"/>
                <w:sz w:val="21"/>
                <w:szCs w:val="21"/>
              </w:rPr>
            </w:pPr>
          </w:p>
        </w:tc>
        <w:tc>
          <w:tcPr>
            <w:tcW w:w="1705" w:type="dxa"/>
            <w:vAlign w:val="center"/>
          </w:tcPr>
          <w:p>
            <w:pPr>
              <w:tabs>
                <w:tab w:val="left" w:pos="2280"/>
              </w:tabs>
              <w:jc w:val="center"/>
              <w:rPr>
                <w:rFonts w:hint="eastAsia" w:ascii="宋体" w:hAnsi="宋体" w:eastAsia="宋体" w:cs="宋体"/>
                <w:color w:val="auto"/>
                <w:sz w:val="21"/>
                <w:szCs w:val="21"/>
              </w:rPr>
            </w:pPr>
            <w:r>
              <w:rPr>
                <w:rFonts w:hint="eastAsia" w:ascii="宋体" w:hAnsi="宋体" w:eastAsia="宋体" w:cs="宋体"/>
                <w:color w:val="auto"/>
                <w:sz w:val="21"/>
                <w:szCs w:val="21"/>
              </w:rPr>
              <w:drawing>
                <wp:inline distT="0" distB="0" distL="114300" distR="114300">
                  <wp:extent cx="944245" cy="822960"/>
                  <wp:effectExtent l="0" t="0" r="8255" b="15240"/>
                  <wp:docPr id="1" name="图片 1" descr="微信图片_20220728100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20728100341"/>
                          <pic:cNvPicPr>
                            <a:picLocks noChangeAspect="1"/>
                          </pic:cNvPicPr>
                        </pic:nvPicPr>
                        <pic:blipFill>
                          <a:blip r:embed="rId7"/>
                          <a:stretch>
                            <a:fillRect/>
                          </a:stretch>
                        </pic:blipFill>
                        <pic:spPr>
                          <a:xfrm>
                            <a:off x="0" y="0"/>
                            <a:ext cx="944245" cy="82296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1596" w:type="dxa"/>
            <w:vAlign w:val="center"/>
          </w:tcPr>
          <w:p>
            <w:pPr>
              <w:tabs>
                <w:tab w:val="left" w:pos="2280"/>
              </w:tabs>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方5+1格</w:t>
            </w:r>
            <w:r>
              <w:rPr>
                <w:rFonts w:hint="eastAsia" w:ascii="宋体" w:hAnsi="宋体" w:cs="宋体"/>
                <w:color w:val="auto"/>
                <w:sz w:val="21"/>
                <w:szCs w:val="21"/>
                <w:lang w:val="en-US" w:eastAsia="zh-CN"/>
              </w:rPr>
              <w:t xml:space="preserve">   </w:t>
            </w:r>
            <w:r>
              <w:rPr>
                <w:rFonts w:hint="eastAsia" w:ascii="宋体" w:hAnsi="宋体" w:cs="宋体"/>
                <w:color w:val="auto"/>
                <w:sz w:val="21"/>
                <w:szCs w:val="21"/>
                <w:lang w:eastAsia="zh-CN"/>
              </w:rPr>
              <w:t>（底黑盖白）</w:t>
            </w:r>
          </w:p>
        </w:tc>
        <w:tc>
          <w:tcPr>
            <w:tcW w:w="1824" w:type="dxa"/>
            <w:vMerge w:val="continue"/>
            <w:vAlign w:val="center"/>
          </w:tcPr>
          <w:p>
            <w:pPr>
              <w:tabs>
                <w:tab w:val="left" w:pos="2280"/>
              </w:tabs>
              <w:jc w:val="center"/>
              <w:rPr>
                <w:rFonts w:hint="eastAsia" w:ascii="宋体" w:hAnsi="宋体" w:eastAsia="宋体" w:cs="宋体"/>
                <w:color w:val="auto"/>
                <w:sz w:val="21"/>
                <w:szCs w:val="21"/>
              </w:rPr>
            </w:pPr>
          </w:p>
        </w:tc>
        <w:tc>
          <w:tcPr>
            <w:tcW w:w="1584" w:type="dxa"/>
            <w:vAlign w:val="center"/>
          </w:tcPr>
          <w:p>
            <w:pPr>
              <w:tabs>
                <w:tab w:val="left" w:pos="2280"/>
              </w:tabs>
              <w:jc w:val="center"/>
              <w:rPr>
                <w:rFonts w:hint="eastAsia" w:ascii="宋体" w:hAnsi="宋体" w:eastAsia="宋体" w:cs="宋体"/>
                <w:color w:val="auto"/>
                <w:sz w:val="21"/>
                <w:szCs w:val="21"/>
              </w:rPr>
            </w:pPr>
            <w:r>
              <w:rPr>
                <w:rFonts w:hint="eastAsia" w:ascii="宋体" w:hAnsi="宋体" w:eastAsia="宋体" w:cs="宋体"/>
                <w:color w:val="auto"/>
                <w:sz w:val="21"/>
                <w:szCs w:val="21"/>
              </w:rPr>
              <w:t>100只</w:t>
            </w:r>
          </w:p>
        </w:tc>
        <w:tc>
          <w:tcPr>
            <w:tcW w:w="1705" w:type="dxa"/>
            <w:vAlign w:val="center"/>
          </w:tcPr>
          <w:p>
            <w:pPr>
              <w:tabs>
                <w:tab w:val="left" w:pos="2280"/>
              </w:tabs>
              <w:jc w:val="center"/>
              <w:rPr>
                <w:rFonts w:hint="eastAsia" w:ascii="宋体" w:hAnsi="宋体" w:eastAsia="宋体" w:cs="宋体"/>
                <w:color w:val="auto"/>
                <w:sz w:val="21"/>
                <w:szCs w:val="21"/>
              </w:rPr>
            </w:pPr>
          </w:p>
        </w:tc>
        <w:tc>
          <w:tcPr>
            <w:tcW w:w="1705" w:type="dxa"/>
            <w:vAlign w:val="center"/>
          </w:tcPr>
          <w:p>
            <w:pPr>
              <w:tabs>
                <w:tab w:val="left" w:pos="2280"/>
              </w:tabs>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drawing>
                <wp:inline distT="0" distB="0" distL="114300" distR="114300">
                  <wp:extent cx="821690" cy="697865"/>
                  <wp:effectExtent l="0" t="0" r="16510" b="6985"/>
                  <wp:docPr id="2" name="图片 2" descr="微信图片_2022072810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20728101334"/>
                          <pic:cNvPicPr>
                            <a:picLocks noChangeAspect="1"/>
                          </pic:cNvPicPr>
                        </pic:nvPicPr>
                        <pic:blipFill>
                          <a:blip r:embed="rId8"/>
                          <a:stretch>
                            <a:fillRect/>
                          </a:stretch>
                        </pic:blipFill>
                        <pic:spPr>
                          <a:xfrm>
                            <a:off x="0" y="0"/>
                            <a:ext cx="821690" cy="69786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1596" w:type="dxa"/>
            <w:vAlign w:val="center"/>
          </w:tcPr>
          <w:p>
            <w:pPr>
              <w:tabs>
                <w:tab w:val="left" w:pos="2280"/>
              </w:tabs>
              <w:jc w:val="center"/>
              <w:rPr>
                <w:rFonts w:hint="eastAsia" w:ascii="宋体" w:hAnsi="宋体" w:eastAsia="宋体" w:cs="宋体"/>
                <w:sz w:val="21"/>
                <w:szCs w:val="21"/>
              </w:rPr>
            </w:pPr>
            <w:r>
              <w:rPr>
                <w:rFonts w:hint="eastAsia" w:ascii="宋体" w:hAnsi="宋体" w:eastAsia="宋体" w:cs="宋体"/>
                <w:sz w:val="21"/>
                <w:szCs w:val="21"/>
              </w:rPr>
              <w:t>食品塑料袋26#</w:t>
            </w:r>
          </w:p>
        </w:tc>
        <w:tc>
          <w:tcPr>
            <w:tcW w:w="1824" w:type="dxa"/>
            <w:vMerge w:val="continue"/>
            <w:vAlign w:val="center"/>
          </w:tcPr>
          <w:p>
            <w:pPr>
              <w:tabs>
                <w:tab w:val="left" w:pos="2280"/>
              </w:tabs>
              <w:jc w:val="center"/>
              <w:rPr>
                <w:rFonts w:hint="eastAsia" w:ascii="宋体" w:hAnsi="宋体" w:eastAsia="宋体" w:cs="宋体"/>
                <w:sz w:val="21"/>
                <w:szCs w:val="21"/>
              </w:rPr>
            </w:pPr>
          </w:p>
        </w:tc>
        <w:tc>
          <w:tcPr>
            <w:tcW w:w="1584" w:type="dxa"/>
            <w:vAlign w:val="center"/>
          </w:tcPr>
          <w:p>
            <w:pPr>
              <w:tabs>
                <w:tab w:val="left" w:pos="2280"/>
              </w:tabs>
              <w:jc w:val="center"/>
              <w:rPr>
                <w:rFonts w:hint="eastAsia" w:ascii="宋体" w:hAnsi="宋体" w:eastAsia="宋体" w:cs="宋体"/>
                <w:sz w:val="21"/>
                <w:szCs w:val="21"/>
              </w:rPr>
            </w:pPr>
            <w:r>
              <w:rPr>
                <w:rFonts w:hint="eastAsia" w:ascii="宋体" w:hAnsi="宋体" w:eastAsia="宋体" w:cs="宋体"/>
                <w:sz w:val="21"/>
                <w:szCs w:val="21"/>
              </w:rPr>
              <w:t>斤</w:t>
            </w:r>
          </w:p>
        </w:tc>
        <w:tc>
          <w:tcPr>
            <w:tcW w:w="1705" w:type="dxa"/>
            <w:vAlign w:val="center"/>
          </w:tcPr>
          <w:p>
            <w:pPr>
              <w:tabs>
                <w:tab w:val="left" w:pos="2280"/>
              </w:tabs>
              <w:jc w:val="center"/>
              <w:rPr>
                <w:rFonts w:hint="eastAsia" w:ascii="宋体" w:hAnsi="宋体" w:eastAsia="宋体" w:cs="宋体"/>
                <w:sz w:val="21"/>
                <w:szCs w:val="21"/>
              </w:rPr>
            </w:pPr>
          </w:p>
        </w:tc>
        <w:tc>
          <w:tcPr>
            <w:tcW w:w="1705" w:type="dxa"/>
            <w:vAlign w:val="center"/>
          </w:tcPr>
          <w:p>
            <w:pPr>
              <w:tabs>
                <w:tab w:val="left" w:pos="2280"/>
              </w:tabs>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1596" w:type="dxa"/>
            <w:vAlign w:val="center"/>
          </w:tcPr>
          <w:p>
            <w:pPr>
              <w:tabs>
                <w:tab w:val="left" w:pos="2280"/>
              </w:tabs>
              <w:jc w:val="center"/>
              <w:rPr>
                <w:rFonts w:hint="eastAsia" w:ascii="宋体" w:hAnsi="宋体" w:eastAsia="宋体" w:cs="宋体"/>
                <w:sz w:val="21"/>
                <w:szCs w:val="21"/>
              </w:rPr>
            </w:pPr>
            <w:r>
              <w:rPr>
                <w:rFonts w:hint="eastAsia" w:ascii="宋体" w:hAnsi="宋体" w:eastAsia="宋体" w:cs="宋体"/>
                <w:sz w:val="21"/>
                <w:szCs w:val="21"/>
              </w:rPr>
              <w:t>食品塑料袋</w:t>
            </w:r>
          </w:p>
          <w:p>
            <w:pPr>
              <w:tabs>
                <w:tab w:val="left" w:pos="2280"/>
              </w:tabs>
              <w:jc w:val="center"/>
              <w:rPr>
                <w:rFonts w:hint="eastAsia" w:ascii="宋体" w:hAnsi="宋体" w:eastAsia="宋体" w:cs="宋体"/>
                <w:sz w:val="21"/>
                <w:szCs w:val="21"/>
              </w:rPr>
            </w:pPr>
            <w:r>
              <w:rPr>
                <w:rFonts w:hint="eastAsia" w:ascii="宋体" w:hAnsi="宋体" w:eastAsia="宋体" w:cs="宋体"/>
                <w:sz w:val="21"/>
                <w:szCs w:val="21"/>
              </w:rPr>
              <w:t>16#</w:t>
            </w:r>
          </w:p>
        </w:tc>
        <w:tc>
          <w:tcPr>
            <w:tcW w:w="1824" w:type="dxa"/>
            <w:vMerge w:val="continue"/>
            <w:vAlign w:val="center"/>
          </w:tcPr>
          <w:p>
            <w:pPr>
              <w:tabs>
                <w:tab w:val="left" w:pos="2280"/>
              </w:tabs>
              <w:jc w:val="center"/>
              <w:rPr>
                <w:rFonts w:hint="eastAsia" w:ascii="宋体" w:hAnsi="宋体" w:eastAsia="宋体" w:cs="宋体"/>
                <w:sz w:val="21"/>
                <w:szCs w:val="21"/>
              </w:rPr>
            </w:pPr>
          </w:p>
        </w:tc>
        <w:tc>
          <w:tcPr>
            <w:tcW w:w="1584" w:type="dxa"/>
            <w:vAlign w:val="center"/>
          </w:tcPr>
          <w:p>
            <w:pPr>
              <w:tabs>
                <w:tab w:val="left" w:pos="2280"/>
              </w:tabs>
              <w:jc w:val="center"/>
              <w:rPr>
                <w:rFonts w:hint="eastAsia" w:ascii="宋体" w:hAnsi="宋体" w:eastAsia="宋体" w:cs="宋体"/>
                <w:sz w:val="21"/>
                <w:szCs w:val="21"/>
              </w:rPr>
            </w:pPr>
            <w:r>
              <w:rPr>
                <w:rFonts w:hint="eastAsia" w:ascii="宋体" w:hAnsi="宋体" w:eastAsia="宋体" w:cs="宋体"/>
                <w:sz w:val="21"/>
                <w:szCs w:val="21"/>
              </w:rPr>
              <w:t>斤</w:t>
            </w:r>
          </w:p>
        </w:tc>
        <w:tc>
          <w:tcPr>
            <w:tcW w:w="1705" w:type="dxa"/>
            <w:vAlign w:val="center"/>
          </w:tcPr>
          <w:p>
            <w:pPr>
              <w:tabs>
                <w:tab w:val="left" w:pos="2280"/>
              </w:tabs>
              <w:jc w:val="center"/>
              <w:rPr>
                <w:rFonts w:hint="eastAsia" w:ascii="宋体" w:hAnsi="宋体" w:eastAsia="宋体" w:cs="宋体"/>
                <w:sz w:val="21"/>
                <w:szCs w:val="21"/>
              </w:rPr>
            </w:pPr>
          </w:p>
        </w:tc>
        <w:tc>
          <w:tcPr>
            <w:tcW w:w="1705" w:type="dxa"/>
            <w:vAlign w:val="center"/>
          </w:tcPr>
          <w:p>
            <w:pPr>
              <w:tabs>
                <w:tab w:val="left" w:pos="2280"/>
              </w:tabs>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5004" w:type="dxa"/>
            <w:gridSpan w:val="3"/>
            <w:vAlign w:val="center"/>
          </w:tcPr>
          <w:p>
            <w:pPr>
              <w:tabs>
                <w:tab w:val="left" w:pos="2280"/>
              </w:tabs>
              <w:jc w:val="center"/>
              <w:rPr>
                <w:rFonts w:hint="eastAsia" w:ascii="宋体" w:hAnsi="宋体" w:eastAsia="宋体" w:cs="宋体"/>
                <w:sz w:val="21"/>
                <w:szCs w:val="21"/>
              </w:rPr>
            </w:pPr>
            <w:r>
              <w:rPr>
                <w:rFonts w:hint="eastAsia" w:ascii="宋体" w:hAnsi="宋体" w:eastAsia="宋体" w:cs="宋体"/>
                <w:sz w:val="21"/>
                <w:szCs w:val="21"/>
              </w:rPr>
              <w:t>合         计</w:t>
            </w:r>
          </w:p>
        </w:tc>
        <w:tc>
          <w:tcPr>
            <w:tcW w:w="1705" w:type="dxa"/>
            <w:vAlign w:val="center"/>
          </w:tcPr>
          <w:p>
            <w:pPr>
              <w:tabs>
                <w:tab w:val="left" w:pos="2280"/>
              </w:tabs>
              <w:jc w:val="center"/>
              <w:rPr>
                <w:rFonts w:hint="eastAsia" w:ascii="宋体" w:hAnsi="宋体" w:eastAsia="宋体" w:cs="宋体"/>
                <w:sz w:val="21"/>
                <w:szCs w:val="21"/>
              </w:rPr>
            </w:pPr>
          </w:p>
        </w:tc>
        <w:tc>
          <w:tcPr>
            <w:tcW w:w="1705" w:type="dxa"/>
            <w:vAlign w:val="center"/>
          </w:tcPr>
          <w:p>
            <w:pPr>
              <w:tabs>
                <w:tab w:val="left" w:pos="2280"/>
              </w:tabs>
              <w:jc w:val="center"/>
              <w:rPr>
                <w:rFonts w:hint="eastAsia" w:ascii="宋体" w:hAnsi="宋体" w:eastAsia="宋体" w:cs="宋体"/>
                <w:sz w:val="21"/>
                <w:szCs w:val="21"/>
              </w:rPr>
            </w:pPr>
          </w:p>
        </w:tc>
      </w:tr>
    </w:tbl>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r>
        <w:rPr>
          <w:rFonts w:ascii="宋体" w:hAnsi="宋体" w:cs="宋体"/>
          <w:kern w:val="0"/>
          <w:sz w:val="24"/>
        </w:rPr>
        <w:t>备注：1</w:t>
      </w:r>
      <w:r>
        <w:rPr>
          <w:rFonts w:hint="eastAsia" w:ascii="宋体" w:hAnsi="宋体" w:cs="宋体"/>
          <w:kern w:val="0"/>
          <w:sz w:val="24"/>
        </w:rPr>
        <w:t>.</w:t>
      </w:r>
      <w:r>
        <w:rPr>
          <w:rFonts w:hint="eastAsia" w:ascii="宋体" w:hAnsi="宋体" w:cs="宋体"/>
          <w:b/>
          <w:bCs/>
          <w:kern w:val="0"/>
          <w:sz w:val="24"/>
        </w:rPr>
        <w:t>报价</w:t>
      </w:r>
      <w:r>
        <w:rPr>
          <w:rFonts w:ascii="宋体" w:hAnsi="宋体" w:cs="宋体"/>
          <w:b/>
          <w:bCs/>
          <w:kern w:val="0"/>
          <w:sz w:val="24"/>
        </w:rPr>
        <w:t>一律</w:t>
      </w:r>
      <w:r>
        <w:rPr>
          <w:rFonts w:hint="eastAsia" w:ascii="宋体" w:hAnsi="宋体" w:cs="宋体"/>
          <w:b/>
          <w:bCs/>
          <w:kern w:val="0"/>
          <w:sz w:val="24"/>
        </w:rPr>
        <w:t>使</w:t>
      </w:r>
      <w:r>
        <w:rPr>
          <w:rFonts w:ascii="宋体" w:hAnsi="宋体" w:cs="宋体"/>
          <w:b/>
          <w:bCs/>
          <w:kern w:val="0"/>
          <w:sz w:val="24"/>
        </w:rPr>
        <w:t>用</w:t>
      </w:r>
      <w:r>
        <w:rPr>
          <w:rFonts w:hint="eastAsia" w:ascii="宋体" w:hAnsi="宋体" w:cs="宋体"/>
          <w:b/>
          <w:bCs/>
          <w:kern w:val="0"/>
          <w:sz w:val="24"/>
        </w:rPr>
        <w:t>电脑</w:t>
      </w:r>
      <w:r>
        <w:rPr>
          <w:rFonts w:ascii="宋体" w:hAnsi="宋体" w:cs="宋体"/>
          <w:b/>
          <w:bCs/>
          <w:kern w:val="0"/>
          <w:sz w:val="24"/>
        </w:rPr>
        <w:t>打印</w:t>
      </w:r>
      <w:r>
        <w:rPr>
          <w:rFonts w:hint="eastAsia" w:ascii="宋体" w:hAnsi="宋体" w:cs="宋体"/>
          <w:b/>
          <w:bCs/>
          <w:kern w:val="0"/>
          <w:sz w:val="24"/>
        </w:rPr>
        <w:t>，手写将作废标处理</w:t>
      </w:r>
      <w:r>
        <w:rPr>
          <w:rFonts w:ascii="宋体" w:hAnsi="宋体" w:cs="宋体"/>
          <w:b/>
          <w:bCs/>
          <w:kern w:val="0"/>
          <w:sz w:val="24"/>
        </w:rPr>
        <w:t>。</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w:t>
      </w:r>
      <w:r>
        <w:rPr>
          <w:rFonts w:ascii="宋体" w:hAnsi="宋体" w:cs="宋体"/>
          <w:kern w:val="0"/>
          <w:sz w:val="24"/>
        </w:rPr>
        <w:t>有何其它说明请填写在表格备注栏内。</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w:t>
      </w:r>
      <w:r>
        <w:rPr>
          <w:rFonts w:ascii="宋体" w:hAnsi="宋体" w:cs="宋体"/>
          <w:kern w:val="0"/>
          <w:sz w:val="24"/>
        </w:rPr>
        <w:t>本次投标中标价格</w:t>
      </w:r>
      <w:r>
        <w:rPr>
          <w:rFonts w:hint="eastAsia" w:ascii="宋体" w:hAnsi="宋体" w:cs="宋体"/>
          <w:kern w:val="0"/>
          <w:sz w:val="24"/>
        </w:rPr>
        <w:t>按照所有产品报价的合计计算并</w:t>
      </w:r>
      <w:r>
        <w:rPr>
          <w:rFonts w:ascii="宋体" w:hAnsi="宋体" w:cs="宋体"/>
          <w:kern w:val="0"/>
          <w:sz w:val="24"/>
        </w:rPr>
        <w:t>精确到分（0.01元）</w:t>
      </w:r>
      <w:r>
        <w:rPr>
          <w:rFonts w:hint="eastAsia" w:ascii="宋体" w:hAnsi="宋体" w:cs="宋体"/>
          <w:kern w:val="0"/>
          <w:sz w:val="24"/>
        </w:rPr>
        <w:t>。</w:t>
      </w:r>
    </w:p>
    <w:p>
      <w:pPr>
        <w:widowControl/>
        <w:spacing w:line="360" w:lineRule="atLeast"/>
        <w:ind w:firstLine="720" w:firstLineChars="300"/>
        <w:jc w:val="left"/>
        <w:rPr>
          <w:rFonts w:ascii="宋体" w:hAnsi="宋体" w:cs="宋体"/>
          <w:kern w:val="0"/>
          <w:sz w:val="24"/>
        </w:rPr>
      </w:pPr>
      <w:r>
        <w:rPr>
          <w:rFonts w:hint="eastAsia" w:ascii="宋体" w:hAnsi="宋体" w:cs="宋体"/>
          <w:kern w:val="0"/>
          <w:sz w:val="24"/>
        </w:rPr>
        <w:t>4.若报价不全，商务标得分为零。</w:t>
      </w:r>
    </w:p>
    <w:p>
      <w:pPr>
        <w:widowControl/>
        <w:spacing w:line="360" w:lineRule="atLeast"/>
        <w:jc w:val="left"/>
        <w:rPr>
          <w:rFonts w:ascii="宋体" w:hAnsi="宋体" w:cs="宋体"/>
          <w:kern w:val="0"/>
          <w:sz w:val="24"/>
        </w:rPr>
      </w:pP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投标单位（盖章）：</w:t>
      </w:r>
    </w:p>
    <w:p>
      <w:pPr>
        <w:widowControl/>
        <w:spacing w:line="300" w:lineRule="exact"/>
        <w:jc w:val="center"/>
        <w:rPr>
          <w:rFonts w:ascii="宋体" w:hAnsi="宋体" w:cs="宋体"/>
          <w:kern w:val="0"/>
          <w:sz w:val="24"/>
        </w:rPr>
      </w:pPr>
      <w:r>
        <w:rPr>
          <w:rFonts w:ascii="宋体" w:hAnsi="宋体" w:cs="宋体"/>
          <w:kern w:val="0"/>
          <w:sz w:val="24"/>
        </w:rPr>
        <w:t xml:space="preserve">               </w:t>
      </w:r>
    </w:p>
    <w:p>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hint="eastAsia" w:ascii="宋体" w:hAnsi="宋体" w:cs="宋体"/>
          <w:kern w:val="0"/>
          <w:sz w:val="24"/>
        </w:rPr>
        <w:t>或签字</w:t>
      </w:r>
      <w:r>
        <w:rPr>
          <w:rFonts w:ascii="宋体" w:hAnsi="宋体" w:cs="宋体"/>
          <w:kern w:val="0"/>
          <w:sz w:val="24"/>
        </w:rPr>
        <w:t>）：</w:t>
      </w:r>
    </w:p>
    <w:p>
      <w:pPr>
        <w:widowControl/>
        <w:spacing w:line="300" w:lineRule="exact"/>
        <w:jc w:val="center"/>
        <w:rPr>
          <w:rFonts w:ascii="宋体" w:hAnsi="宋体" w:cs="宋体"/>
          <w:kern w:val="0"/>
          <w:sz w:val="24"/>
        </w:rPr>
      </w:pPr>
      <w:r>
        <w:rPr>
          <w:rFonts w:ascii="宋体" w:hAnsi="宋体" w:cs="宋体"/>
          <w:kern w:val="0"/>
          <w:sz w:val="24"/>
        </w:rPr>
        <w:t>                                            </w:t>
      </w: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年</w:t>
      </w:r>
      <w:r>
        <w:rPr>
          <w:rFonts w:hint="eastAsia" w:ascii="宋体" w:hAnsi="宋体" w:cs="宋体"/>
          <w:kern w:val="0"/>
          <w:sz w:val="24"/>
        </w:rPr>
        <w:t xml:space="preserve">   </w:t>
      </w:r>
      <w:r>
        <w:rPr>
          <w:rFonts w:ascii="宋体" w:hAnsi="宋体" w:cs="宋体"/>
          <w:kern w:val="0"/>
          <w:sz w:val="24"/>
        </w:rPr>
        <w:t>月 </w:t>
      </w:r>
      <w:r>
        <w:rPr>
          <w:rFonts w:hint="eastAsia" w:ascii="宋体" w:hAnsi="宋体" w:cs="宋体"/>
          <w:kern w:val="0"/>
          <w:sz w:val="24"/>
        </w:rPr>
        <w:t xml:space="preserve">   </w:t>
      </w:r>
      <w:r>
        <w:rPr>
          <w:rFonts w:ascii="宋体" w:hAnsi="宋体" w:cs="宋体"/>
          <w:kern w:val="0"/>
          <w:sz w:val="24"/>
        </w:rPr>
        <w:t>日</w:t>
      </w:r>
    </w:p>
    <w:p>
      <w:pPr>
        <w:rPr>
          <w:rFonts w:hint="eastAsia"/>
        </w:rPr>
      </w:pPr>
      <w:r>
        <w:rPr>
          <w:rFonts w:hint="eastAsia"/>
        </w:rPr>
        <w:br w:type="page"/>
      </w:r>
    </w:p>
    <w:p>
      <w:pPr>
        <w:rPr>
          <w:rFonts w:hint="eastAsia"/>
        </w:rPr>
      </w:pPr>
    </w:p>
    <w:p>
      <w:pPr>
        <w:rPr>
          <w:bCs/>
          <w:szCs w:val="21"/>
        </w:rPr>
      </w:pPr>
      <w:bookmarkStart w:id="19" w:name="_Toc73516696"/>
      <w:r>
        <w:rPr>
          <w:rFonts w:hint="eastAsia"/>
          <w:color w:val="000000" w:themeColor="text1"/>
          <w:szCs w:val="21"/>
          <w14:textFill>
            <w14:solidFill>
              <w14:schemeClr w14:val="tx1"/>
            </w14:solidFill>
          </w14:textFill>
        </w:rPr>
        <w:t>附件</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w:t>
      </w:r>
      <w:r>
        <w:rPr>
          <w:rFonts w:hint="eastAsia"/>
          <w:color w:val="000000" w:themeColor="text1"/>
          <w:szCs w:val="21"/>
          <w:lang w:val="en-US" w:eastAsia="zh-CN"/>
          <w14:textFill>
            <w14:solidFill>
              <w14:schemeClr w14:val="tx1"/>
            </w14:solidFill>
          </w14:textFill>
        </w:rPr>
        <w:t>3</w:t>
      </w:r>
      <w:r>
        <w:rPr>
          <w:rFonts w:hint="eastAsia"/>
          <w:color w:val="000000" w:themeColor="text1"/>
          <w:szCs w:val="21"/>
          <w14:textFill>
            <w14:solidFill>
              <w14:schemeClr w14:val="tx1"/>
            </w14:solidFill>
          </w14:textFill>
        </w:rPr>
        <w:t>：</w:t>
      </w:r>
      <w:r>
        <w:rPr>
          <w:rFonts w:hint="eastAsia"/>
          <w:bCs/>
          <w:szCs w:val="21"/>
        </w:rPr>
        <w:t>奶制品报价单</w:t>
      </w:r>
    </w:p>
    <w:p>
      <w:pPr>
        <w:jc w:val="center"/>
      </w:pPr>
      <w:r>
        <w:rPr>
          <w:rFonts w:hint="eastAsia"/>
          <w:b/>
          <w:sz w:val="36"/>
          <w:szCs w:val="36"/>
        </w:rPr>
        <w:t>奶制品报价单</w:t>
      </w:r>
    </w:p>
    <w:tbl>
      <w:tblPr>
        <w:tblStyle w:val="27"/>
        <w:tblW w:w="952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0"/>
        <w:gridCol w:w="1418"/>
        <w:gridCol w:w="1559"/>
        <w:gridCol w:w="1843"/>
        <w:gridCol w:w="1275"/>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730" w:type="dxa"/>
            <w:vAlign w:val="center"/>
          </w:tcPr>
          <w:p>
            <w:pPr>
              <w:tabs>
                <w:tab w:val="left" w:pos="2280"/>
              </w:tabs>
              <w:jc w:val="center"/>
              <w:rPr>
                <w:sz w:val="30"/>
                <w:szCs w:val="30"/>
              </w:rPr>
            </w:pPr>
            <w:r>
              <w:rPr>
                <w:rFonts w:hint="eastAsia"/>
                <w:sz w:val="30"/>
                <w:szCs w:val="30"/>
              </w:rPr>
              <w:t>品名</w:t>
            </w:r>
          </w:p>
        </w:tc>
        <w:tc>
          <w:tcPr>
            <w:tcW w:w="1418" w:type="dxa"/>
            <w:vAlign w:val="center"/>
          </w:tcPr>
          <w:p>
            <w:pPr>
              <w:tabs>
                <w:tab w:val="left" w:pos="2280"/>
              </w:tabs>
              <w:jc w:val="center"/>
              <w:rPr>
                <w:sz w:val="30"/>
                <w:szCs w:val="30"/>
              </w:rPr>
            </w:pPr>
            <w:r>
              <w:rPr>
                <w:rFonts w:hint="eastAsia"/>
                <w:sz w:val="30"/>
                <w:szCs w:val="30"/>
              </w:rPr>
              <w:t>基本要求</w:t>
            </w:r>
          </w:p>
        </w:tc>
        <w:tc>
          <w:tcPr>
            <w:tcW w:w="1559" w:type="dxa"/>
            <w:vAlign w:val="center"/>
          </w:tcPr>
          <w:p>
            <w:pPr>
              <w:tabs>
                <w:tab w:val="left" w:pos="2280"/>
              </w:tabs>
              <w:jc w:val="center"/>
              <w:rPr>
                <w:sz w:val="30"/>
                <w:szCs w:val="30"/>
              </w:rPr>
            </w:pPr>
            <w:r>
              <w:rPr>
                <w:rFonts w:hint="eastAsia"/>
                <w:sz w:val="30"/>
                <w:szCs w:val="30"/>
              </w:rPr>
              <w:t>单位</w:t>
            </w:r>
          </w:p>
        </w:tc>
        <w:tc>
          <w:tcPr>
            <w:tcW w:w="1843" w:type="dxa"/>
            <w:vAlign w:val="center"/>
          </w:tcPr>
          <w:p>
            <w:pPr>
              <w:tabs>
                <w:tab w:val="left" w:pos="2280"/>
              </w:tabs>
              <w:jc w:val="center"/>
              <w:rPr>
                <w:rFonts w:hint="eastAsia"/>
                <w:sz w:val="30"/>
                <w:szCs w:val="30"/>
              </w:rPr>
            </w:pPr>
            <w:r>
              <w:rPr>
                <w:rFonts w:hint="eastAsia"/>
                <w:sz w:val="30"/>
                <w:szCs w:val="30"/>
              </w:rPr>
              <w:t>品牌</w:t>
            </w:r>
          </w:p>
        </w:tc>
        <w:tc>
          <w:tcPr>
            <w:tcW w:w="1275" w:type="dxa"/>
            <w:vAlign w:val="center"/>
          </w:tcPr>
          <w:p>
            <w:pPr>
              <w:tabs>
                <w:tab w:val="left" w:pos="2280"/>
              </w:tabs>
              <w:jc w:val="center"/>
              <w:rPr>
                <w:sz w:val="30"/>
                <w:szCs w:val="30"/>
              </w:rPr>
            </w:pPr>
            <w:r>
              <w:rPr>
                <w:rFonts w:hint="eastAsia"/>
                <w:sz w:val="30"/>
                <w:szCs w:val="30"/>
              </w:rPr>
              <w:t>报价</w:t>
            </w:r>
          </w:p>
        </w:tc>
        <w:tc>
          <w:tcPr>
            <w:tcW w:w="1701" w:type="dxa"/>
            <w:vAlign w:val="center"/>
          </w:tcPr>
          <w:p>
            <w:pPr>
              <w:tabs>
                <w:tab w:val="left" w:pos="2280"/>
              </w:tabs>
              <w:jc w:val="center"/>
              <w:rPr>
                <w:sz w:val="30"/>
                <w:szCs w:val="30"/>
              </w:rPr>
            </w:pPr>
            <w:r>
              <w:rPr>
                <w:rFonts w:hint="eastAsia"/>
                <w:sz w:val="30"/>
                <w:szCs w:val="3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730" w:type="dxa"/>
            <w:vAlign w:val="center"/>
          </w:tcPr>
          <w:p>
            <w:pPr>
              <w:tabs>
                <w:tab w:val="left" w:pos="2280"/>
              </w:tabs>
              <w:jc w:val="center"/>
              <w:rPr>
                <w:sz w:val="24"/>
              </w:rPr>
            </w:pPr>
            <w:r>
              <w:rPr>
                <w:rFonts w:hint="eastAsia"/>
                <w:sz w:val="24"/>
              </w:rPr>
              <w:t>纯牛奶</w:t>
            </w:r>
          </w:p>
        </w:tc>
        <w:tc>
          <w:tcPr>
            <w:tcW w:w="1418" w:type="dxa"/>
            <w:vMerge w:val="restart"/>
            <w:vAlign w:val="center"/>
          </w:tcPr>
          <w:p>
            <w:pPr>
              <w:tabs>
                <w:tab w:val="left" w:pos="2280"/>
              </w:tabs>
              <w:jc w:val="center"/>
              <w:rPr>
                <w:szCs w:val="21"/>
              </w:rPr>
            </w:pPr>
          </w:p>
          <w:p>
            <w:pPr>
              <w:tabs>
                <w:tab w:val="left" w:pos="2280"/>
              </w:tabs>
              <w:jc w:val="center"/>
              <w:rPr>
                <w:szCs w:val="21"/>
              </w:rPr>
            </w:pPr>
            <w:r>
              <w:rPr>
                <w:rFonts w:hint="eastAsia"/>
                <w:sz w:val="24"/>
              </w:rPr>
              <w:t>符合国家检测要求</w:t>
            </w:r>
          </w:p>
        </w:tc>
        <w:tc>
          <w:tcPr>
            <w:tcW w:w="1559" w:type="dxa"/>
            <w:vAlign w:val="center"/>
          </w:tcPr>
          <w:p>
            <w:pPr>
              <w:tabs>
                <w:tab w:val="left" w:pos="2280"/>
              </w:tabs>
              <w:jc w:val="center"/>
              <w:rPr>
                <w:szCs w:val="21"/>
              </w:rPr>
            </w:pPr>
            <w:r>
              <w:rPr>
                <w:rFonts w:hint="eastAsia"/>
                <w:szCs w:val="21"/>
              </w:rPr>
              <w:t>盒</w:t>
            </w:r>
          </w:p>
        </w:tc>
        <w:tc>
          <w:tcPr>
            <w:tcW w:w="1843" w:type="dxa"/>
            <w:vAlign w:val="center"/>
          </w:tcPr>
          <w:p>
            <w:pPr>
              <w:tabs>
                <w:tab w:val="left" w:pos="2280"/>
              </w:tabs>
              <w:jc w:val="center"/>
              <w:rPr>
                <w:rFonts w:hint="eastAsia" w:eastAsia="宋体"/>
                <w:szCs w:val="21"/>
                <w:lang w:eastAsia="zh-CN"/>
              </w:rPr>
            </w:pPr>
            <w:r>
              <w:rPr>
                <w:rFonts w:hint="eastAsia"/>
                <w:szCs w:val="21"/>
              </w:rPr>
              <w:t>蒙牛</w:t>
            </w:r>
            <w:r>
              <w:rPr>
                <w:rFonts w:hint="eastAsia"/>
                <w:szCs w:val="21"/>
                <w:lang w:eastAsia="zh-CN"/>
              </w:rPr>
              <w:t>、伊利、光明</w:t>
            </w:r>
          </w:p>
        </w:tc>
        <w:tc>
          <w:tcPr>
            <w:tcW w:w="1275" w:type="dxa"/>
            <w:vAlign w:val="center"/>
          </w:tcPr>
          <w:p>
            <w:pPr>
              <w:tabs>
                <w:tab w:val="left" w:pos="2280"/>
              </w:tabs>
              <w:jc w:val="center"/>
              <w:rPr>
                <w:szCs w:val="21"/>
              </w:rPr>
            </w:pPr>
          </w:p>
        </w:tc>
        <w:tc>
          <w:tcPr>
            <w:tcW w:w="1701" w:type="dxa"/>
            <w:vAlign w:val="center"/>
          </w:tcPr>
          <w:p>
            <w:pPr>
              <w:tabs>
                <w:tab w:val="left" w:pos="2280"/>
              </w:tabs>
              <w:jc w:val="center"/>
              <w:rPr>
                <w:szCs w:val="21"/>
              </w:rPr>
            </w:pPr>
            <w:r>
              <w:rPr>
                <w:rFonts w:hint="eastAsia"/>
                <w:szCs w:val="21"/>
              </w:rPr>
              <w:t>250毫升/盒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730" w:type="dxa"/>
            <w:vAlign w:val="center"/>
          </w:tcPr>
          <w:p>
            <w:pPr>
              <w:tabs>
                <w:tab w:val="left" w:pos="2280"/>
              </w:tabs>
              <w:jc w:val="center"/>
              <w:rPr>
                <w:sz w:val="24"/>
              </w:rPr>
            </w:pPr>
            <w:r>
              <w:rPr>
                <w:rFonts w:hint="eastAsia"/>
                <w:sz w:val="24"/>
              </w:rPr>
              <w:t>酸牛奶</w:t>
            </w:r>
          </w:p>
        </w:tc>
        <w:tc>
          <w:tcPr>
            <w:tcW w:w="1418" w:type="dxa"/>
            <w:vMerge w:val="continue"/>
            <w:vAlign w:val="center"/>
          </w:tcPr>
          <w:p>
            <w:pPr>
              <w:tabs>
                <w:tab w:val="left" w:pos="2280"/>
              </w:tabs>
              <w:jc w:val="center"/>
              <w:rPr>
                <w:szCs w:val="21"/>
              </w:rPr>
            </w:pPr>
          </w:p>
        </w:tc>
        <w:tc>
          <w:tcPr>
            <w:tcW w:w="1559" w:type="dxa"/>
            <w:vAlign w:val="center"/>
          </w:tcPr>
          <w:p>
            <w:pPr>
              <w:tabs>
                <w:tab w:val="left" w:pos="2280"/>
              </w:tabs>
              <w:jc w:val="center"/>
              <w:rPr>
                <w:szCs w:val="21"/>
              </w:rPr>
            </w:pPr>
            <w:r>
              <w:rPr>
                <w:rFonts w:hint="eastAsia"/>
                <w:szCs w:val="21"/>
              </w:rPr>
              <w:t>杯</w:t>
            </w:r>
          </w:p>
        </w:tc>
        <w:tc>
          <w:tcPr>
            <w:tcW w:w="1843" w:type="dxa"/>
            <w:vAlign w:val="center"/>
          </w:tcPr>
          <w:p>
            <w:pPr>
              <w:jc w:val="center"/>
              <w:rPr>
                <w:rFonts w:hint="eastAsia"/>
              </w:rPr>
            </w:pPr>
            <w:r>
              <w:rPr>
                <w:rFonts w:hint="eastAsia"/>
                <w:szCs w:val="21"/>
              </w:rPr>
              <w:t>蒙牛</w:t>
            </w:r>
            <w:r>
              <w:rPr>
                <w:rFonts w:hint="eastAsia"/>
                <w:szCs w:val="21"/>
                <w:lang w:eastAsia="zh-CN"/>
              </w:rPr>
              <w:t>、伊利、光明</w:t>
            </w:r>
          </w:p>
        </w:tc>
        <w:tc>
          <w:tcPr>
            <w:tcW w:w="1275" w:type="dxa"/>
            <w:vAlign w:val="center"/>
          </w:tcPr>
          <w:p>
            <w:pPr>
              <w:tabs>
                <w:tab w:val="left" w:pos="2280"/>
              </w:tabs>
              <w:jc w:val="center"/>
              <w:rPr>
                <w:szCs w:val="21"/>
              </w:rPr>
            </w:pPr>
          </w:p>
        </w:tc>
        <w:tc>
          <w:tcPr>
            <w:tcW w:w="1701" w:type="dxa"/>
            <w:vAlign w:val="center"/>
          </w:tcPr>
          <w:p>
            <w:pPr>
              <w:tabs>
                <w:tab w:val="left" w:pos="2280"/>
              </w:tabs>
              <w:jc w:val="center"/>
              <w:rPr>
                <w:szCs w:val="21"/>
              </w:rPr>
            </w:pPr>
            <w:r>
              <w:rPr>
                <w:rFonts w:hint="eastAsia"/>
                <w:szCs w:val="21"/>
              </w:rPr>
              <w:t>100克/杯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730" w:type="dxa"/>
            <w:vAlign w:val="center"/>
          </w:tcPr>
          <w:p>
            <w:pPr>
              <w:tabs>
                <w:tab w:val="left" w:pos="2280"/>
              </w:tabs>
              <w:jc w:val="center"/>
              <w:rPr>
                <w:sz w:val="24"/>
              </w:rPr>
            </w:pPr>
            <w:r>
              <w:rPr>
                <w:rFonts w:hint="eastAsia"/>
                <w:sz w:val="24"/>
              </w:rPr>
              <w:t>豆奶</w:t>
            </w:r>
          </w:p>
        </w:tc>
        <w:tc>
          <w:tcPr>
            <w:tcW w:w="1418" w:type="dxa"/>
            <w:vMerge w:val="continue"/>
            <w:vAlign w:val="center"/>
          </w:tcPr>
          <w:p>
            <w:pPr>
              <w:tabs>
                <w:tab w:val="left" w:pos="2280"/>
              </w:tabs>
              <w:jc w:val="center"/>
              <w:rPr>
                <w:szCs w:val="21"/>
              </w:rPr>
            </w:pPr>
          </w:p>
        </w:tc>
        <w:tc>
          <w:tcPr>
            <w:tcW w:w="1559" w:type="dxa"/>
            <w:vAlign w:val="center"/>
          </w:tcPr>
          <w:p>
            <w:pPr>
              <w:tabs>
                <w:tab w:val="left" w:pos="2280"/>
              </w:tabs>
              <w:jc w:val="center"/>
              <w:rPr>
                <w:szCs w:val="21"/>
              </w:rPr>
            </w:pPr>
            <w:r>
              <w:rPr>
                <w:rFonts w:hint="eastAsia"/>
                <w:szCs w:val="21"/>
              </w:rPr>
              <w:t>袋</w:t>
            </w:r>
          </w:p>
        </w:tc>
        <w:tc>
          <w:tcPr>
            <w:tcW w:w="1843" w:type="dxa"/>
            <w:vAlign w:val="center"/>
          </w:tcPr>
          <w:p>
            <w:pPr>
              <w:tabs>
                <w:tab w:val="left" w:pos="2280"/>
              </w:tabs>
              <w:jc w:val="center"/>
              <w:rPr>
                <w:szCs w:val="21"/>
              </w:rPr>
            </w:pPr>
            <w:r>
              <w:rPr>
                <w:rFonts w:hint="eastAsia"/>
                <w:szCs w:val="21"/>
              </w:rPr>
              <w:t>祖名</w:t>
            </w:r>
          </w:p>
        </w:tc>
        <w:tc>
          <w:tcPr>
            <w:tcW w:w="1275" w:type="dxa"/>
            <w:vAlign w:val="center"/>
          </w:tcPr>
          <w:p>
            <w:pPr>
              <w:tabs>
                <w:tab w:val="left" w:pos="2280"/>
              </w:tabs>
              <w:jc w:val="center"/>
              <w:rPr>
                <w:szCs w:val="21"/>
              </w:rPr>
            </w:pPr>
          </w:p>
        </w:tc>
        <w:tc>
          <w:tcPr>
            <w:tcW w:w="1701" w:type="dxa"/>
            <w:vAlign w:val="center"/>
          </w:tcPr>
          <w:p>
            <w:pPr>
              <w:tabs>
                <w:tab w:val="left" w:pos="2280"/>
              </w:tabs>
              <w:jc w:val="center"/>
              <w:rPr>
                <w:szCs w:val="21"/>
              </w:rPr>
            </w:pPr>
            <w:r>
              <w:rPr>
                <w:rFonts w:hint="eastAsia"/>
                <w:szCs w:val="21"/>
              </w:rPr>
              <w:t>250毫升/袋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6550" w:type="dxa"/>
            <w:gridSpan w:val="4"/>
            <w:vAlign w:val="center"/>
          </w:tcPr>
          <w:p>
            <w:pPr>
              <w:tabs>
                <w:tab w:val="left" w:pos="2280"/>
              </w:tabs>
              <w:jc w:val="center"/>
              <w:rPr>
                <w:szCs w:val="21"/>
              </w:rPr>
            </w:pPr>
            <w:r>
              <w:rPr>
                <w:rFonts w:hint="eastAsia"/>
                <w:sz w:val="24"/>
              </w:rPr>
              <w:t>合       计</w:t>
            </w:r>
          </w:p>
        </w:tc>
        <w:tc>
          <w:tcPr>
            <w:tcW w:w="1275" w:type="dxa"/>
            <w:vAlign w:val="center"/>
          </w:tcPr>
          <w:p>
            <w:pPr>
              <w:tabs>
                <w:tab w:val="left" w:pos="2280"/>
              </w:tabs>
              <w:jc w:val="center"/>
              <w:rPr>
                <w:szCs w:val="21"/>
              </w:rPr>
            </w:pPr>
          </w:p>
        </w:tc>
        <w:tc>
          <w:tcPr>
            <w:tcW w:w="1701" w:type="dxa"/>
            <w:vAlign w:val="center"/>
          </w:tcPr>
          <w:p>
            <w:pPr>
              <w:tabs>
                <w:tab w:val="left" w:pos="2280"/>
              </w:tabs>
              <w:jc w:val="center"/>
              <w:rPr>
                <w:szCs w:val="21"/>
              </w:rPr>
            </w:pPr>
          </w:p>
        </w:tc>
      </w:tr>
    </w:tbl>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r>
        <w:rPr>
          <w:rFonts w:ascii="宋体" w:hAnsi="宋体" w:cs="宋体"/>
          <w:kern w:val="0"/>
          <w:sz w:val="24"/>
        </w:rPr>
        <w:t>备注：1</w:t>
      </w:r>
      <w:r>
        <w:rPr>
          <w:rFonts w:hint="eastAsia" w:ascii="宋体" w:hAnsi="宋体" w:cs="宋体"/>
          <w:kern w:val="0"/>
          <w:sz w:val="24"/>
        </w:rPr>
        <w:t>.</w:t>
      </w:r>
      <w:r>
        <w:rPr>
          <w:rFonts w:hint="eastAsia" w:ascii="宋体" w:hAnsi="宋体" w:cs="宋体"/>
          <w:b/>
          <w:bCs/>
          <w:kern w:val="0"/>
          <w:sz w:val="24"/>
        </w:rPr>
        <w:t>报价</w:t>
      </w:r>
      <w:r>
        <w:rPr>
          <w:rFonts w:ascii="宋体" w:hAnsi="宋体" w:cs="宋体"/>
          <w:b/>
          <w:bCs/>
          <w:kern w:val="0"/>
          <w:sz w:val="24"/>
        </w:rPr>
        <w:t>一律</w:t>
      </w:r>
      <w:r>
        <w:rPr>
          <w:rFonts w:hint="eastAsia" w:ascii="宋体" w:hAnsi="宋体" w:cs="宋体"/>
          <w:b/>
          <w:bCs/>
          <w:kern w:val="0"/>
          <w:sz w:val="24"/>
        </w:rPr>
        <w:t>使</w:t>
      </w:r>
      <w:r>
        <w:rPr>
          <w:rFonts w:ascii="宋体" w:hAnsi="宋体" w:cs="宋体"/>
          <w:b/>
          <w:bCs/>
          <w:kern w:val="0"/>
          <w:sz w:val="24"/>
        </w:rPr>
        <w:t>用</w:t>
      </w:r>
      <w:r>
        <w:rPr>
          <w:rFonts w:hint="eastAsia" w:ascii="宋体" w:hAnsi="宋体" w:cs="宋体"/>
          <w:b/>
          <w:bCs/>
          <w:kern w:val="0"/>
          <w:sz w:val="24"/>
        </w:rPr>
        <w:t>电脑</w:t>
      </w:r>
      <w:r>
        <w:rPr>
          <w:rFonts w:ascii="宋体" w:hAnsi="宋体" w:cs="宋体"/>
          <w:b/>
          <w:bCs/>
          <w:kern w:val="0"/>
          <w:sz w:val="24"/>
        </w:rPr>
        <w:t>打印</w:t>
      </w:r>
      <w:r>
        <w:rPr>
          <w:rFonts w:hint="eastAsia" w:ascii="宋体" w:hAnsi="宋体" w:cs="宋体"/>
          <w:b/>
          <w:bCs/>
          <w:kern w:val="0"/>
          <w:sz w:val="24"/>
        </w:rPr>
        <w:t>，手写将作废标处理</w:t>
      </w:r>
      <w:r>
        <w:rPr>
          <w:rFonts w:ascii="宋体" w:hAnsi="宋体" w:cs="宋体"/>
          <w:b/>
          <w:bCs/>
          <w:kern w:val="0"/>
          <w:sz w:val="24"/>
        </w:rPr>
        <w:t>。</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w:t>
      </w:r>
      <w:r>
        <w:rPr>
          <w:rFonts w:ascii="宋体" w:hAnsi="宋体" w:cs="宋体"/>
          <w:kern w:val="0"/>
          <w:sz w:val="24"/>
        </w:rPr>
        <w:t>有何其它说明请填写在表格备注栏内。</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w:t>
      </w:r>
      <w:r>
        <w:rPr>
          <w:rFonts w:ascii="宋体" w:hAnsi="宋体" w:cs="宋体"/>
          <w:kern w:val="0"/>
          <w:sz w:val="24"/>
        </w:rPr>
        <w:t>本次投标中标价格</w:t>
      </w:r>
      <w:r>
        <w:rPr>
          <w:rFonts w:hint="eastAsia" w:ascii="宋体" w:hAnsi="宋体" w:cs="宋体"/>
          <w:kern w:val="0"/>
          <w:sz w:val="24"/>
        </w:rPr>
        <w:t>按照所有产品报价的合计计算并</w:t>
      </w:r>
      <w:r>
        <w:rPr>
          <w:rFonts w:ascii="宋体" w:hAnsi="宋体" w:cs="宋体"/>
          <w:kern w:val="0"/>
          <w:sz w:val="24"/>
        </w:rPr>
        <w:t>精确到分（0.01元）</w:t>
      </w:r>
      <w:r>
        <w:rPr>
          <w:rFonts w:hint="eastAsia" w:ascii="宋体" w:hAnsi="宋体" w:cs="宋体"/>
          <w:kern w:val="0"/>
          <w:sz w:val="24"/>
        </w:rPr>
        <w:t>。</w:t>
      </w:r>
    </w:p>
    <w:p>
      <w:pPr>
        <w:widowControl/>
        <w:spacing w:line="360" w:lineRule="atLeast"/>
        <w:ind w:firstLine="720" w:firstLineChars="300"/>
        <w:jc w:val="left"/>
        <w:rPr>
          <w:rFonts w:ascii="宋体" w:hAnsi="宋体" w:cs="宋体"/>
          <w:kern w:val="0"/>
          <w:sz w:val="24"/>
        </w:rPr>
      </w:pPr>
      <w:r>
        <w:rPr>
          <w:rFonts w:hint="eastAsia" w:ascii="宋体" w:hAnsi="宋体" w:cs="宋体"/>
          <w:kern w:val="0"/>
          <w:sz w:val="24"/>
        </w:rPr>
        <w:t>4.若报价不全，商务标得分为零。</w:t>
      </w: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投标单位（盖章）：</w:t>
      </w:r>
    </w:p>
    <w:p>
      <w:pPr>
        <w:widowControl/>
        <w:spacing w:line="300" w:lineRule="exact"/>
        <w:jc w:val="center"/>
        <w:rPr>
          <w:rFonts w:ascii="宋体" w:hAnsi="宋体" w:cs="宋体"/>
          <w:kern w:val="0"/>
          <w:sz w:val="24"/>
        </w:rPr>
      </w:pPr>
      <w:r>
        <w:rPr>
          <w:rFonts w:ascii="宋体" w:hAnsi="宋体" w:cs="宋体"/>
          <w:kern w:val="0"/>
          <w:sz w:val="24"/>
        </w:rPr>
        <w:t xml:space="preserve">               </w:t>
      </w:r>
    </w:p>
    <w:p>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hint="eastAsia" w:ascii="宋体" w:hAnsi="宋体" w:cs="宋体"/>
          <w:kern w:val="0"/>
          <w:sz w:val="24"/>
        </w:rPr>
        <w:t>或签字</w:t>
      </w:r>
      <w:r>
        <w:rPr>
          <w:rFonts w:ascii="宋体" w:hAnsi="宋体" w:cs="宋体"/>
          <w:kern w:val="0"/>
          <w:sz w:val="24"/>
        </w:rPr>
        <w:t>）：</w:t>
      </w:r>
    </w:p>
    <w:p>
      <w:pPr>
        <w:widowControl/>
        <w:spacing w:line="300" w:lineRule="exact"/>
        <w:jc w:val="center"/>
        <w:rPr>
          <w:rFonts w:ascii="宋体" w:hAnsi="宋体" w:cs="宋体"/>
          <w:kern w:val="0"/>
          <w:sz w:val="24"/>
        </w:rPr>
      </w:pPr>
      <w:r>
        <w:rPr>
          <w:rFonts w:ascii="宋体" w:hAnsi="宋体" w:cs="宋体"/>
          <w:kern w:val="0"/>
          <w:sz w:val="24"/>
        </w:rPr>
        <w:t>                                            </w:t>
      </w:r>
    </w:p>
    <w:p>
      <w:pPr>
        <w:widowControl/>
        <w:spacing w:line="300" w:lineRule="exact"/>
        <w:jc w:val="center"/>
        <w:rPr>
          <w:rFonts w:hint="eastAsia"/>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年</w:t>
      </w:r>
      <w:r>
        <w:rPr>
          <w:rFonts w:hint="eastAsia" w:ascii="宋体" w:hAnsi="宋体" w:cs="宋体"/>
          <w:kern w:val="0"/>
          <w:sz w:val="24"/>
        </w:rPr>
        <w:t xml:space="preserve">   </w:t>
      </w:r>
      <w:r>
        <w:rPr>
          <w:rFonts w:ascii="宋体" w:hAnsi="宋体" w:cs="宋体"/>
          <w:kern w:val="0"/>
          <w:sz w:val="24"/>
        </w:rPr>
        <w:t>月 </w:t>
      </w:r>
      <w:r>
        <w:rPr>
          <w:rFonts w:hint="eastAsia" w:ascii="宋体" w:hAnsi="宋体" w:cs="宋体"/>
          <w:kern w:val="0"/>
          <w:sz w:val="24"/>
        </w:rPr>
        <w:t xml:space="preserve">   </w:t>
      </w:r>
      <w:r>
        <w:rPr>
          <w:rFonts w:ascii="宋体" w:hAnsi="宋体" w:cs="宋体"/>
          <w:kern w:val="0"/>
          <w:sz w:val="24"/>
        </w:rPr>
        <w:t>日</w:t>
      </w:r>
    </w:p>
    <w:p>
      <w:pPr>
        <w:widowControl/>
        <w:jc w:val="left"/>
      </w:pPr>
      <w:r>
        <w:br w:type="page"/>
      </w:r>
    </w:p>
    <w:bookmarkEnd w:id="19"/>
    <w:p>
      <w:pPr>
        <w:pStyle w:val="4"/>
        <w:rPr>
          <w:b w:val="0"/>
          <w:color w:val="000000" w:themeColor="text1"/>
          <w:sz w:val="21"/>
          <w:szCs w:val="21"/>
          <w14:textFill>
            <w14:solidFill>
              <w14:schemeClr w14:val="tx1"/>
            </w14:solidFill>
          </w14:textFill>
        </w:rPr>
      </w:pPr>
      <w:bookmarkStart w:id="20" w:name="_Toc24632184"/>
      <w:bookmarkStart w:id="21" w:name="_Toc73516699"/>
      <w:r>
        <w:rPr>
          <w:rFonts w:hint="eastAsia"/>
          <w:b w:val="0"/>
          <w:color w:val="000000" w:themeColor="text1"/>
          <w:sz w:val="21"/>
          <w:szCs w:val="21"/>
          <w14:textFill>
            <w14:solidFill>
              <w14:schemeClr w14:val="tx1"/>
            </w14:solidFill>
          </w14:textFill>
        </w:rPr>
        <w:t>附件3：法定代表人资格证明</w:t>
      </w:r>
      <w:bookmarkEnd w:id="20"/>
      <w:bookmarkEnd w:id="21"/>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法定代表人资格证明</w:t>
      </w:r>
    </w:p>
    <w:p>
      <w:pPr>
        <w:spacing w:after="240" w:afterLines="100" w:line="480" w:lineRule="auto"/>
        <w:ind w:left="-136" w:right="-351" w:rightChars="-167"/>
        <w:rPr>
          <w:rFonts w:ascii="宋体" w:cs="宋体"/>
          <w:color w:val="000000" w:themeColor="text1"/>
          <w:kern w:val="0"/>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姓名：</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性别：</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系我</w:t>
      </w:r>
      <w:r>
        <w:rPr>
          <w:color w:val="000000" w:themeColor="text1"/>
          <w:sz w:val="28"/>
          <w:szCs w:val="28"/>
          <w14:textFill>
            <w14:solidFill>
              <w14:schemeClr w14:val="tx1"/>
            </w14:solidFill>
          </w14:textFill>
        </w:rPr>
        <w:t>公司的</w:t>
      </w:r>
      <w:r>
        <w:rPr>
          <w:rFonts w:hint="eastAsia"/>
          <w:color w:val="000000" w:themeColor="text1"/>
          <w:sz w:val="28"/>
          <w:szCs w:val="28"/>
          <w14:textFill>
            <w14:solidFill>
              <w14:schemeClr w14:val="tx1"/>
            </w14:solidFill>
          </w14:textFill>
        </w:rPr>
        <w:t>法</w:t>
      </w:r>
      <w:r>
        <w:rPr>
          <w:rFonts w:hint="eastAsia" w:ascii="宋体" w:hAnsi="宋体" w:cs="宋体"/>
          <w:color w:val="000000" w:themeColor="text1"/>
          <w:kern w:val="0"/>
          <w:sz w:val="28"/>
          <w:szCs w:val="28"/>
          <w14:textFill>
            <w14:solidFill>
              <w14:schemeClr w14:val="tx1"/>
            </w14:solidFill>
          </w14:textFill>
        </w:rPr>
        <w:t>定代表人，</w:t>
      </w:r>
      <w:r>
        <w:rPr>
          <w:rFonts w:hint="eastAsia"/>
          <w:color w:val="000000" w:themeColor="text1"/>
          <w:sz w:val="28"/>
          <w:szCs w:val="28"/>
          <w14:textFill>
            <w14:solidFill>
              <w14:schemeClr w14:val="tx1"/>
            </w14:solidFill>
          </w14:textFill>
        </w:rPr>
        <w:t>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color w:val="000000" w:themeColor="text1"/>
          <w:sz w:val="28"/>
          <w:szCs w:val="28"/>
          <w14:textFill>
            <w14:solidFill>
              <w14:schemeClr w14:val="tx1"/>
            </w14:solidFill>
          </w14:textFill>
        </w:rPr>
      </w:pPr>
    </w:p>
    <w:p>
      <w:pPr>
        <w:pStyle w:val="4"/>
        <w:rPr>
          <w:b w:val="0"/>
          <w:color w:val="000000" w:themeColor="text1"/>
          <w:sz w:val="21"/>
          <w:szCs w:val="21"/>
          <w14:textFill>
            <w14:solidFill>
              <w14:schemeClr w14:val="tx1"/>
            </w14:solidFill>
          </w14:textFill>
        </w:rPr>
      </w:pPr>
      <w:bookmarkStart w:id="22" w:name="_Toc73516700"/>
      <w:bookmarkStart w:id="23" w:name="_Toc24632185"/>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3164205</wp:posOffset>
                </wp:positionH>
                <wp:positionV relativeFrom="paragraph">
                  <wp:posOffset>448945</wp:posOffset>
                </wp:positionV>
                <wp:extent cx="2905760" cy="1973580"/>
                <wp:effectExtent l="4445" t="4445" r="23495" b="22225"/>
                <wp:wrapNone/>
                <wp:docPr id="16"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249.15pt;margin-top:35.35pt;height:155.4pt;width:228.8pt;z-index:251661312;mso-width-relative:page;mso-height-relative:page;" fillcolor="#FFFFFF" filled="t" stroked="t" coordsize="21600,21600" o:gfxdata="UEsDBAoAAAAAAIdO4kAAAAAAAAAAAAAAAAAEAAAAZHJzL1BLAwQUAAAACACHTuJA8Vc3H9oAAAAK&#10;AQAADwAAAGRycy9kb3ducmV2LnhtbE2Py07DMBBF90j8gzVIbBC1Q5rmQSZdIIFgBwW1WzeeJhGx&#10;HWw3LX+PWcFydI/uPVOvz3pkMzk/WIOQLAQwMq1Vg+kQPt4fbwtgPkij5GgNIXyTh3VzeVHLStmT&#10;eaN5EzoWS4yvJEIfwlRx7tuetPQLO5GJ2cE6LUM8XceVk6dYrkd+J8SKazmYuNDLiR56aj83R41Q&#10;LJ/nnX9JX7ft6jCW4Safn74c4vVVIu6BBTqHPxh+9aM6NNFpb49GeTYiLMsijShCLnJgESizrAS2&#10;R0iLJAPe1Pz/C80PUEsDBBQAAAAIAIdO4kAgDA9TMgIAAIgEAAAOAAAAZHJzL2Uyb0RvYy54bWyt&#10;VM1u2zAMvg/YOwi6L06y/DRGnaJL0WFA1w1o9wCKLMfCJFGjlNjZ04+S0y7oNqCH+SCQIvWR/Ej6&#10;8qq3hh0UBg2u4pPRmDPlJNTa7Sr+7fH23QVnIQpXCwNOVfyoAr9av31z2flSTaEFUytkBOJC2fmK&#10;tzH6siiCbJUVYQReOTI2gFZEUnFX1Cg6QremmI7Hi6IDrD2CVCHQ7c1g5CdEfA0gNI2W6gbk3ioX&#10;B1RURkQqKbTaB77O2TaNkvFL0wQVmak4VRrzSUFI3qazWF+KcofCt1qeUhCvSeFFTVZoR0GfoW5E&#10;FGyP+g8oqyVCgCaOJNhiKCQzQlVMxi+4eWiFV7kWojr4Z9LD/4OV94evyHRNk7DgzAlLHX9UfWQf&#10;oGfTRE/nQ0leD578Yk/X5JpLDf4O5PfAHGxa4XbqGhG6Voma0pukl8XZ0wEnJJBt9xlqCiP2ETJQ&#10;36BN3BEbjNCpNcfn1qRUJF1OV+P5ckEmSbbJavl+fpGbV4jy6bnHED8qsCwJFUfqfYYXh7sQUzqi&#10;fHJJ0QIYXd9qY7KCu+3GIDsImpPb/OUKXrgZx7qKr+bT+cDAPyHG+fsbhNWR1sdoW/GLcyfjToQl&#10;jga2Yr/tTw3YQn0k6hCGAab1JaEF/MlZR8Nb8fBjL1BxZj45on81mc3StGdlNl9OScFzy/bcIpwk&#10;qIpHzgZxE4cN2XvUu5YiDQ13cE0ta3QmM/V2yOqUNw1o5vi0TGkDzvXs9fsHsv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8Vc3H9oAAAAKAQAADwAAAAAAAAABACAAAAAiAAAAZHJzL2Rvd25yZXYu&#10;eG1sUEsBAhQAFAAAAAgAh07iQCAMD1MyAgAAiAQAAA4AAAAAAAAAAQAgAAAAKQEAAGRycy9lMm9E&#10;b2MueG1sUEsFBgAAAAAGAAYAWQEAAM0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160020</wp:posOffset>
                </wp:positionH>
                <wp:positionV relativeFrom="paragraph">
                  <wp:posOffset>451485</wp:posOffset>
                </wp:positionV>
                <wp:extent cx="2905760" cy="1973580"/>
                <wp:effectExtent l="4445" t="4445" r="23495" b="22225"/>
                <wp:wrapNone/>
                <wp:docPr id="15"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12.6pt;margin-top:35.55pt;height:155.4pt;width:228.8pt;z-index:251660288;mso-width-relative:page;mso-height-relative:page;" fillcolor="#FFFFFF" filled="t" stroked="t" coordsize="21600,21600" o:gfxdata="UEsDBAoAAAAAAIdO4kAAAAAAAAAAAAAAAAAEAAAAZHJzL1BLAwQUAAAACACHTuJARfISstkAAAAJ&#10;AQAADwAAAGRycy9kb3ducmV2LnhtbE2PwU7DMBBE70j8g7VIXBB1kpY2DXF6QALBDQqCqxtvkwh7&#10;HWw3LX/PcoLjaEYzb+rNyVkxYYiDJwX5LAOB1HozUKfg7fX+ugQRkyajrSdU8I0RNs35Wa0r44/0&#10;gtM2dYJLKFZaQZ/SWEkZ2x6djjM/IrG398HpxDJ00gR95HJnZZFlS+n0QLzQ6xHvemw/twenoFw8&#10;Th/xaf783i73dp2uVtPDV1Dq8iLPbkEkPKW/MPziMzo0zLTzBzJRWAXFTcFJBas8B8H+oiz4yk7B&#10;vMzXIJta/n/Q/ABQSwMEFAAAAAgAh07iQCYM/BIyAgAAiAQAAA4AAABkcnMvZTJvRG9jLnhtbK1U&#10;wW7bMAy9D9g/CLovTrKkbYw4RZeiw4CuG9DuAxRZjoVJokYpsbOvHyWnXZBtQA/zQSBF6pF8JL28&#10;7q1he4VBg6v4ZDTmTDkJtXbbin97unt3xVmIwtXCgFMVP6jAr1dv3yw7X6optGBqhYxAXCg7X/E2&#10;Rl8WRZCtsiKMwCtHxgbQikgqbosaRUfo1hTT8fii6ABrjyBVCHR7Oxj5ERFfAwhNo6W6BbmzysUB&#10;FZURkUoKrfaBr3K2TaNk/NI0QUVmKk6VxnxSEJI36SxWS1FuUfhWy2MK4jUpnNVkhXYU9AXqVkTB&#10;dqj/gLJaIgRo4kiCLYZCMiNUxWR8xs1jK7zKtRDVwb+QHv4frHzYf0Wma5qEOWdOWOr4k+oj+wA9&#10;myZ6Oh9K8nr05Bd7uibXXGrw9yC/B+Zg3Qq3VTeI0LVK1JTeJL0sTp4OOCGBbLrPUFMYsYuQgfoG&#10;beKO2GCETq05vLQmpSLpcroYzy8vyCTJNllcvp9f5eYVonx+7jHEjwosS0LFkXqf4cX+PsSUjiif&#10;XVK0AEbXd9qYrOB2szbI9oLm5C5/uYIzN+NYV/HFfDofGPgnxDh/f4OwOtL6GG0rfnXqZNyRsMTR&#10;wFbsN/2xARuoD0QdwjDAtL4ktIA/OetoeCsefuwEKs7MJ0f0LyazWZr2rMzml1NS8NSyObUIJwmq&#10;4pGzQVzHYUN2HvW2pUhDwx3cUMsanclMvR2yOuZNA5o5Pi5T2oBTPXv9/oGsf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F8hKy2QAAAAkBAAAPAAAAAAAAAAEAIAAAACIAAABkcnMvZG93bnJldi54&#10;bWxQSwECFAAUAAAACACHTuJAJgz8EjICAACIBAAADgAAAAAAAAABACAAAAAoAQAAZHJzL2Uyb0Rv&#10;Yy54bWxQSwUGAAAAAAYABgBZAQAAzA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r>
        <w:rPr>
          <w:rFonts w:ascii="宋体"/>
          <w:b w:val="0"/>
          <w:bCs w:val="0"/>
          <w:color w:val="000000" w:themeColor="text1"/>
          <w:sz w:val="30"/>
          <w14:textFill>
            <w14:solidFill>
              <w14:schemeClr w14:val="tx1"/>
            </w14:solidFill>
          </w14:textFill>
        </w:rPr>
        <w:br w:type="page"/>
      </w:r>
      <w:r>
        <w:rPr>
          <w:rFonts w:hint="eastAsia"/>
          <w:b w:val="0"/>
          <w:color w:val="000000" w:themeColor="text1"/>
          <w:sz w:val="21"/>
          <w:szCs w:val="21"/>
          <w14:textFill>
            <w14:solidFill>
              <w14:schemeClr w14:val="tx1"/>
            </w14:solidFill>
          </w14:textFill>
        </w:rPr>
        <w:t>附件4：法定代表人授权书</w:t>
      </w:r>
      <w:bookmarkEnd w:id="22"/>
      <w:bookmarkEnd w:id="23"/>
    </w:p>
    <w:p>
      <w:pPr>
        <w:spacing w:line="500" w:lineRule="exact"/>
        <w:ind w:right="32"/>
        <w:rPr>
          <w:rFonts w:ascii="楷体_GB2312" w:hAnsi="宋体" w:eastAsia="楷体_GB2312"/>
          <w:color w:val="000000" w:themeColor="text1"/>
          <w:sz w:val="22"/>
          <w:szCs w:val="22"/>
          <w14:textFill>
            <w14:solidFill>
              <w14:schemeClr w14:val="tx1"/>
            </w14:solidFill>
          </w14:textFill>
        </w:rPr>
      </w:pP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法定代表人授权书</w:t>
      </w:r>
    </w:p>
    <w:p>
      <w:pPr>
        <w:spacing w:line="480" w:lineRule="auto"/>
        <w:ind w:left="-137" w:right="-351" w:rightChars="-167"/>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本授权书声明：我</w:t>
      </w:r>
      <w:r>
        <w:rPr>
          <w:rFonts w:hint="eastAsia"/>
          <w:color w:val="000000" w:themeColor="text1"/>
          <w:sz w:val="28"/>
          <w:szCs w:val="28"/>
          <w:u w:val="single"/>
          <w14:textFill>
            <w14:solidFill>
              <w14:schemeClr w14:val="tx1"/>
            </w14:solidFill>
          </w14:textFill>
        </w:rPr>
        <w:t>（法定代表人姓名）</w:t>
      </w:r>
      <w:r>
        <w:rPr>
          <w:rFonts w:hint="eastAsia"/>
          <w:color w:val="000000" w:themeColor="text1"/>
          <w:sz w:val="28"/>
          <w:szCs w:val="28"/>
          <w14:textFill>
            <w14:solidFill>
              <w14:schemeClr w14:val="tx1"/>
            </w14:solidFill>
          </w14:textFill>
        </w:rPr>
        <w:t>系</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color w:val="000000" w:themeColor="text1"/>
          <w:sz w:val="28"/>
          <w:szCs w:val="28"/>
          <w14:textFill>
            <w14:solidFill>
              <w14:schemeClr w14:val="tx1"/>
            </w14:solidFill>
          </w14:textFill>
        </w:rPr>
        <w:t>代表本公司授权</w:t>
      </w:r>
      <w:r>
        <w:rPr>
          <w:rFonts w:hint="eastAsia"/>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的</w:t>
      </w:r>
      <w:r>
        <w:rPr>
          <w:color w:val="000000" w:themeColor="text1"/>
          <w:sz w:val="28"/>
          <w:szCs w:val="28"/>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为本公司的合法代理人，参加南通大学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本授权书于</w:t>
      </w:r>
      <w:r>
        <w:rPr>
          <w:color w:val="000000" w:themeColor="text1"/>
          <w:sz w:val="28"/>
          <w:szCs w:val="28"/>
          <w14:textFill>
            <w14:solidFill>
              <w14:schemeClr w14:val="tx1"/>
            </w14:solidFill>
          </w14:textFill>
        </w:rPr>
        <w:t>_______</w:t>
      </w:r>
      <w:r>
        <w:rPr>
          <w:rFonts w:hint="eastAsia"/>
          <w:color w:val="000000" w:themeColor="text1"/>
          <w:sz w:val="28"/>
          <w:szCs w:val="28"/>
          <w14:textFill>
            <w14:solidFill>
              <w14:schemeClr w14:val="tx1"/>
            </w14:solidFill>
          </w14:textFill>
        </w:rPr>
        <w:t>年</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月</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日签字生效。</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法定代表人签字：</w:t>
      </w:r>
      <w:r>
        <w:rPr>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被授权人签字：</w:t>
      </w:r>
      <w:r>
        <w:rPr>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jc w:val="center"/>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16.25pt;margin-top:15.25pt;height:171.6pt;width:200.3pt;z-index:251663360;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4.75pt;margin-top:15.4pt;height:171.6pt;width:200.3pt;z-index:251662336;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pStyle w:val="56"/>
        <w:shd w:val="clear" w:color="auto" w:fill="FFFFFF"/>
        <w:spacing w:before="0" w:beforeAutospacing="0" w:after="0" w:afterAutospacing="0" w:line="2160" w:lineRule="atLeas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注：“法定代表人”直接参加投标和签署投标文件的无需提供该授权书。</w:t>
      </w:r>
    </w:p>
    <w:p>
      <w:pPr>
        <w:spacing w:line="360" w:lineRule="auto"/>
        <w:rPr>
          <w:rFonts w:ascii="宋体" w:hAnsi="宋体"/>
          <w:color w:val="000000" w:themeColor="text1"/>
          <w:spacing w:val="4"/>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rFonts w:ascii="黑体" w:hAnsi="黑体" w:eastAsia="黑体" w:cs="宋体"/>
          <w:b w:val="0"/>
          <w:color w:val="000000" w:themeColor="text1"/>
          <w:kern w:val="0"/>
          <w:sz w:val="24"/>
          <w14:textFill>
            <w14:solidFill>
              <w14:schemeClr w14:val="tx1"/>
            </w14:solidFill>
          </w14:textFill>
        </w:rPr>
        <w:br w:type="page"/>
      </w:r>
      <w:bookmarkStart w:id="24" w:name="_Toc73516701"/>
      <w:r>
        <w:rPr>
          <w:rFonts w:hint="eastAsia"/>
          <w:b w:val="0"/>
          <w:color w:val="000000" w:themeColor="text1"/>
          <w:sz w:val="21"/>
          <w:szCs w:val="21"/>
          <w14:textFill>
            <w14:solidFill>
              <w14:schemeClr w14:val="tx1"/>
            </w14:solidFill>
          </w14:textFill>
        </w:rPr>
        <w:t>附件5：无重大违法记录声明</w:t>
      </w:r>
      <w:bookmarkEnd w:id="24"/>
    </w:p>
    <w:p>
      <w:pPr>
        <w:pStyle w:val="53"/>
        <w:rPr>
          <w:b/>
          <w:color w:val="000000" w:themeColor="text1"/>
          <w:sz w:val="30"/>
          <w:szCs w:val="30"/>
          <w14:textFill>
            <w14:solidFill>
              <w14:schemeClr w14:val="tx1"/>
            </w14:solidFill>
          </w14:textFill>
        </w:rPr>
      </w:pPr>
    </w:p>
    <w:p>
      <w:pPr>
        <w:pStyle w:val="53"/>
        <w:rPr>
          <w:b/>
          <w:color w:val="000000" w:themeColor="text1"/>
          <w:sz w:val="30"/>
          <w:szCs w:val="30"/>
          <w14:textFill>
            <w14:solidFill>
              <w14:schemeClr w14:val="tx1"/>
            </w14:solidFill>
          </w14:textFill>
        </w:rPr>
      </w:pPr>
    </w:p>
    <w:p>
      <w:pPr>
        <w:pStyle w:val="53"/>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53"/>
        <w:rPr>
          <w:b/>
          <w:color w:val="000000" w:themeColor="text1"/>
          <w:sz w:val="30"/>
          <w:szCs w:val="30"/>
          <w14:textFill>
            <w14:solidFill>
              <w14:schemeClr w14:val="tx1"/>
            </w14:solidFill>
          </w14:textFill>
        </w:rPr>
      </w:pP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（供应商名称）参加本次采购活动前3年内在经营活动中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声明人：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widowControl/>
        <w:jc w:val="left"/>
        <w:rPr>
          <w:rFonts w:ascii="Helvetica" w:hAnsi="Helvetica" w:cs="Helvetica"/>
          <w:color w:val="000000" w:themeColor="text1"/>
          <w:kern w:val="0"/>
          <w:sz w:val="28"/>
          <w:szCs w:val="28"/>
          <w14:textFill>
            <w14:solidFill>
              <w14:schemeClr w14:val="tx1"/>
            </w14:solidFill>
          </w14:textFill>
        </w:rPr>
      </w:pPr>
      <w:r>
        <w:rPr>
          <w:color w:val="000000" w:themeColor="text1"/>
          <w:sz w:val="28"/>
          <w:szCs w:val="28"/>
          <w14:textFill>
            <w14:solidFill>
              <w14:schemeClr w14:val="tx1"/>
            </w14:solidFill>
          </w14:textFill>
        </w:rPr>
        <w:br w:type="page"/>
      </w:r>
    </w:p>
    <w:p>
      <w:pPr>
        <w:pStyle w:val="4"/>
        <w:rPr>
          <w:b w:val="0"/>
          <w:color w:val="000000" w:themeColor="text1"/>
          <w:sz w:val="21"/>
          <w:szCs w:val="21"/>
          <w14:textFill>
            <w14:solidFill>
              <w14:schemeClr w14:val="tx1"/>
            </w14:solidFill>
          </w14:textFill>
        </w:rPr>
      </w:pPr>
      <w:bookmarkStart w:id="25" w:name="_Toc52798262"/>
      <w:bookmarkStart w:id="26" w:name="_Toc49847306"/>
      <w:bookmarkStart w:id="27" w:name="_Toc50645819"/>
      <w:bookmarkStart w:id="28" w:name="_Toc53153324"/>
      <w:bookmarkStart w:id="29" w:name="_Toc50642505"/>
      <w:bookmarkStart w:id="30" w:name="_Toc73516702"/>
      <w:bookmarkStart w:id="31" w:name="_Toc51598429"/>
      <w:r>
        <w:rPr>
          <w:rFonts w:hint="eastAsia"/>
          <w:b w:val="0"/>
          <w:color w:val="000000" w:themeColor="text1"/>
          <w:sz w:val="21"/>
          <w:szCs w:val="21"/>
          <w14:textFill>
            <w14:solidFill>
              <w14:schemeClr w14:val="tx1"/>
            </w14:solidFill>
          </w14:textFill>
        </w:rPr>
        <w:t>附件6：诚信承诺书</w:t>
      </w:r>
      <w:bookmarkEnd w:id="25"/>
      <w:bookmarkEnd w:id="26"/>
      <w:bookmarkEnd w:id="27"/>
      <w:bookmarkEnd w:id="28"/>
      <w:bookmarkEnd w:id="29"/>
      <w:bookmarkEnd w:id="30"/>
      <w:bookmarkEnd w:id="31"/>
    </w:p>
    <w:p>
      <w:pPr>
        <w:pStyle w:val="53"/>
        <w:jc w:val="center"/>
        <w:rPr>
          <w:b/>
          <w:color w:val="000000" w:themeColor="text1"/>
          <w:sz w:val="44"/>
          <w:szCs w:val="44"/>
          <w14:textFill>
            <w14:solidFill>
              <w14:schemeClr w14:val="tx1"/>
            </w14:solidFill>
          </w14:textFill>
        </w:rPr>
      </w:pPr>
    </w:p>
    <w:p>
      <w:pPr>
        <w:pStyle w:val="53"/>
        <w:spacing w:line="360" w:lineRule="auto"/>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法定代表人或被授权代表人（签字）：</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sectPr>
      <w:pgSz w:w="11906" w:h="16838"/>
      <w:pgMar w:top="1440" w:right="1077" w:bottom="1440" w:left="107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Calibri Light">
    <w:altName w:val="Calibri"/>
    <w:panose1 w:val="020F0302020204030204"/>
    <w:charset w:val="00"/>
    <w:family w:val="swiss"/>
    <w:pitch w:val="default"/>
    <w:sig w:usb0="00000000" w:usb1="00000000" w:usb2="00000000" w:usb3="00000000" w:csb0="0000009F"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font>
  <w:font w:name="Adobe 黑体 Std R">
    <w:altName w:val="黑体"/>
    <w:panose1 w:val="00000000000000000000"/>
    <w:charset w:val="86"/>
    <w:family w:val="swiss"/>
    <w:pitch w:val="default"/>
    <w:sig w:usb0="00000000" w:usb1="00000000" w:usb2="00000016" w:usb3="00000000" w:csb0="00060007"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1"/>
      </w:rPr>
    </w:pPr>
    <w:r>
      <w:rPr>
        <w:rStyle w:val="31"/>
      </w:rPr>
      <w:fldChar w:fldCharType="begin"/>
    </w:r>
    <w:r>
      <w:rPr>
        <w:rStyle w:val="31"/>
      </w:rPr>
      <w:instrText xml:space="preserve">PAGE  </w:instrText>
    </w:r>
    <w:r>
      <w:rPr>
        <w:rStyle w:val="31"/>
      </w:rP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14</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Y0NWU4MGI1YmNiN2ViNDViMjJmZDViMjk3YWFiYTcifQ=="/>
  </w:docVars>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5DC"/>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1F21"/>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3F8E"/>
    <w:rsid w:val="002E4772"/>
    <w:rsid w:val="002E561E"/>
    <w:rsid w:val="002E6295"/>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5CB1"/>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5DB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5AE4"/>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C696E"/>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5837"/>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A76FE"/>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1E0E"/>
    <w:rsid w:val="008C2051"/>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27F21"/>
    <w:rsid w:val="00933BE7"/>
    <w:rsid w:val="00934F4B"/>
    <w:rsid w:val="00935175"/>
    <w:rsid w:val="00935589"/>
    <w:rsid w:val="00940993"/>
    <w:rsid w:val="0094166E"/>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161"/>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E7E71"/>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1E42"/>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07CD5"/>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14037"/>
    <w:rsid w:val="012B4B1B"/>
    <w:rsid w:val="0225246E"/>
    <w:rsid w:val="047A5D8D"/>
    <w:rsid w:val="05872D64"/>
    <w:rsid w:val="065823F0"/>
    <w:rsid w:val="07487BB5"/>
    <w:rsid w:val="095D58FD"/>
    <w:rsid w:val="09910E44"/>
    <w:rsid w:val="0A026BD8"/>
    <w:rsid w:val="0A2A36E7"/>
    <w:rsid w:val="0EA16A38"/>
    <w:rsid w:val="0EF929D9"/>
    <w:rsid w:val="0EFA0BCA"/>
    <w:rsid w:val="0F111E5D"/>
    <w:rsid w:val="0F202E96"/>
    <w:rsid w:val="110D6392"/>
    <w:rsid w:val="126E6EDF"/>
    <w:rsid w:val="12746007"/>
    <w:rsid w:val="14A96D97"/>
    <w:rsid w:val="15A1790C"/>
    <w:rsid w:val="15AD47C5"/>
    <w:rsid w:val="19FB4135"/>
    <w:rsid w:val="1A7A033C"/>
    <w:rsid w:val="1B8A0A6B"/>
    <w:rsid w:val="1CB9293D"/>
    <w:rsid w:val="1CE017E9"/>
    <w:rsid w:val="1D4F473B"/>
    <w:rsid w:val="1D720134"/>
    <w:rsid w:val="1DD20CE6"/>
    <w:rsid w:val="205D1EAD"/>
    <w:rsid w:val="20E35EB0"/>
    <w:rsid w:val="268E706A"/>
    <w:rsid w:val="277E259E"/>
    <w:rsid w:val="299F38FC"/>
    <w:rsid w:val="29AA0D95"/>
    <w:rsid w:val="29B54054"/>
    <w:rsid w:val="2D0D0136"/>
    <w:rsid w:val="2D621909"/>
    <w:rsid w:val="2DD52A9F"/>
    <w:rsid w:val="2E577705"/>
    <w:rsid w:val="2EE261A8"/>
    <w:rsid w:val="2EE62F88"/>
    <w:rsid w:val="2EEA5A4A"/>
    <w:rsid w:val="31086F3E"/>
    <w:rsid w:val="31451D82"/>
    <w:rsid w:val="31820BD9"/>
    <w:rsid w:val="324101E2"/>
    <w:rsid w:val="3465038D"/>
    <w:rsid w:val="3491629A"/>
    <w:rsid w:val="355A2586"/>
    <w:rsid w:val="39D272EA"/>
    <w:rsid w:val="3A7C5E4C"/>
    <w:rsid w:val="3B767F00"/>
    <w:rsid w:val="3BB04B88"/>
    <w:rsid w:val="3BCF12B5"/>
    <w:rsid w:val="3C7137CF"/>
    <w:rsid w:val="3EEA1BF7"/>
    <w:rsid w:val="3F0071D7"/>
    <w:rsid w:val="4278205E"/>
    <w:rsid w:val="43C444E5"/>
    <w:rsid w:val="44814510"/>
    <w:rsid w:val="4517057D"/>
    <w:rsid w:val="45566478"/>
    <w:rsid w:val="474140DE"/>
    <w:rsid w:val="486A27A6"/>
    <w:rsid w:val="492D6B95"/>
    <w:rsid w:val="49C26560"/>
    <w:rsid w:val="4AD917DF"/>
    <w:rsid w:val="4C653F38"/>
    <w:rsid w:val="4CE83236"/>
    <w:rsid w:val="4DE63590"/>
    <w:rsid w:val="51CE3B85"/>
    <w:rsid w:val="54446C56"/>
    <w:rsid w:val="54474CB9"/>
    <w:rsid w:val="54E7132C"/>
    <w:rsid w:val="55DC4864"/>
    <w:rsid w:val="562D07D0"/>
    <w:rsid w:val="56E568B0"/>
    <w:rsid w:val="59F7427D"/>
    <w:rsid w:val="59FF605A"/>
    <w:rsid w:val="5A6D395A"/>
    <w:rsid w:val="5CBB218F"/>
    <w:rsid w:val="5CCC6011"/>
    <w:rsid w:val="5D9422F4"/>
    <w:rsid w:val="5DF625FF"/>
    <w:rsid w:val="5ED90476"/>
    <w:rsid w:val="5F551185"/>
    <w:rsid w:val="5F5C40F6"/>
    <w:rsid w:val="5F721C62"/>
    <w:rsid w:val="61A71DB7"/>
    <w:rsid w:val="637416D7"/>
    <w:rsid w:val="64053365"/>
    <w:rsid w:val="64BB1B06"/>
    <w:rsid w:val="65016EC6"/>
    <w:rsid w:val="67D83495"/>
    <w:rsid w:val="68C3600F"/>
    <w:rsid w:val="68CB2588"/>
    <w:rsid w:val="6A2633D5"/>
    <w:rsid w:val="6AEF170B"/>
    <w:rsid w:val="6BAA593E"/>
    <w:rsid w:val="6BCE26DE"/>
    <w:rsid w:val="6D2223E5"/>
    <w:rsid w:val="6D3D27A5"/>
    <w:rsid w:val="6E3D1ADB"/>
    <w:rsid w:val="6F9F1D2F"/>
    <w:rsid w:val="6FA0136F"/>
    <w:rsid w:val="702C1E9C"/>
    <w:rsid w:val="70BB4DC3"/>
    <w:rsid w:val="70BE6DD7"/>
    <w:rsid w:val="735379F9"/>
    <w:rsid w:val="7375655F"/>
    <w:rsid w:val="751B1357"/>
    <w:rsid w:val="772464D5"/>
    <w:rsid w:val="78D52782"/>
    <w:rsid w:val="79247842"/>
    <w:rsid w:val="79A85120"/>
    <w:rsid w:val="7A0C344C"/>
    <w:rsid w:val="7A205E5C"/>
    <w:rsid w:val="7AA25287"/>
    <w:rsid w:val="7CDF37CB"/>
    <w:rsid w:val="7CF96AFE"/>
    <w:rsid w:val="7DB06C08"/>
    <w:rsid w:val="7DF1422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9" w:semiHidden="0" w:name="heading 2" w:locked="1"/>
    <w:lsdException w:qFormat="1" w:unhideWhenUsed="0" w:uiPriority="99" w:semiHidden="0" w:name="heading 3" w:locked="1"/>
    <w:lsdException w:qFormat="1" w:unhideWhenUsed="0" w:uiPriority="99" w:semiHidden="0" w:name="heading 4" w:locked="1"/>
    <w:lsdException w:qFormat="1" w:unhideWhenUsed="0" w:uiPriority="99" w:semiHidden="0" w:name="heading 5" w:locked="1"/>
    <w:lsdException w:qFormat="1" w:unhideWhenUsed="0" w:uiPriority="99" w:semiHidden="0" w:name="heading 6" w:locked="1"/>
    <w:lsdException w:qFormat="1" w:unhideWhenUsed="0" w:uiPriority="99" w:semiHidden="0" w:name="heading 7" w:locked="1"/>
    <w:lsdException w:qFormat="1" w:unhideWhenUsed="0" w:uiPriority="99" w:semiHidden="0" w:name="heading 8" w:locked="1"/>
    <w:lsdException w:qFormat="1" w:unhideWhenUsed="0" w:uiPriority="99" w:semiHidden="0"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ocked="1"/>
    <w:lsdException w:qFormat="1" w:unhideWhenUsed="0" w:uiPriority="39" w:semiHidden="0" w:name="toc 2" w:locked="1"/>
    <w:lsdException w:qFormat="1" w:unhideWhenUsed="0" w:uiPriority="99" w:semiHidden="0"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iPriority="0" w:semiHidden="0"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0"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5"/>
    <w:qFormat/>
    <w:locked/>
    <w:uiPriority w:val="99"/>
    <w:pPr>
      <w:keepNext/>
      <w:keepLines/>
      <w:spacing w:before="340" w:after="330" w:line="578" w:lineRule="auto"/>
      <w:outlineLvl w:val="0"/>
    </w:pPr>
    <w:rPr>
      <w:b/>
      <w:bCs/>
      <w:kern w:val="44"/>
      <w:sz w:val="44"/>
      <w:szCs w:val="44"/>
    </w:rPr>
  </w:style>
  <w:style w:type="paragraph" w:styleId="4">
    <w:name w:val="heading 2"/>
    <w:basedOn w:val="1"/>
    <w:next w:val="1"/>
    <w:link w:val="36"/>
    <w:qFormat/>
    <w:locked/>
    <w:uiPriority w:val="99"/>
    <w:pPr>
      <w:keepNext/>
      <w:keepLines/>
      <w:spacing w:before="260" w:after="260" w:line="416" w:lineRule="auto"/>
      <w:outlineLvl w:val="1"/>
    </w:pPr>
    <w:rPr>
      <w:rFonts w:ascii="Cambria" w:hAnsi="Cambria"/>
      <w:b/>
      <w:bCs/>
      <w:sz w:val="32"/>
      <w:szCs w:val="32"/>
    </w:rPr>
  </w:style>
  <w:style w:type="paragraph" w:styleId="2">
    <w:name w:val="heading 3"/>
    <w:basedOn w:val="1"/>
    <w:next w:val="1"/>
    <w:link w:val="37"/>
    <w:qFormat/>
    <w:locked/>
    <w:uiPriority w:val="99"/>
    <w:pPr>
      <w:keepNext/>
      <w:keepLines/>
      <w:spacing w:before="260" w:after="260" w:line="416" w:lineRule="auto"/>
      <w:ind w:left="425"/>
      <w:outlineLvl w:val="2"/>
    </w:pPr>
    <w:rPr>
      <w:rFonts w:ascii="Arial" w:hAnsi="Arial" w:cs="宋体"/>
      <w:b/>
      <w:bCs/>
      <w:sz w:val="32"/>
      <w:szCs w:val="32"/>
    </w:rPr>
  </w:style>
  <w:style w:type="paragraph" w:styleId="5">
    <w:name w:val="heading 4"/>
    <w:basedOn w:val="1"/>
    <w:next w:val="1"/>
    <w:link w:val="38"/>
    <w:qFormat/>
    <w:locked/>
    <w:uiPriority w:val="99"/>
    <w:pPr>
      <w:keepNext/>
      <w:keepLines/>
      <w:spacing w:before="280" w:after="290" w:line="376" w:lineRule="auto"/>
      <w:ind w:left="425"/>
      <w:outlineLvl w:val="3"/>
    </w:pPr>
    <w:rPr>
      <w:rFonts w:ascii="Cambria" w:hAnsi="Cambria"/>
      <w:b/>
      <w:bCs/>
      <w:sz w:val="28"/>
      <w:szCs w:val="28"/>
    </w:rPr>
  </w:style>
  <w:style w:type="paragraph" w:styleId="6">
    <w:name w:val="heading 5"/>
    <w:basedOn w:val="1"/>
    <w:next w:val="1"/>
    <w:link w:val="39"/>
    <w:qFormat/>
    <w:locked/>
    <w:uiPriority w:val="99"/>
    <w:pPr>
      <w:keepNext/>
      <w:keepLines/>
      <w:spacing w:before="120" w:after="120"/>
      <w:outlineLvl w:val="4"/>
    </w:pPr>
    <w:rPr>
      <w:rFonts w:ascii="Calibri" w:hAnsi="Calibri" w:eastAsia="微软雅黑"/>
      <w:b/>
      <w:bCs/>
      <w:sz w:val="24"/>
      <w:szCs w:val="28"/>
    </w:rPr>
  </w:style>
  <w:style w:type="paragraph" w:styleId="7">
    <w:name w:val="heading 6"/>
    <w:basedOn w:val="1"/>
    <w:next w:val="1"/>
    <w:link w:val="40"/>
    <w:qFormat/>
    <w:locked/>
    <w:uiPriority w:val="99"/>
    <w:pPr>
      <w:keepNext/>
      <w:keepLines/>
      <w:spacing w:after="120"/>
      <w:outlineLvl w:val="5"/>
    </w:pPr>
    <w:rPr>
      <w:rFonts w:ascii="Cambria" w:hAnsi="Cambria"/>
      <w:b/>
      <w:bCs/>
      <w:sz w:val="24"/>
    </w:rPr>
  </w:style>
  <w:style w:type="paragraph" w:styleId="8">
    <w:name w:val="heading 7"/>
    <w:basedOn w:val="1"/>
    <w:next w:val="1"/>
    <w:link w:val="41"/>
    <w:qFormat/>
    <w:locked/>
    <w:uiPriority w:val="99"/>
    <w:pPr>
      <w:keepNext/>
      <w:keepLines/>
      <w:spacing w:before="240" w:after="64" w:line="320" w:lineRule="auto"/>
      <w:ind w:left="1296" w:hanging="1296"/>
      <w:outlineLvl w:val="6"/>
    </w:pPr>
    <w:rPr>
      <w:rFonts w:ascii="Calibri" w:hAnsi="Calibri"/>
      <w:b/>
      <w:bCs/>
      <w:sz w:val="24"/>
    </w:rPr>
  </w:style>
  <w:style w:type="paragraph" w:styleId="9">
    <w:name w:val="heading 8"/>
    <w:basedOn w:val="1"/>
    <w:next w:val="1"/>
    <w:link w:val="42"/>
    <w:qFormat/>
    <w:locked/>
    <w:uiPriority w:val="99"/>
    <w:pPr>
      <w:keepNext/>
      <w:keepLines/>
      <w:spacing w:before="240" w:after="64" w:line="320" w:lineRule="auto"/>
      <w:ind w:left="1440" w:hanging="1440"/>
      <w:outlineLvl w:val="7"/>
    </w:pPr>
    <w:rPr>
      <w:rFonts w:ascii="Calibri Light" w:hAnsi="Calibri Light"/>
      <w:sz w:val="24"/>
    </w:rPr>
  </w:style>
  <w:style w:type="paragraph" w:styleId="10">
    <w:name w:val="heading 9"/>
    <w:basedOn w:val="1"/>
    <w:next w:val="1"/>
    <w:link w:val="43"/>
    <w:qFormat/>
    <w:locked/>
    <w:uiPriority w:val="99"/>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99"/>
    <w:pPr>
      <w:adjustRightInd w:val="0"/>
      <w:spacing w:line="360" w:lineRule="auto"/>
      <w:ind w:firstLine="540" w:firstLineChars="225"/>
      <w:textAlignment w:val="baseline"/>
    </w:pPr>
    <w:rPr>
      <w:rFonts w:ascii="Calibri" w:hAnsi="Calibri"/>
      <w:kern w:val="0"/>
      <w:sz w:val="24"/>
      <w:szCs w:val="20"/>
    </w:rPr>
  </w:style>
  <w:style w:type="paragraph" w:styleId="12">
    <w:name w:val="Document Map"/>
    <w:basedOn w:val="1"/>
    <w:link w:val="44"/>
    <w:semiHidden/>
    <w:qFormat/>
    <w:uiPriority w:val="99"/>
    <w:pPr>
      <w:shd w:val="clear" w:color="auto" w:fill="000080"/>
    </w:pPr>
    <w:rPr>
      <w:kern w:val="0"/>
      <w:sz w:val="2"/>
      <w:szCs w:val="20"/>
    </w:rPr>
  </w:style>
  <w:style w:type="paragraph" w:styleId="13">
    <w:name w:val="annotation text"/>
    <w:basedOn w:val="1"/>
    <w:link w:val="75"/>
    <w:unhideWhenUsed/>
    <w:qFormat/>
    <w:locked/>
    <w:uiPriority w:val="0"/>
    <w:pPr>
      <w:jc w:val="left"/>
    </w:pPr>
  </w:style>
  <w:style w:type="paragraph" w:styleId="14">
    <w:name w:val="Body Text"/>
    <w:basedOn w:val="1"/>
    <w:link w:val="45"/>
    <w:qFormat/>
    <w:uiPriority w:val="99"/>
    <w:pPr>
      <w:spacing w:after="120"/>
    </w:pPr>
    <w:rPr>
      <w:sz w:val="24"/>
      <w:szCs w:val="20"/>
    </w:rPr>
  </w:style>
  <w:style w:type="paragraph" w:styleId="15">
    <w:name w:val="Body Text Indent"/>
    <w:basedOn w:val="1"/>
    <w:link w:val="79"/>
    <w:qFormat/>
    <w:locked/>
    <w:uiPriority w:val="0"/>
    <w:pPr>
      <w:spacing w:after="120"/>
      <w:ind w:left="420" w:leftChars="200"/>
    </w:pPr>
  </w:style>
  <w:style w:type="paragraph" w:styleId="16">
    <w:name w:val="toc 3"/>
    <w:basedOn w:val="1"/>
    <w:next w:val="1"/>
    <w:qFormat/>
    <w:locked/>
    <w:uiPriority w:val="99"/>
    <w:pPr>
      <w:ind w:left="840" w:leftChars="400"/>
    </w:pPr>
    <w:rPr>
      <w:rFonts w:ascii="Calibri" w:hAnsi="Calibri"/>
      <w:szCs w:val="22"/>
    </w:rPr>
  </w:style>
  <w:style w:type="paragraph" w:styleId="17">
    <w:name w:val="Plain Text"/>
    <w:basedOn w:val="1"/>
    <w:link w:val="46"/>
    <w:qFormat/>
    <w:uiPriority w:val="99"/>
    <w:pPr>
      <w:jc w:val="left"/>
    </w:pPr>
    <w:rPr>
      <w:rFonts w:ascii="宋体" w:hAnsi="Courier New"/>
      <w:kern w:val="0"/>
      <w:szCs w:val="20"/>
    </w:rPr>
  </w:style>
  <w:style w:type="paragraph" w:styleId="18">
    <w:name w:val="Date"/>
    <w:basedOn w:val="1"/>
    <w:next w:val="1"/>
    <w:link w:val="47"/>
    <w:qFormat/>
    <w:uiPriority w:val="99"/>
    <w:pPr>
      <w:ind w:left="2500" w:leftChars="2500"/>
    </w:pPr>
    <w:rPr>
      <w:rFonts w:eastAsia="黑体"/>
      <w:kern w:val="0"/>
      <w:sz w:val="24"/>
      <w:szCs w:val="20"/>
    </w:rPr>
  </w:style>
  <w:style w:type="paragraph" w:styleId="19">
    <w:name w:val="Balloon Text"/>
    <w:basedOn w:val="1"/>
    <w:link w:val="48"/>
    <w:semiHidden/>
    <w:qFormat/>
    <w:uiPriority w:val="99"/>
    <w:rPr>
      <w:sz w:val="18"/>
      <w:szCs w:val="20"/>
    </w:rPr>
  </w:style>
  <w:style w:type="paragraph" w:styleId="20">
    <w:name w:val="footer"/>
    <w:basedOn w:val="1"/>
    <w:link w:val="49"/>
    <w:qFormat/>
    <w:uiPriority w:val="99"/>
    <w:pPr>
      <w:tabs>
        <w:tab w:val="center" w:pos="4153"/>
        <w:tab w:val="right" w:pos="8306"/>
      </w:tabs>
      <w:snapToGrid w:val="0"/>
      <w:jc w:val="left"/>
    </w:pPr>
    <w:rPr>
      <w:sz w:val="18"/>
      <w:szCs w:val="20"/>
    </w:rPr>
  </w:style>
  <w:style w:type="paragraph" w:styleId="21">
    <w:name w:val="header"/>
    <w:basedOn w:val="1"/>
    <w:link w:val="50"/>
    <w:qFormat/>
    <w:uiPriority w:val="99"/>
    <w:pPr>
      <w:pBdr>
        <w:bottom w:val="single" w:color="auto" w:sz="6" w:space="1"/>
      </w:pBdr>
      <w:tabs>
        <w:tab w:val="center" w:pos="4153"/>
        <w:tab w:val="right" w:pos="8306"/>
      </w:tabs>
      <w:snapToGrid w:val="0"/>
      <w:jc w:val="center"/>
    </w:pPr>
    <w:rPr>
      <w:sz w:val="18"/>
      <w:szCs w:val="20"/>
    </w:rPr>
  </w:style>
  <w:style w:type="paragraph" w:styleId="22">
    <w:name w:val="toc 1"/>
    <w:basedOn w:val="1"/>
    <w:next w:val="1"/>
    <w:qFormat/>
    <w:locked/>
    <w:uiPriority w:val="39"/>
  </w:style>
  <w:style w:type="paragraph" w:styleId="23">
    <w:name w:val="toc 2"/>
    <w:basedOn w:val="1"/>
    <w:next w:val="1"/>
    <w:qFormat/>
    <w:locked/>
    <w:uiPriority w:val="39"/>
    <w:pPr>
      <w:ind w:left="420" w:leftChars="200"/>
    </w:pPr>
  </w:style>
  <w:style w:type="paragraph" w:styleId="24">
    <w:name w:val="Normal (Web)"/>
    <w:basedOn w:val="1"/>
    <w:qFormat/>
    <w:uiPriority w:val="0"/>
    <w:pPr>
      <w:widowControl/>
      <w:spacing w:before="100" w:beforeAutospacing="1" w:after="100" w:afterAutospacing="1"/>
      <w:jc w:val="left"/>
    </w:pPr>
    <w:rPr>
      <w:rFonts w:ascii="宋体" w:hAnsi="宋体"/>
      <w:color w:val="000000"/>
      <w:kern w:val="0"/>
      <w:sz w:val="18"/>
      <w:szCs w:val="18"/>
    </w:rPr>
  </w:style>
  <w:style w:type="paragraph" w:styleId="25">
    <w:name w:val="Title"/>
    <w:basedOn w:val="1"/>
    <w:next w:val="1"/>
    <w:link w:val="51"/>
    <w:qFormat/>
    <w:locked/>
    <w:uiPriority w:val="99"/>
    <w:pPr>
      <w:spacing w:before="240" w:after="60"/>
      <w:jc w:val="center"/>
      <w:outlineLvl w:val="0"/>
    </w:pPr>
    <w:rPr>
      <w:rFonts w:ascii="Cambria" w:hAnsi="Cambria"/>
      <w:b/>
      <w:bCs/>
      <w:sz w:val="32"/>
      <w:szCs w:val="32"/>
    </w:rPr>
  </w:style>
  <w:style w:type="paragraph" w:styleId="26">
    <w:name w:val="annotation subject"/>
    <w:basedOn w:val="13"/>
    <w:next w:val="13"/>
    <w:link w:val="76"/>
    <w:semiHidden/>
    <w:unhideWhenUsed/>
    <w:qFormat/>
    <w:locked/>
    <w:uiPriority w:val="99"/>
    <w:rPr>
      <w:b/>
      <w:bCs/>
    </w:rPr>
  </w:style>
  <w:style w:type="table" w:styleId="28">
    <w:name w:val="Table Grid"/>
    <w:basedOn w:val="2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0">
    <w:name w:val="Strong"/>
    <w:basedOn w:val="29"/>
    <w:qFormat/>
    <w:locked/>
    <w:uiPriority w:val="22"/>
    <w:rPr>
      <w:rFonts w:cs="Times New Roman"/>
      <w:b/>
      <w:bCs/>
    </w:rPr>
  </w:style>
  <w:style w:type="character" w:styleId="31">
    <w:name w:val="page number"/>
    <w:qFormat/>
    <w:uiPriority w:val="99"/>
    <w:rPr>
      <w:rFonts w:cs="Times New Roman"/>
    </w:rPr>
  </w:style>
  <w:style w:type="character" w:styleId="32">
    <w:name w:val="FollowedHyperlink"/>
    <w:qFormat/>
    <w:uiPriority w:val="99"/>
    <w:rPr>
      <w:rFonts w:cs="Times New Roman"/>
      <w:color w:val="800080"/>
      <w:u w:val="single"/>
    </w:rPr>
  </w:style>
  <w:style w:type="character" w:styleId="33">
    <w:name w:val="Hyperlink"/>
    <w:qFormat/>
    <w:uiPriority w:val="99"/>
    <w:rPr>
      <w:rFonts w:cs="Times New Roman"/>
      <w:color w:val="0000FF"/>
      <w:u w:val="single"/>
    </w:rPr>
  </w:style>
  <w:style w:type="character" w:styleId="34">
    <w:name w:val="annotation reference"/>
    <w:semiHidden/>
    <w:unhideWhenUsed/>
    <w:qFormat/>
    <w:locked/>
    <w:uiPriority w:val="99"/>
    <w:rPr>
      <w:sz w:val="21"/>
      <w:szCs w:val="21"/>
    </w:rPr>
  </w:style>
  <w:style w:type="character" w:customStyle="1" w:styleId="35">
    <w:name w:val="标题 1 字符"/>
    <w:link w:val="3"/>
    <w:qFormat/>
    <w:locked/>
    <w:uiPriority w:val="99"/>
    <w:rPr>
      <w:b/>
      <w:kern w:val="44"/>
      <w:sz w:val="44"/>
    </w:rPr>
  </w:style>
  <w:style w:type="character" w:customStyle="1" w:styleId="36">
    <w:name w:val="标题 2 字符"/>
    <w:link w:val="4"/>
    <w:qFormat/>
    <w:locked/>
    <w:uiPriority w:val="99"/>
    <w:rPr>
      <w:rFonts w:ascii="Cambria" w:hAnsi="Cambria" w:eastAsia="宋体"/>
      <w:b/>
      <w:kern w:val="2"/>
      <w:sz w:val="32"/>
    </w:rPr>
  </w:style>
  <w:style w:type="character" w:customStyle="1" w:styleId="37">
    <w:name w:val="标题 3 字符"/>
    <w:link w:val="2"/>
    <w:qFormat/>
    <w:locked/>
    <w:uiPriority w:val="99"/>
    <w:rPr>
      <w:rFonts w:ascii="Arial" w:hAnsi="Arial" w:cs="宋体"/>
      <w:b/>
      <w:bCs/>
      <w:kern w:val="2"/>
      <w:sz w:val="32"/>
      <w:szCs w:val="32"/>
    </w:rPr>
  </w:style>
  <w:style w:type="character" w:customStyle="1" w:styleId="38">
    <w:name w:val="标题 4 字符"/>
    <w:link w:val="5"/>
    <w:qFormat/>
    <w:locked/>
    <w:uiPriority w:val="99"/>
    <w:rPr>
      <w:rFonts w:ascii="Cambria" w:hAnsi="Cambria" w:eastAsia="宋体" w:cs="Times New Roman"/>
      <w:b/>
      <w:bCs/>
      <w:kern w:val="2"/>
      <w:sz w:val="28"/>
      <w:szCs w:val="28"/>
    </w:rPr>
  </w:style>
  <w:style w:type="character" w:customStyle="1" w:styleId="39">
    <w:name w:val="标题 5 字符"/>
    <w:link w:val="6"/>
    <w:qFormat/>
    <w:locked/>
    <w:uiPriority w:val="99"/>
    <w:rPr>
      <w:rFonts w:ascii="Calibri" w:hAnsi="Calibri" w:eastAsia="微软雅黑" w:cs="Times New Roman"/>
      <w:b/>
      <w:bCs/>
      <w:kern w:val="2"/>
      <w:sz w:val="28"/>
      <w:szCs w:val="28"/>
    </w:rPr>
  </w:style>
  <w:style w:type="character" w:customStyle="1" w:styleId="40">
    <w:name w:val="标题 6 字符"/>
    <w:link w:val="7"/>
    <w:qFormat/>
    <w:locked/>
    <w:uiPriority w:val="99"/>
    <w:rPr>
      <w:rFonts w:ascii="Cambria" w:hAnsi="Cambria" w:cs="Times New Roman"/>
      <w:b/>
      <w:bCs/>
      <w:kern w:val="2"/>
      <w:sz w:val="24"/>
      <w:szCs w:val="24"/>
    </w:rPr>
  </w:style>
  <w:style w:type="character" w:customStyle="1" w:styleId="41">
    <w:name w:val="标题 7 字符"/>
    <w:link w:val="8"/>
    <w:qFormat/>
    <w:locked/>
    <w:uiPriority w:val="99"/>
    <w:rPr>
      <w:rFonts w:ascii="Calibri" w:hAnsi="Calibri" w:cs="Times New Roman"/>
      <w:b/>
      <w:bCs/>
      <w:kern w:val="2"/>
      <w:sz w:val="24"/>
      <w:szCs w:val="24"/>
    </w:rPr>
  </w:style>
  <w:style w:type="character" w:customStyle="1" w:styleId="42">
    <w:name w:val="标题 8 字符"/>
    <w:link w:val="9"/>
    <w:qFormat/>
    <w:locked/>
    <w:uiPriority w:val="99"/>
    <w:rPr>
      <w:rFonts w:ascii="Calibri Light" w:hAnsi="Calibri Light" w:cs="Times New Roman"/>
      <w:kern w:val="2"/>
      <w:sz w:val="24"/>
      <w:szCs w:val="24"/>
    </w:rPr>
  </w:style>
  <w:style w:type="character" w:customStyle="1" w:styleId="43">
    <w:name w:val="标题 9 字符"/>
    <w:link w:val="10"/>
    <w:qFormat/>
    <w:locked/>
    <w:uiPriority w:val="99"/>
    <w:rPr>
      <w:rFonts w:ascii="Cambria" w:hAnsi="Cambria" w:cs="Times New Roman"/>
      <w:i/>
      <w:iCs/>
      <w:caps/>
      <w:spacing w:val="10"/>
    </w:rPr>
  </w:style>
  <w:style w:type="character" w:customStyle="1" w:styleId="44">
    <w:name w:val="文档结构图 字符"/>
    <w:link w:val="12"/>
    <w:semiHidden/>
    <w:qFormat/>
    <w:locked/>
    <w:uiPriority w:val="99"/>
    <w:rPr>
      <w:sz w:val="2"/>
    </w:rPr>
  </w:style>
  <w:style w:type="character" w:customStyle="1" w:styleId="45">
    <w:name w:val="正文文本 字符"/>
    <w:link w:val="14"/>
    <w:qFormat/>
    <w:locked/>
    <w:uiPriority w:val="99"/>
    <w:rPr>
      <w:kern w:val="2"/>
      <w:sz w:val="24"/>
    </w:rPr>
  </w:style>
  <w:style w:type="character" w:customStyle="1" w:styleId="46">
    <w:name w:val="纯文本 字符"/>
    <w:link w:val="17"/>
    <w:semiHidden/>
    <w:qFormat/>
    <w:locked/>
    <w:uiPriority w:val="99"/>
    <w:rPr>
      <w:rFonts w:ascii="宋体" w:hAnsi="Courier New"/>
      <w:sz w:val="21"/>
    </w:rPr>
  </w:style>
  <w:style w:type="character" w:customStyle="1" w:styleId="47">
    <w:name w:val="日期 字符"/>
    <w:link w:val="18"/>
    <w:qFormat/>
    <w:locked/>
    <w:uiPriority w:val="99"/>
    <w:rPr>
      <w:rFonts w:eastAsia="黑体"/>
      <w:sz w:val="24"/>
    </w:rPr>
  </w:style>
  <w:style w:type="character" w:customStyle="1" w:styleId="48">
    <w:name w:val="批注框文本 字符"/>
    <w:link w:val="19"/>
    <w:semiHidden/>
    <w:qFormat/>
    <w:locked/>
    <w:uiPriority w:val="99"/>
    <w:rPr>
      <w:kern w:val="2"/>
      <w:sz w:val="18"/>
    </w:rPr>
  </w:style>
  <w:style w:type="character" w:customStyle="1" w:styleId="49">
    <w:name w:val="页脚 字符"/>
    <w:link w:val="20"/>
    <w:qFormat/>
    <w:locked/>
    <w:uiPriority w:val="99"/>
    <w:rPr>
      <w:kern w:val="2"/>
      <w:sz w:val="18"/>
    </w:rPr>
  </w:style>
  <w:style w:type="character" w:customStyle="1" w:styleId="50">
    <w:name w:val="页眉 字符"/>
    <w:link w:val="21"/>
    <w:qFormat/>
    <w:locked/>
    <w:uiPriority w:val="99"/>
    <w:rPr>
      <w:kern w:val="2"/>
      <w:sz w:val="18"/>
    </w:rPr>
  </w:style>
  <w:style w:type="character" w:customStyle="1" w:styleId="51">
    <w:name w:val="标题 字符"/>
    <w:link w:val="25"/>
    <w:qFormat/>
    <w:locked/>
    <w:uiPriority w:val="99"/>
    <w:rPr>
      <w:rFonts w:ascii="Cambria" w:hAnsi="Cambria" w:cs="Times New Roman"/>
      <w:b/>
      <w:bCs/>
      <w:kern w:val="2"/>
      <w:sz w:val="32"/>
      <w:szCs w:val="32"/>
    </w:rPr>
  </w:style>
  <w:style w:type="paragraph" w:customStyle="1" w:styleId="52">
    <w:name w:val="此正文"/>
    <w:basedOn w:val="1"/>
    <w:qFormat/>
    <w:uiPriority w:val="99"/>
    <w:pPr>
      <w:spacing w:line="360" w:lineRule="auto"/>
      <w:ind w:firstLine="200" w:firstLineChars="200"/>
    </w:pPr>
    <w:rPr>
      <w:sz w:val="24"/>
      <w:szCs w:val="20"/>
    </w:rPr>
  </w:style>
  <w:style w:type="paragraph" w:customStyle="1" w:styleId="53">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54">
    <w:name w:val="Char Char Char Char Char Char Char"/>
    <w:basedOn w:val="1"/>
    <w:semiHidden/>
    <w:qFormat/>
    <w:uiPriority w:val="99"/>
    <w:rPr>
      <w:rFonts w:ascii="Tahoma" w:hAnsi="Tahoma" w:cs="仿宋_GB2312"/>
      <w:sz w:val="24"/>
      <w:szCs w:val="28"/>
    </w:rPr>
  </w:style>
  <w:style w:type="paragraph" w:customStyle="1" w:styleId="55">
    <w:name w:val="Char Char Char Char"/>
    <w:basedOn w:val="12"/>
    <w:qFormat/>
    <w:uiPriority w:val="99"/>
    <w:pPr>
      <w:adjustRightInd w:val="0"/>
      <w:snapToGrid w:val="0"/>
      <w:spacing w:line="360" w:lineRule="auto"/>
    </w:pPr>
    <w:rPr>
      <w:rFonts w:ascii="Tahoma" w:hAnsi="Tahoma"/>
      <w:sz w:val="24"/>
    </w:rPr>
  </w:style>
  <w:style w:type="paragraph" w:customStyle="1" w:styleId="56">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57">
    <w:name w:val="List Paragraph"/>
    <w:basedOn w:val="1"/>
    <w:link w:val="59"/>
    <w:qFormat/>
    <w:uiPriority w:val="99"/>
    <w:pPr>
      <w:ind w:firstLine="420" w:firstLineChars="200"/>
    </w:pPr>
  </w:style>
  <w:style w:type="paragraph" w:customStyle="1" w:styleId="58">
    <w:name w:val="TOC Heading1"/>
    <w:basedOn w:val="3"/>
    <w:next w:val="1"/>
    <w:qFormat/>
    <w:uiPriority w:val="99"/>
    <w:pPr>
      <w:widowControl/>
      <w:spacing w:before="480" w:after="0" w:line="276" w:lineRule="auto"/>
      <w:jc w:val="left"/>
      <w:outlineLvl w:val="9"/>
    </w:pPr>
    <w:rPr>
      <w:rFonts w:ascii="Cambria" w:hAnsi="Cambria"/>
      <w:color w:val="365F91"/>
      <w:kern w:val="0"/>
      <w:sz w:val="28"/>
      <w:szCs w:val="28"/>
    </w:rPr>
  </w:style>
  <w:style w:type="character" w:customStyle="1" w:styleId="59">
    <w:name w:val="列出段落 字符"/>
    <w:link w:val="57"/>
    <w:qFormat/>
    <w:locked/>
    <w:uiPriority w:val="99"/>
    <w:rPr>
      <w:kern w:val="2"/>
      <w:sz w:val="24"/>
    </w:rPr>
  </w:style>
  <w:style w:type="paragraph" w:customStyle="1" w:styleId="60">
    <w:name w:val="样式 首行缩进:  0 字符"/>
    <w:basedOn w:val="1"/>
    <w:link w:val="61"/>
    <w:qFormat/>
    <w:uiPriority w:val="99"/>
    <w:pPr>
      <w:spacing w:line="360" w:lineRule="auto"/>
      <w:ind w:firstLine="200" w:firstLineChars="200"/>
    </w:pPr>
    <w:rPr>
      <w:rFonts w:ascii="Arial" w:hAnsi="Arial"/>
      <w:sz w:val="24"/>
      <w:szCs w:val="20"/>
    </w:rPr>
  </w:style>
  <w:style w:type="character" w:customStyle="1" w:styleId="61">
    <w:name w:val="样式 首行缩进:  0 字符 Char"/>
    <w:link w:val="60"/>
    <w:qFormat/>
    <w:locked/>
    <w:uiPriority w:val="99"/>
    <w:rPr>
      <w:rFonts w:ascii="Arial" w:hAnsi="Arial"/>
      <w:kern w:val="2"/>
      <w:sz w:val="24"/>
    </w:rPr>
  </w:style>
  <w:style w:type="paragraph" w:styleId="62">
    <w:name w:val="No Spacing"/>
    <w:qFormat/>
    <w:uiPriority w:val="99"/>
    <w:pPr>
      <w:widowControl w:val="0"/>
      <w:jc w:val="both"/>
    </w:pPr>
    <w:rPr>
      <w:rFonts w:ascii="Calibri" w:hAnsi="Calibri" w:eastAsia="宋体" w:cs="Times New Roman"/>
      <w:kern w:val="2"/>
      <w:sz w:val="21"/>
      <w:szCs w:val="22"/>
      <w:lang w:val="en-US" w:eastAsia="zh-CN" w:bidi="ar-SA"/>
    </w:rPr>
  </w:style>
  <w:style w:type="character" w:customStyle="1" w:styleId="63">
    <w:name w:val="页眉 字符1"/>
    <w:qFormat/>
    <w:uiPriority w:val="99"/>
    <w:rPr>
      <w:rFonts w:ascii="Arial" w:hAnsi="Arial" w:eastAsia="宋体" w:cs="宋体"/>
      <w:sz w:val="18"/>
      <w:szCs w:val="18"/>
    </w:rPr>
  </w:style>
  <w:style w:type="character" w:customStyle="1" w:styleId="64">
    <w:name w:val="标题 1 字符1"/>
    <w:qFormat/>
    <w:uiPriority w:val="99"/>
    <w:rPr>
      <w:rFonts w:ascii="Arial" w:hAnsi="Arial" w:eastAsia="宋体" w:cs="宋体"/>
      <w:b/>
      <w:bCs/>
      <w:kern w:val="44"/>
      <w:sz w:val="44"/>
      <w:szCs w:val="44"/>
    </w:rPr>
  </w:style>
  <w:style w:type="paragraph" w:customStyle="1" w:styleId="65">
    <w:name w:val="GP正文(首行缩进)"/>
    <w:basedOn w:val="1"/>
    <w:qFormat/>
    <w:uiPriority w:val="99"/>
    <w:pPr>
      <w:spacing w:line="360" w:lineRule="auto"/>
      <w:ind w:firstLine="200" w:firstLineChars="200"/>
      <w:jc w:val="left"/>
    </w:pPr>
    <w:rPr>
      <w:szCs w:val="21"/>
    </w:rPr>
  </w:style>
  <w:style w:type="table" w:customStyle="1" w:styleId="66">
    <w:name w:val="网格型1"/>
    <w:qFormat/>
    <w:uiPriority w:val="9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7">
    <w:name w:val="标题 2 Char1"/>
    <w:qFormat/>
    <w:uiPriority w:val="99"/>
    <w:rPr>
      <w:rFonts w:ascii="Cambria" w:hAnsi="Cambria" w:eastAsia="微软雅黑" w:cs="Times New Roman"/>
      <w:b/>
      <w:bCs/>
      <w:sz w:val="32"/>
      <w:szCs w:val="32"/>
    </w:rPr>
  </w:style>
  <w:style w:type="character" w:customStyle="1" w:styleId="68">
    <w:name w:val="font01"/>
    <w:qFormat/>
    <w:uiPriority w:val="99"/>
    <w:rPr>
      <w:rFonts w:ascii="宋体" w:hAnsi="宋体" w:eastAsia="宋体" w:cs="宋体"/>
      <w:color w:val="000000"/>
      <w:sz w:val="20"/>
      <w:szCs w:val="20"/>
      <w:u w:val="none"/>
    </w:rPr>
  </w:style>
  <w:style w:type="character" w:customStyle="1" w:styleId="69">
    <w:name w:val="font41"/>
    <w:qFormat/>
    <w:uiPriority w:val="99"/>
    <w:rPr>
      <w:rFonts w:ascii="宋体" w:hAnsi="宋体" w:eastAsia="宋体" w:cs="宋体"/>
      <w:color w:val="FF0000"/>
      <w:sz w:val="18"/>
      <w:szCs w:val="18"/>
      <w:u w:val="none"/>
    </w:rPr>
  </w:style>
  <w:style w:type="character" w:customStyle="1" w:styleId="70">
    <w:name w:val="font51"/>
    <w:qFormat/>
    <w:uiPriority w:val="99"/>
    <w:rPr>
      <w:rFonts w:ascii="宋体" w:hAnsi="宋体" w:eastAsia="宋体" w:cs="宋体"/>
      <w:color w:val="0070C0"/>
      <w:sz w:val="18"/>
      <w:szCs w:val="18"/>
      <w:u w:val="none"/>
    </w:rPr>
  </w:style>
  <w:style w:type="paragraph" w:customStyle="1" w:styleId="71">
    <w:name w:val="Char Char3 Char Char"/>
    <w:basedOn w:val="1"/>
    <w:qFormat/>
    <w:uiPriority w:val="99"/>
    <w:pPr>
      <w:widowControl/>
      <w:spacing w:after="160" w:line="240" w:lineRule="exact"/>
      <w:jc w:val="left"/>
    </w:pPr>
    <w:rPr>
      <w:rFonts w:ascii="Verdana" w:hAnsi="Verdana"/>
      <w:kern w:val="0"/>
      <w:szCs w:val="20"/>
    </w:rPr>
  </w:style>
  <w:style w:type="character" w:customStyle="1" w:styleId="72">
    <w:name w:val="font71"/>
    <w:qFormat/>
    <w:uiPriority w:val="99"/>
    <w:rPr>
      <w:rFonts w:ascii="微软雅黑" w:hAnsi="微软雅黑" w:eastAsia="微软雅黑" w:cs="微软雅黑"/>
      <w:color w:val="000000"/>
      <w:sz w:val="18"/>
      <w:szCs w:val="18"/>
      <w:u w:val="none"/>
    </w:rPr>
  </w:style>
  <w:style w:type="character" w:customStyle="1" w:styleId="73">
    <w:name w:val="font11"/>
    <w:qFormat/>
    <w:uiPriority w:val="99"/>
    <w:rPr>
      <w:rFonts w:ascii="宋体" w:hAnsi="宋体" w:eastAsia="宋体" w:cs="宋体"/>
      <w:color w:val="000000"/>
      <w:sz w:val="18"/>
      <w:szCs w:val="18"/>
      <w:u w:val="none"/>
    </w:rPr>
  </w:style>
  <w:style w:type="paragraph" w:customStyle="1" w:styleId="74">
    <w:name w:val="z-正文"/>
    <w:basedOn w:val="1"/>
    <w:qFormat/>
    <w:uiPriority w:val="99"/>
    <w:pPr>
      <w:spacing w:line="360" w:lineRule="auto"/>
      <w:ind w:firstLine="200" w:firstLineChars="200"/>
      <w:jc w:val="left"/>
    </w:pPr>
    <w:rPr>
      <w:kern w:val="0"/>
      <w:sz w:val="24"/>
      <w:szCs w:val="20"/>
      <w:lang w:eastAsia="en-US"/>
    </w:rPr>
  </w:style>
  <w:style w:type="character" w:customStyle="1" w:styleId="75">
    <w:name w:val="批注文字 字符"/>
    <w:link w:val="13"/>
    <w:qFormat/>
    <w:uiPriority w:val="0"/>
    <w:rPr>
      <w:kern w:val="2"/>
      <w:sz w:val="21"/>
      <w:szCs w:val="24"/>
    </w:rPr>
  </w:style>
  <w:style w:type="character" w:customStyle="1" w:styleId="76">
    <w:name w:val="批注主题 字符"/>
    <w:link w:val="26"/>
    <w:semiHidden/>
    <w:qFormat/>
    <w:uiPriority w:val="99"/>
    <w:rPr>
      <w:b/>
      <w:bCs/>
      <w:kern w:val="2"/>
      <w:sz w:val="21"/>
      <w:szCs w:val="24"/>
    </w:rPr>
  </w:style>
  <w:style w:type="paragraph" w:customStyle="1" w:styleId="77">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78">
    <w:name w:val="正文缩进1"/>
    <w:basedOn w:val="1"/>
    <w:qFormat/>
    <w:uiPriority w:val="0"/>
    <w:pPr>
      <w:widowControl/>
      <w:ind w:firstLine="420"/>
      <w:jc w:val="left"/>
    </w:pPr>
    <w:rPr>
      <w:rFonts w:ascii="Calibri" w:hAnsi="Calibri"/>
      <w:kern w:val="0"/>
    </w:rPr>
  </w:style>
  <w:style w:type="character" w:customStyle="1" w:styleId="79">
    <w:name w:val="正文文本缩进 字符"/>
    <w:basedOn w:val="29"/>
    <w:link w:val="15"/>
    <w:qFormat/>
    <w:uiPriority w:val="0"/>
    <w:rPr>
      <w:rFonts w:ascii="Times New Roman" w:hAnsi="Times New Roman"/>
      <w:kern w:val="2"/>
      <w:sz w:val="21"/>
      <w:szCs w:val="24"/>
    </w:rPr>
  </w:style>
  <w:style w:type="paragraph" w:customStyle="1" w:styleId="80">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81">
    <w:name w:val="纯文本1"/>
    <w:basedOn w:val="1"/>
    <w:qFormat/>
    <w:uiPriority w:val="0"/>
    <w:pPr>
      <w:adjustRightInd w:val="0"/>
      <w:textAlignment w:val="baseline"/>
    </w:pPr>
    <w:rPr>
      <w:rFonts w:ascii="宋体" w:hAnsi="Courier New"/>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F49957-2354-4D6A-A7D6-B4C7B8F00D41}">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24</Pages>
  <Words>10036</Words>
  <Characters>10678</Characters>
  <Lines>104</Lines>
  <Paragraphs>29</Paragraphs>
  <TotalTime>1</TotalTime>
  <ScaleCrop>false</ScaleCrop>
  <LinksUpToDate>false</LinksUpToDate>
  <CharactersWithSpaces>11744</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2021-07-23T02:44:00Z</dcterms:created>
  <dc:creator>USER</dc:creator>
  <cp:lastModifiedBy>如今</cp:lastModifiedBy>
  <cp:lastPrinted>2022-07-23T08:04:00Z</cp:lastPrinted>
  <dcterms:modified xsi:type="dcterms:W3CDTF">2022-08-02T07:28:08Z</dcterms:modified>
  <dc:title>招  标  文  件</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19476D37B02F46B2A2BF4E2D9F83DC76</vt:lpwstr>
  </property>
</Properties>
</file>