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ascii="宋体"/>
          <w:b/>
          <w:bCs/>
          <w:color w:val="000000"/>
          <w:sz w:val="24"/>
          <w:szCs w:val="24"/>
        </w:rPr>
      </w:pPr>
    </w:p>
    <w:p>
      <w:pPr>
        <w:jc w:val="center"/>
        <w:rPr>
          <w:rFonts w:ascii="宋体"/>
          <w:b/>
          <w:bCs/>
          <w:color w:val="000000"/>
          <w:sz w:val="72"/>
          <w:szCs w:val="72"/>
        </w:rPr>
      </w:pPr>
    </w:p>
    <w:p>
      <w:pPr>
        <w:spacing w:before="100" w:beforeAutospacing="1" w:after="100" w:afterAutospacing="1" w:line="720" w:lineRule="auto"/>
        <w:jc w:val="center"/>
        <w:rPr>
          <w:rFonts w:asciiTheme="minorEastAsia" w:hAnsiTheme="minorEastAsia" w:eastAsiaTheme="minorEastAsia"/>
          <w:b/>
          <w:color w:val="000000" w:themeColor="text1"/>
          <w:sz w:val="72"/>
          <w14:textFill>
            <w14:solidFill>
              <w14:schemeClr w14:val="tx1"/>
            </w14:solidFill>
          </w14:textFill>
        </w:rPr>
      </w:pPr>
      <w:r>
        <w:rPr>
          <w:rFonts w:hint="eastAsia" w:asciiTheme="minorEastAsia" w:hAnsiTheme="minorEastAsia" w:eastAsiaTheme="minorEastAsia"/>
          <w:b/>
          <w:color w:val="000000" w:themeColor="text1"/>
          <w:sz w:val="72"/>
          <w14:textFill>
            <w14:solidFill>
              <w14:schemeClr w14:val="tx1"/>
            </w14:solidFill>
          </w14:textFill>
        </w:rPr>
        <w:t>竞争性磋商采购文件</w:t>
      </w:r>
    </w:p>
    <w:p>
      <w:pPr>
        <w:rPr>
          <w:rFonts w:eastAsia="黑体"/>
          <w:color w:val="000000"/>
          <w:sz w:val="32"/>
          <w:szCs w:val="32"/>
        </w:rPr>
      </w:pPr>
    </w:p>
    <w:p>
      <w:pPr>
        <w:ind w:firstLine="1744" w:firstLineChars="545"/>
        <w:rPr>
          <w:rFonts w:ascii="宋体"/>
          <w:color w:val="000000"/>
          <w:sz w:val="32"/>
          <w:szCs w:val="32"/>
        </w:rPr>
      </w:pPr>
    </w:p>
    <w:p>
      <w:pPr>
        <w:pStyle w:val="24"/>
        <w:rPr>
          <w:rFonts w:ascii="宋体"/>
          <w:sz w:val="32"/>
          <w:szCs w:val="32"/>
        </w:rPr>
      </w:pPr>
    </w:p>
    <w:p>
      <w:pPr>
        <w:pStyle w:val="24"/>
        <w:rPr>
          <w:rFonts w:ascii="宋体"/>
          <w:sz w:val="32"/>
          <w:szCs w:val="32"/>
        </w:rPr>
      </w:pPr>
    </w:p>
    <w:p>
      <w:pPr>
        <w:pStyle w:val="24"/>
      </w:pPr>
    </w:p>
    <w:p>
      <w:pPr>
        <w:pStyle w:val="24"/>
      </w:pPr>
    </w:p>
    <w:p>
      <w:pPr>
        <w:ind w:firstLine="1744" w:firstLineChars="545"/>
        <w:rPr>
          <w:rFonts w:ascii="宋体"/>
          <w:color w:val="000000"/>
          <w:sz w:val="32"/>
          <w:szCs w:val="32"/>
        </w:rPr>
      </w:pPr>
    </w:p>
    <w:p>
      <w:pPr>
        <w:spacing w:line="300" w:lineRule="auto"/>
        <w:ind w:firstLine="1606" w:firstLineChars="500"/>
        <w:rPr>
          <w:rFonts w:ascii="宋体"/>
          <w:b/>
          <w:bCs/>
          <w:color w:val="000000"/>
          <w:sz w:val="32"/>
          <w:szCs w:val="32"/>
        </w:rPr>
      </w:pPr>
      <w:r>
        <w:rPr>
          <w:rFonts w:hint="eastAsia" w:ascii="宋体" w:hAnsi="宋体" w:cs="宋体"/>
          <w:b/>
          <w:bCs/>
          <w:color w:val="000000"/>
          <w:sz w:val="32"/>
          <w:szCs w:val="32"/>
        </w:rPr>
        <w:t>项目名称：啬园校区及启秀校区直饮机服务</w:t>
      </w:r>
    </w:p>
    <w:p>
      <w:pPr>
        <w:spacing w:line="360" w:lineRule="auto"/>
        <w:ind w:firstLine="1606" w:firstLineChars="500"/>
        <w:rPr>
          <w:rFonts w:hint="default" w:ascii="宋体" w:eastAsiaTheme="minorEastAsia"/>
          <w:color w:val="000000"/>
          <w:spacing w:val="4"/>
          <w:sz w:val="24"/>
          <w:szCs w:val="24"/>
          <w:lang w:val="en-US" w:eastAsia="zh-CN"/>
        </w:rPr>
      </w:pPr>
      <w:r>
        <w:rPr>
          <w:rFonts w:hint="eastAsia" w:ascii="宋体" w:hAnsi="宋体" w:cs="宋体"/>
          <w:b/>
          <w:bCs/>
          <w:color w:val="000000"/>
          <w:sz w:val="32"/>
          <w:szCs w:val="32"/>
        </w:rPr>
        <w:t>项目编号：</w:t>
      </w:r>
      <w:r>
        <w:rPr>
          <w:rFonts w:asciiTheme="minorEastAsia" w:hAnsiTheme="minorEastAsia" w:eastAsiaTheme="minorEastAsia"/>
          <w:b/>
          <w:color w:val="000000" w:themeColor="text1"/>
          <w:sz w:val="32"/>
          <w:szCs w:val="32"/>
          <w14:textFill>
            <w14:solidFill>
              <w14:schemeClr w14:val="tx1"/>
            </w14:solidFill>
          </w14:textFill>
        </w:rPr>
        <w:t>TDFW(JC)2020-168</w:t>
      </w:r>
    </w:p>
    <w:p>
      <w:pPr>
        <w:jc w:val="center"/>
        <w:rPr>
          <w:rFonts w:ascii="宋体"/>
          <w:b/>
          <w:bCs/>
          <w:color w:val="000000"/>
          <w:sz w:val="32"/>
          <w:szCs w:val="32"/>
        </w:rPr>
      </w:pPr>
    </w:p>
    <w:p>
      <w:pPr>
        <w:jc w:val="center"/>
        <w:rPr>
          <w:rFonts w:eastAsia="黑体"/>
          <w:color w:val="000000"/>
          <w:sz w:val="36"/>
          <w:szCs w:val="36"/>
          <w:u w:val="single"/>
        </w:rPr>
      </w:pPr>
    </w:p>
    <w:p>
      <w:pPr>
        <w:rPr>
          <w:color w:val="000000"/>
          <w:sz w:val="44"/>
          <w:szCs w:val="44"/>
        </w:rPr>
      </w:pPr>
    </w:p>
    <w:p>
      <w:pPr>
        <w:jc w:val="center"/>
        <w:rPr>
          <w:color w:val="000000"/>
          <w:sz w:val="44"/>
          <w:szCs w:val="44"/>
        </w:rPr>
      </w:pPr>
    </w:p>
    <w:p>
      <w:pPr>
        <w:jc w:val="center"/>
        <w:rPr>
          <w:rFonts w:eastAsia="黑体"/>
          <w:color w:val="000000"/>
          <w:sz w:val="32"/>
          <w:szCs w:val="32"/>
        </w:rPr>
      </w:pPr>
    </w:p>
    <w:p>
      <w:pPr>
        <w:jc w:val="center"/>
        <w:rPr>
          <w:rFonts w:eastAsia="黑体"/>
          <w:color w:val="000000"/>
          <w:sz w:val="32"/>
          <w:szCs w:val="32"/>
        </w:rPr>
      </w:pPr>
    </w:p>
    <w:p>
      <w:pPr>
        <w:rPr>
          <w:rFonts w:ascii="宋体" w:hAnsi="宋体" w:cs="宋体"/>
          <w:b/>
          <w:bCs/>
          <w:color w:val="000000"/>
          <w:sz w:val="32"/>
          <w:szCs w:val="32"/>
        </w:rPr>
      </w:pPr>
    </w:p>
    <w:p>
      <w:pPr>
        <w:spacing w:before="100" w:beforeAutospacing="1" w:after="100" w:afterAutospacing="1" w:line="500" w:lineRule="exact"/>
        <w:jc w:val="center"/>
        <w:rPr>
          <w:rFonts w:asciiTheme="minorEastAsia" w:hAnsiTheme="minorEastAsia" w:eastAsiaTheme="minorEastAsia"/>
          <w:b/>
          <w:color w:val="000000" w:themeColor="text1"/>
          <w:sz w:val="32"/>
          <w:szCs w:val="32"/>
          <w14:textFill>
            <w14:solidFill>
              <w14:schemeClr w14:val="tx1"/>
            </w14:solidFill>
          </w14:textFill>
        </w:rPr>
      </w:pPr>
      <w:r>
        <w:rPr>
          <w:rFonts w:hint="eastAsia" w:asciiTheme="minorEastAsia" w:hAnsiTheme="minorEastAsia" w:eastAsiaTheme="minorEastAsia"/>
          <w:b/>
          <w:color w:val="000000" w:themeColor="text1"/>
          <w:sz w:val="32"/>
          <w:szCs w:val="32"/>
          <w14:textFill>
            <w14:solidFill>
              <w14:schemeClr w14:val="tx1"/>
            </w14:solidFill>
          </w14:textFill>
        </w:rPr>
        <w:t>南通大学招投标管理办公室</w:t>
      </w:r>
      <w:bookmarkStart w:id="33" w:name="_GoBack"/>
      <w:bookmarkEnd w:id="33"/>
    </w:p>
    <w:p>
      <w:pPr>
        <w:pStyle w:val="9"/>
        <w:ind w:left="0" w:leftChars="0"/>
        <w:jc w:val="center"/>
        <w:rPr>
          <w:rFonts w:ascii="宋体"/>
          <w:color w:val="000000"/>
          <w:sz w:val="30"/>
          <w:szCs w:val="30"/>
        </w:rPr>
      </w:pPr>
      <w:r>
        <w:rPr>
          <w:rFonts w:ascii="宋体" w:hAnsi="宋体" w:eastAsia="宋体" w:cs="宋体"/>
          <w:b/>
          <w:bCs/>
          <w:color w:val="000000"/>
          <w:sz w:val="32"/>
          <w:szCs w:val="32"/>
        </w:rPr>
        <w:t>20</w:t>
      </w:r>
      <w:r>
        <w:rPr>
          <w:rFonts w:hint="eastAsia" w:ascii="宋体" w:hAnsi="宋体" w:eastAsia="宋体" w:cs="宋体"/>
          <w:b/>
          <w:bCs/>
          <w:color w:val="000000"/>
          <w:sz w:val="32"/>
          <w:szCs w:val="32"/>
        </w:rPr>
        <w:t>20年8月</w:t>
      </w:r>
      <w:r>
        <w:rPr>
          <w:rFonts w:hint="eastAsia" w:ascii="宋体" w:hAnsi="宋体" w:eastAsia="宋体" w:cs="宋体"/>
          <w:b/>
          <w:bCs/>
          <w:color w:val="000000"/>
          <w:sz w:val="32"/>
          <w:szCs w:val="32"/>
          <w:lang w:val="en-US" w:eastAsia="zh-CN"/>
        </w:rPr>
        <w:t>15</w:t>
      </w:r>
      <w:r>
        <w:rPr>
          <w:rFonts w:hint="eastAsia" w:ascii="宋体" w:hAnsi="宋体" w:eastAsia="宋体" w:cs="宋体"/>
          <w:b/>
          <w:bCs/>
          <w:color w:val="000000"/>
          <w:sz w:val="32"/>
          <w:szCs w:val="32"/>
        </w:rPr>
        <w:t>日</w:t>
      </w:r>
    </w:p>
    <w:p>
      <w:pPr>
        <w:widowControl/>
        <w:jc w:val="center"/>
      </w:pPr>
      <w:bookmarkStart w:id="0" w:name="_Toc15042564"/>
      <w:r>
        <w:rPr>
          <w:rFonts w:hint="eastAsia" w:asciiTheme="minorEastAsia" w:hAnsiTheme="minorEastAsia" w:eastAsiaTheme="minorEastAsia"/>
          <w:b/>
          <w:color w:val="000000" w:themeColor="text1"/>
          <w:sz w:val="44"/>
          <w:szCs w:val="44"/>
          <w14:textFill>
            <w14:solidFill>
              <w14:schemeClr w14:val="tx1"/>
            </w14:solidFill>
          </w14:textFill>
        </w:rPr>
        <w:t>目录</w:t>
      </w:r>
      <w:r>
        <w:rPr>
          <w:rFonts w:asciiTheme="minorEastAsia" w:hAnsiTheme="minorEastAsia" w:eastAsiaTheme="minorEastAsia"/>
          <w:b/>
          <w:color w:val="000000" w:themeColor="text1"/>
          <w:sz w:val="32"/>
          <w:szCs w:val="32"/>
          <w14:textFill>
            <w14:solidFill>
              <w14:schemeClr w14:val="tx1"/>
            </w14:solidFill>
          </w14:textFill>
        </w:rPr>
        <w:fldChar w:fldCharType="begin"/>
      </w:r>
      <w:r>
        <w:rPr>
          <w:rFonts w:asciiTheme="minorEastAsia" w:hAnsiTheme="minorEastAsia" w:eastAsiaTheme="minorEastAsia"/>
          <w:b/>
          <w:color w:val="000000" w:themeColor="text1"/>
          <w:sz w:val="32"/>
          <w:szCs w:val="32"/>
          <w14:textFill>
            <w14:solidFill>
              <w14:schemeClr w14:val="tx1"/>
            </w14:solidFill>
          </w14:textFill>
        </w:rPr>
        <w:instrText xml:space="preserve"> TOC \o "1-3" \h \z \u </w:instrText>
      </w:r>
      <w:r>
        <w:rPr>
          <w:rFonts w:asciiTheme="minorEastAsia" w:hAnsiTheme="minorEastAsia" w:eastAsiaTheme="minorEastAsia"/>
          <w:b/>
          <w:color w:val="000000" w:themeColor="text1"/>
          <w:sz w:val="32"/>
          <w:szCs w:val="32"/>
          <w14:textFill>
            <w14:solidFill>
              <w14:schemeClr w14:val="tx1"/>
            </w14:solidFill>
          </w14:textFill>
        </w:rPr>
        <w:fldChar w:fldCharType="separate"/>
      </w:r>
    </w:p>
    <w:p>
      <w:pPr>
        <w:pStyle w:val="13"/>
        <w:tabs>
          <w:tab w:val="right" w:leader="dot" w:pos="9736"/>
        </w:tabs>
        <w:spacing w:line="500" w:lineRule="exact"/>
        <w:rPr>
          <w:rFonts w:ascii="宋体" w:hAnsi="宋体" w:cs="宋体"/>
        </w:rPr>
      </w:pPr>
      <w:r>
        <w:fldChar w:fldCharType="begin"/>
      </w:r>
      <w:r>
        <w:instrText xml:space="preserve"> HYPERLINK \l "_Toc40968800" </w:instrText>
      </w:r>
      <w:r>
        <w:fldChar w:fldCharType="separate"/>
      </w:r>
      <w:r>
        <w:rPr>
          <w:rStyle w:val="23"/>
          <w:rFonts w:hint="eastAsia" w:ascii="宋体" w:hAnsi="宋体" w:cs="宋体"/>
          <w:sz w:val="21"/>
          <w:szCs w:val="21"/>
        </w:rPr>
        <w:t>第一部分  公开招标采购公告</w:t>
      </w:r>
      <w:r>
        <w:rPr>
          <w:rFonts w:hint="eastAsia" w:ascii="宋体" w:hAnsi="宋体" w:cs="宋体"/>
        </w:rPr>
        <w:tab/>
      </w:r>
      <w:r>
        <w:rPr>
          <w:rFonts w:hint="eastAsia" w:ascii="宋体" w:hAnsi="宋体" w:cs="宋体"/>
        </w:rPr>
        <w:t>3</w:t>
      </w:r>
      <w:r>
        <w:rPr>
          <w:rFonts w:hint="eastAsia" w:ascii="宋体" w:hAnsi="宋体" w:cs="宋体"/>
        </w:rPr>
        <w:fldChar w:fldCharType="end"/>
      </w:r>
    </w:p>
    <w:p>
      <w:pPr>
        <w:pStyle w:val="13"/>
        <w:tabs>
          <w:tab w:val="right" w:leader="dot" w:pos="9736"/>
        </w:tabs>
        <w:spacing w:line="500" w:lineRule="exact"/>
        <w:rPr>
          <w:rFonts w:ascii="宋体" w:hAnsi="宋体" w:cs="宋体"/>
        </w:rPr>
      </w:pPr>
      <w:r>
        <w:fldChar w:fldCharType="begin"/>
      </w:r>
      <w:r>
        <w:instrText xml:space="preserve"> HYPERLINK \l "_Toc40968801" </w:instrText>
      </w:r>
      <w:r>
        <w:fldChar w:fldCharType="separate"/>
      </w:r>
      <w:r>
        <w:rPr>
          <w:rStyle w:val="23"/>
          <w:rFonts w:hint="eastAsia" w:ascii="宋体" w:hAnsi="宋体" w:cs="宋体"/>
          <w:sz w:val="21"/>
          <w:szCs w:val="21"/>
        </w:rPr>
        <w:t>第二部分  投标人须知</w:t>
      </w:r>
      <w:r>
        <w:rPr>
          <w:rFonts w:hint="eastAsia" w:ascii="宋体" w:hAnsi="宋体" w:cs="宋体"/>
        </w:rPr>
        <w:tab/>
      </w:r>
      <w:r>
        <w:rPr>
          <w:rFonts w:hint="eastAsia" w:ascii="宋体" w:hAnsi="宋体" w:cs="宋体"/>
        </w:rPr>
        <w:t>6</w:t>
      </w:r>
      <w:r>
        <w:rPr>
          <w:rFonts w:hint="eastAsia" w:ascii="宋体" w:hAnsi="宋体" w:cs="宋体"/>
        </w:rPr>
        <w:fldChar w:fldCharType="end"/>
      </w:r>
    </w:p>
    <w:p>
      <w:pPr>
        <w:pStyle w:val="14"/>
        <w:tabs>
          <w:tab w:val="right" w:leader="dot" w:pos="9736"/>
        </w:tabs>
        <w:spacing w:line="500" w:lineRule="exact"/>
        <w:rPr>
          <w:rFonts w:ascii="宋体" w:hAnsi="宋体" w:cs="宋体"/>
        </w:rPr>
      </w:pPr>
      <w:r>
        <w:fldChar w:fldCharType="begin"/>
      </w:r>
      <w:r>
        <w:instrText xml:space="preserve"> HYPERLINK \l "_Toc40968802" </w:instrText>
      </w:r>
      <w:r>
        <w:fldChar w:fldCharType="separate"/>
      </w:r>
      <w:r>
        <w:rPr>
          <w:rStyle w:val="23"/>
          <w:rFonts w:hint="eastAsia" w:ascii="宋体" w:hAnsi="宋体" w:cs="宋体"/>
          <w:sz w:val="21"/>
          <w:szCs w:val="21"/>
        </w:rPr>
        <w:t>一、竞争性磋商文件</w:t>
      </w:r>
      <w:r>
        <w:rPr>
          <w:rFonts w:hint="eastAsia" w:ascii="宋体" w:hAnsi="宋体" w:cs="宋体"/>
        </w:rPr>
        <w:tab/>
      </w:r>
      <w:r>
        <w:rPr>
          <w:rFonts w:hint="eastAsia" w:ascii="宋体" w:hAnsi="宋体" w:cs="宋体"/>
        </w:rPr>
        <w:fldChar w:fldCharType="begin"/>
      </w:r>
      <w:r>
        <w:rPr>
          <w:rFonts w:hint="eastAsia" w:ascii="宋体" w:hAnsi="宋体" w:cs="宋体"/>
        </w:rPr>
        <w:instrText xml:space="preserve"> PAGEREF _Toc40968802 \h </w:instrText>
      </w:r>
      <w:r>
        <w:rPr>
          <w:rFonts w:hint="eastAsia" w:ascii="宋体" w:hAnsi="宋体" w:cs="宋体"/>
        </w:rPr>
        <w:fldChar w:fldCharType="separate"/>
      </w:r>
      <w:r>
        <w:rPr>
          <w:rFonts w:hint="eastAsia" w:ascii="宋体" w:hAnsi="宋体" w:cs="宋体"/>
        </w:rPr>
        <w:t>6</w:t>
      </w:r>
      <w:r>
        <w:rPr>
          <w:rFonts w:hint="eastAsia" w:ascii="宋体" w:hAnsi="宋体" w:cs="宋体"/>
        </w:rPr>
        <w:fldChar w:fldCharType="end"/>
      </w:r>
      <w:r>
        <w:rPr>
          <w:rFonts w:hint="eastAsia" w:ascii="宋体" w:hAnsi="宋体" w:cs="宋体"/>
        </w:rPr>
        <w:fldChar w:fldCharType="end"/>
      </w:r>
    </w:p>
    <w:p>
      <w:pPr>
        <w:pStyle w:val="14"/>
        <w:tabs>
          <w:tab w:val="right" w:leader="dot" w:pos="9736"/>
        </w:tabs>
        <w:spacing w:line="500" w:lineRule="exact"/>
        <w:rPr>
          <w:rFonts w:ascii="宋体" w:hAnsi="宋体" w:cs="宋体"/>
        </w:rPr>
      </w:pPr>
      <w:r>
        <w:fldChar w:fldCharType="begin"/>
      </w:r>
      <w:r>
        <w:instrText xml:space="preserve"> HYPERLINK \l "_Toc40968803" </w:instrText>
      </w:r>
      <w:r>
        <w:fldChar w:fldCharType="separate"/>
      </w:r>
      <w:r>
        <w:rPr>
          <w:rStyle w:val="23"/>
          <w:rFonts w:hint="eastAsia" w:ascii="宋体" w:hAnsi="宋体" w:cs="宋体"/>
          <w:sz w:val="21"/>
          <w:szCs w:val="21"/>
        </w:rPr>
        <w:t>二、投标文件</w:t>
      </w:r>
      <w:r>
        <w:rPr>
          <w:rFonts w:hint="eastAsia" w:ascii="宋体" w:hAnsi="宋体" w:cs="宋体"/>
        </w:rPr>
        <w:tab/>
      </w:r>
      <w:r>
        <w:rPr>
          <w:rFonts w:hint="eastAsia" w:ascii="宋体" w:hAnsi="宋体" w:cs="宋体"/>
        </w:rPr>
        <w:fldChar w:fldCharType="begin"/>
      </w:r>
      <w:r>
        <w:rPr>
          <w:rFonts w:hint="eastAsia" w:ascii="宋体" w:hAnsi="宋体" w:cs="宋体"/>
        </w:rPr>
        <w:instrText xml:space="preserve"> PAGEREF _Toc40968803 \h </w:instrText>
      </w:r>
      <w:r>
        <w:rPr>
          <w:rFonts w:hint="eastAsia" w:ascii="宋体" w:hAnsi="宋体" w:cs="宋体"/>
        </w:rPr>
        <w:fldChar w:fldCharType="separate"/>
      </w:r>
      <w:r>
        <w:rPr>
          <w:rFonts w:hint="eastAsia" w:ascii="宋体" w:hAnsi="宋体" w:cs="宋体"/>
        </w:rPr>
        <w:t>6</w:t>
      </w:r>
      <w:r>
        <w:rPr>
          <w:rFonts w:hint="eastAsia" w:ascii="宋体" w:hAnsi="宋体" w:cs="宋体"/>
        </w:rPr>
        <w:fldChar w:fldCharType="end"/>
      </w:r>
      <w:r>
        <w:rPr>
          <w:rFonts w:hint="eastAsia" w:ascii="宋体" w:hAnsi="宋体" w:cs="宋体"/>
        </w:rPr>
        <w:fldChar w:fldCharType="end"/>
      </w:r>
    </w:p>
    <w:p>
      <w:pPr>
        <w:pStyle w:val="14"/>
        <w:tabs>
          <w:tab w:val="right" w:leader="dot" w:pos="9736"/>
        </w:tabs>
        <w:spacing w:line="500" w:lineRule="exact"/>
        <w:rPr>
          <w:rFonts w:ascii="宋体" w:hAnsi="宋体" w:cs="宋体"/>
        </w:rPr>
      </w:pPr>
      <w:r>
        <w:fldChar w:fldCharType="begin"/>
      </w:r>
      <w:r>
        <w:instrText xml:space="preserve"> HYPERLINK \l "_Toc40968804" </w:instrText>
      </w:r>
      <w:r>
        <w:fldChar w:fldCharType="separate"/>
      </w:r>
      <w:r>
        <w:rPr>
          <w:rStyle w:val="23"/>
          <w:rFonts w:hint="eastAsia" w:ascii="宋体" w:hAnsi="宋体" w:cs="宋体"/>
          <w:sz w:val="21"/>
          <w:szCs w:val="21"/>
        </w:rPr>
        <w:t>三、投标细则</w:t>
      </w:r>
      <w:r>
        <w:rPr>
          <w:rFonts w:hint="eastAsia" w:ascii="宋体" w:hAnsi="宋体" w:cs="宋体"/>
        </w:rPr>
        <w:tab/>
      </w:r>
      <w:r>
        <w:rPr>
          <w:rFonts w:hint="eastAsia" w:ascii="宋体" w:hAnsi="宋体" w:cs="宋体"/>
        </w:rPr>
        <w:t>8</w:t>
      </w:r>
      <w:r>
        <w:rPr>
          <w:rFonts w:hint="eastAsia" w:ascii="宋体" w:hAnsi="宋体" w:cs="宋体"/>
        </w:rPr>
        <w:fldChar w:fldCharType="end"/>
      </w:r>
    </w:p>
    <w:p>
      <w:pPr>
        <w:pStyle w:val="14"/>
        <w:tabs>
          <w:tab w:val="right" w:leader="dot" w:pos="9736"/>
        </w:tabs>
        <w:spacing w:line="500" w:lineRule="exact"/>
        <w:rPr>
          <w:rFonts w:ascii="宋体" w:hAnsi="宋体" w:cs="宋体"/>
        </w:rPr>
      </w:pPr>
      <w:r>
        <w:fldChar w:fldCharType="begin"/>
      </w:r>
      <w:r>
        <w:instrText xml:space="preserve"> HYPERLINK \l "_Toc40968805" </w:instrText>
      </w:r>
      <w:r>
        <w:fldChar w:fldCharType="separate"/>
      </w:r>
      <w:r>
        <w:rPr>
          <w:rStyle w:val="23"/>
          <w:rFonts w:hint="eastAsia" w:ascii="宋体" w:hAnsi="宋体" w:cs="宋体"/>
          <w:sz w:val="21"/>
          <w:szCs w:val="21"/>
        </w:rPr>
        <w:t>四、评标</w:t>
      </w:r>
      <w:r>
        <w:rPr>
          <w:rFonts w:hint="eastAsia" w:ascii="宋体" w:hAnsi="宋体" w:cs="宋体"/>
        </w:rPr>
        <w:tab/>
      </w:r>
      <w:r>
        <w:rPr>
          <w:rFonts w:hint="eastAsia" w:ascii="宋体" w:hAnsi="宋体" w:cs="宋体"/>
        </w:rPr>
        <w:t>9</w:t>
      </w:r>
      <w:r>
        <w:rPr>
          <w:rFonts w:hint="eastAsia" w:ascii="宋体" w:hAnsi="宋体" w:cs="宋体"/>
        </w:rPr>
        <w:fldChar w:fldCharType="end"/>
      </w:r>
    </w:p>
    <w:p>
      <w:pPr>
        <w:pStyle w:val="14"/>
        <w:tabs>
          <w:tab w:val="right" w:leader="dot" w:pos="9736"/>
        </w:tabs>
        <w:spacing w:line="500" w:lineRule="exact"/>
        <w:rPr>
          <w:rFonts w:ascii="宋体" w:hAnsi="宋体" w:cs="宋体"/>
        </w:rPr>
      </w:pPr>
      <w:r>
        <w:fldChar w:fldCharType="begin"/>
      </w:r>
      <w:r>
        <w:instrText xml:space="preserve"> HYPERLINK \l "_Toc40968806" </w:instrText>
      </w:r>
      <w:r>
        <w:fldChar w:fldCharType="separate"/>
      </w:r>
      <w:r>
        <w:rPr>
          <w:rStyle w:val="23"/>
          <w:rFonts w:hint="eastAsia" w:ascii="宋体" w:hAnsi="宋体" w:cs="宋体"/>
          <w:sz w:val="21"/>
          <w:szCs w:val="21"/>
        </w:rPr>
        <w:t>五、合同履约保证金</w:t>
      </w:r>
      <w:r>
        <w:rPr>
          <w:rFonts w:hint="eastAsia" w:ascii="宋体" w:hAnsi="宋体" w:cs="宋体"/>
        </w:rPr>
        <w:tab/>
      </w:r>
      <w:r>
        <w:rPr>
          <w:rFonts w:hint="eastAsia" w:ascii="宋体" w:hAnsi="宋体" w:cs="宋体"/>
        </w:rPr>
        <w:t>1</w:t>
      </w:r>
      <w:r>
        <w:rPr>
          <w:rFonts w:hint="eastAsia" w:ascii="宋体" w:hAnsi="宋体" w:cs="宋体"/>
        </w:rPr>
        <w:fldChar w:fldCharType="end"/>
      </w:r>
      <w:r>
        <w:rPr>
          <w:rFonts w:hint="eastAsia" w:ascii="宋体" w:hAnsi="宋体" w:cs="宋体"/>
        </w:rPr>
        <w:t>0</w:t>
      </w:r>
    </w:p>
    <w:p>
      <w:pPr>
        <w:pStyle w:val="14"/>
        <w:tabs>
          <w:tab w:val="right" w:leader="dot" w:pos="9736"/>
        </w:tabs>
        <w:spacing w:line="500" w:lineRule="exact"/>
        <w:rPr>
          <w:rFonts w:ascii="宋体" w:hAnsi="宋体" w:cs="宋体"/>
        </w:rPr>
      </w:pPr>
      <w:r>
        <w:fldChar w:fldCharType="begin"/>
      </w:r>
      <w:r>
        <w:instrText xml:space="preserve"> HYPERLINK \l "_Toc40968807" </w:instrText>
      </w:r>
      <w:r>
        <w:fldChar w:fldCharType="separate"/>
      </w:r>
      <w:r>
        <w:rPr>
          <w:rStyle w:val="23"/>
          <w:rFonts w:hint="eastAsia" w:ascii="宋体" w:hAnsi="宋体" w:cs="宋体"/>
          <w:sz w:val="21"/>
          <w:szCs w:val="21"/>
        </w:rPr>
        <w:t>六、不合格标书及违约处理</w:t>
      </w:r>
      <w:r>
        <w:rPr>
          <w:rFonts w:hint="eastAsia" w:ascii="宋体" w:hAnsi="宋体" w:cs="宋体"/>
        </w:rPr>
        <w:tab/>
      </w:r>
      <w:r>
        <w:rPr>
          <w:rFonts w:hint="eastAsia" w:ascii="宋体" w:hAnsi="宋体" w:cs="宋体"/>
        </w:rPr>
        <w:t>1</w:t>
      </w:r>
      <w:r>
        <w:rPr>
          <w:rFonts w:hint="eastAsia" w:ascii="宋体" w:hAnsi="宋体" w:cs="宋体"/>
        </w:rPr>
        <w:fldChar w:fldCharType="end"/>
      </w:r>
      <w:r>
        <w:rPr>
          <w:rFonts w:hint="eastAsia" w:ascii="宋体" w:hAnsi="宋体" w:cs="宋体"/>
        </w:rPr>
        <w:t>1</w:t>
      </w:r>
    </w:p>
    <w:p>
      <w:pPr>
        <w:pStyle w:val="14"/>
        <w:tabs>
          <w:tab w:val="right" w:leader="dot" w:pos="9736"/>
        </w:tabs>
        <w:spacing w:line="500" w:lineRule="exact"/>
        <w:rPr>
          <w:rFonts w:ascii="宋体" w:hAnsi="宋体" w:cs="宋体"/>
        </w:rPr>
      </w:pPr>
      <w:r>
        <w:fldChar w:fldCharType="begin"/>
      </w:r>
      <w:r>
        <w:instrText xml:space="preserve"> HYPERLINK \l "_Toc40968808" </w:instrText>
      </w:r>
      <w:r>
        <w:fldChar w:fldCharType="separate"/>
      </w:r>
      <w:r>
        <w:rPr>
          <w:rStyle w:val="23"/>
          <w:rFonts w:hint="eastAsia" w:ascii="宋体" w:hAnsi="宋体" w:cs="宋体"/>
          <w:sz w:val="21"/>
          <w:szCs w:val="21"/>
        </w:rPr>
        <w:t>七、评标程序、方法及评分标准</w:t>
      </w:r>
      <w:r>
        <w:rPr>
          <w:rFonts w:hint="eastAsia" w:ascii="宋体" w:hAnsi="宋体" w:cs="宋体"/>
        </w:rPr>
        <w:tab/>
      </w:r>
      <w:r>
        <w:rPr>
          <w:rFonts w:hint="eastAsia" w:ascii="宋体" w:hAnsi="宋体" w:cs="宋体"/>
        </w:rPr>
        <w:t>1</w:t>
      </w:r>
      <w:r>
        <w:rPr>
          <w:rFonts w:hint="eastAsia" w:ascii="宋体" w:hAnsi="宋体" w:cs="宋体"/>
        </w:rPr>
        <w:fldChar w:fldCharType="end"/>
      </w:r>
      <w:r>
        <w:rPr>
          <w:rFonts w:hint="eastAsia" w:ascii="宋体" w:hAnsi="宋体" w:cs="宋体"/>
        </w:rPr>
        <w:t>1</w:t>
      </w:r>
    </w:p>
    <w:p>
      <w:pPr>
        <w:pStyle w:val="14"/>
        <w:tabs>
          <w:tab w:val="right" w:leader="dot" w:pos="9736"/>
        </w:tabs>
        <w:spacing w:line="500" w:lineRule="exact"/>
        <w:rPr>
          <w:rFonts w:ascii="宋体" w:hAnsi="宋体" w:cs="宋体"/>
        </w:rPr>
      </w:pPr>
      <w:r>
        <w:fldChar w:fldCharType="begin"/>
      </w:r>
      <w:r>
        <w:instrText xml:space="preserve"> HYPERLINK \l "_Toc40968813" </w:instrText>
      </w:r>
      <w:r>
        <w:fldChar w:fldCharType="separate"/>
      </w:r>
      <w:r>
        <w:rPr>
          <w:rFonts w:hint="eastAsia" w:ascii="宋体" w:hAnsi="宋体" w:cs="宋体"/>
        </w:rPr>
        <w:t>八、</w:t>
      </w:r>
      <w:r>
        <w:rPr>
          <w:rStyle w:val="23"/>
          <w:rFonts w:hint="eastAsia" w:ascii="宋体" w:hAnsi="宋体" w:cs="宋体"/>
          <w:sz w:val="21"/>
          <w:szCs w:val="21"/>
        </w:rPr>
        <w:t>定标</w:t>
      </w:r>
      <w:r>
        <w:rPr>
          <w:rFonts w:hint="eastAsia" w:ascii="宋体" w:hAnsi="宋体" w:cs="宋体"/>
        </w:rPr>
        <w:tab/>
      </w:r>
      <w:r>
        <w:rPr>
          <w:rFonts w:hint="eastAsia" w:ascii="宋体" w:hAnsi="宋体" w:cs="宋体"/>
        </w:rPr>
        <w:t>1</w:t>
      </w:r>
      <w:r>
        <w:rPr>
          <w:rFonts w:hint="eastAsia" w:ascii="宋体" w:hAnsi="宋体" w:cs="宋体"/>
        </w:rPr>
        <w:fldChar w:fldCharType="end"/>
      </w:r>
      <w:r>
        <w:rPr>
          <w:rFonts w:hint="eastAsia" w:ascii="宋体" w:hAnsi="宋体" w:cs="宋体"/>
        </w:rPr>
        <w:t>3</w:t>
      </w:r>
    </w:p>
    <w:p>
      <w:pPr>
        <w:pStyle w:val="14"/>
        <w:tabs>
          <w:tab w:val="right" w:leader="dot" w:pos="9736"/>
        </w:tabs>
        <w:spacing w:line="500" w:lineRule="exact"/>
        <w:rPr>
          <w:rFonts w:ascii="宋体" w:hAnsi="宋体" w:cs="宋体"/>
        </w:rPr>
      </w:pPr>
      <w:r>
        <w:fldChar w:fldCharType="begin"/>
      </w:r>
      <w:r>
        <w:instrText xml:space="preserve"> HYPERLINK \l "_Toc40968813" </w:instrText>
      </w:r>
      <w:r>
        <w:fldChar w:fldCharType="separate"/>
      </w:r>
      <w:r>
        <w:rPr>
          <w:rStyle w:val="23"/>
          <w:rFonts w:hint="eastAsia" w:ascii="宋体" w:hAnsi="宋体" w:cs="宋体"/>
          <w:sz w:val="21"/>
          <w:szCs w:val="21"/>
        </w:rPr>
        <w:t>九、合同的签订</w:t>
      </w:r>
      <w:r>
        <w:rPr>
          <w:rFonts w:hint="eastAsia" w:ascii="宋体" w:hAnsi="宋体" w:cs="宋体"/>
        </w:rPr>
        <w:tab/>
      </w:r>
      <w:r>
        <w:rPr>
          <w:rFonts w:hint="eastAsia" w:ascii="宋体" w:hAnsi="宋体" w:cs="宋体"/>
        </w:rPr>
        <w:t>1</w:t>
      </w:r>
      <w:r>
        <w:rPr>
          <w:rFonts w:hint="eastAsia" w:ascii="宋体" w:hAnsi="宋体" w:cs="宋体"/>
        </w:rPr>
        <w:fldChar w:fldCharType="end"/>
      </w:r>
      <w:r>
        <w:rPr>
          <w:rFonts w:hint="eastAsia" w:ascii="宋体" w:hAnsi="宋体" w:cs="宋体"/>
        </w:rPr>
        <w:t>4</w:t>
      </w:r>
    </w:p>
    <w:p>
      <w:pPr>
        <w:pStyle w:val="14"/>
        <w:tabs>
          <w:tab w:val="right" w:leader="dot" w:pos="9736"/>
        </w:tabs>
        <w:spacing w:line="500" w:lineRule="exact"/>
        <w:rPr>
          <w:rFonts w:ascii="宋体" w:hAnsi="宋体" w:cs="宋体"/>
        </w:rPr>
      </w:pPr>
      <w:r>
        <w:fldChar w:fldCharType="begin"/>
      </w:r>
      <w:r>
        <w:instrText xml:space="preserve"> HYPERLINK \l "_Toc40968813" </w:instrText>
      </w:r>
      <w:r>
        <w:fldChar w:fldCharType="separate"/>
      </w:r>
      <w:r>
        <w:rPr>
          <w:rStyle w:val="23"/>
          <w:rFonts w:hint="eastAsia" w:ascii="宋体" w:hAnsi="宋体" w:cs="宋体"/>
          <w:sz w:val="21"/>
          <w:szCs w:val="21"/>
        </w:rPr>
        <w:t>十、其他</w:t>
      </w:r>
      <w:r>
        <w:rPr>
          <w:rFonts w:hint="eastAsia" w:ascii="宋体" w:hAnsi="宋体" w:cs="宋体"/>
        </w:rPr>
        <w:tab/>
      </w:r>
      <w:r>
        <w:rPr>
          <w:rFonts w:hint="eastAsia" w:ascii="宋体" w:hAnsi="宋体" w:cs="宋体"/>
        </w:rPr>
        <w:t>14</w:t>
      </w:r>
      <w:r>
        <w:rPr>
          <w:rFonts w:hint="eastAsia" w:ascii="宋体" w:hAnsi="宋体" w:cs="宋体"/>
        </w:rPr>
        <w:fldChar w:fldCharType="end"/>
      </w:r>
    </w:p>
    <w:p>
      <w:pPr>
        <w:pStyle w:val="13"/>
        <w:tabs>
          <w:tab w:val="right" w:leader="dot" w:pos="9736"/>
        </w:tabs>
        <w:spacing w:line="500" w:lineRule="exact"/>
        <w:rPr>
          <w:rFonts w:ascii="宋体" w:hAnsi="宋体" w:cs="宋体"/>
        </w:rPr>
      </w:pPr>
      <w:r>
        <w:fldChar w:fldCharType="begin"/>
      </w:r>
      <w:r>
        <w:instrText xml:space="preserve"> HYPERLINK \l "_Toc40968809" </w:instrText>
      </w:r>
      <w:r>
        <w:fldChar w:fldCharType="separate"/>
      </w:r>
      <w:r>
        <w:rPr>
          <w:rStyle w:val="23"/>
          <w:rFonts w:hint="eastAsia" w:ascii="宋体" w:hAnsi="宋体" w:cs="宋体"/>
          <w:sz w:val="21"/>
          <w:szCs w:val="21"/>
        </w:rPr>
        <w:t>第三部分 招标货物要求及相关说明</w:t>
      </w:r>
      <w:r>
        <w:rPr>
          <w:rFonts w:hint="eastAsia" w:ascii="宋体" w:hAnsi="宋体" w:cs="宋体"/>
        </w:rPr>
        <w:tab/>
      </w:r>
      <w:r>
        <w:rPr>
          <w:rFonts w:hint="eastAsia" w:ascii="宋体" w:hAnsi="宋体" w:cs="宋体"/>
        </w:rPr>
        <w:t>1</w:t>
      </w:r>
      <w:r>
        <w:rPr>
          <w:rFonts w:hint="eastAsia" w:ascii="宋体" w:hAnsi="宋体" w:cs="宋体"/>
        </w:rPr>
        <w:fldChar w:fldCharType="end"/>
      </w:r>
      <w:r>
        <w:rPr>
          <w:rFonts w:hint="eastAsia" w:ascii="宋体" w:hAnsi="宋体" w:cs="宋体"/>
        </w:rPr>
        <w:t>5</w:t>
      </w:r>
    </w:p>
    <w:p>
      <w:pPr>
        <w:pStyle w:val="13"/>
        <w:tabs>
          <w:tab w:val="right" w:leader="dot" w:pos="9736"/>
        </w:tabs>
        <w:spacing w:line="500" w:lineRule="exact"/>
        <w:rPr>
          <w:rFonts w:ascii="宋体" w:hAnsi="宋体" w:cs="宋体"/>
        </w:rPr>
      </w:pPr>
      <w:r>
        <w:fldChar w:fldCharType="begin"/>
      </w:r>
      <w:r>
        <w:instrText xml:space="preserve"> HYPERLINK \l "_Toc40968810" </w:instrText>
      </w:r>
      <w:r>
        <w:fldChar w:fldCharType="separate"/>
      </w:r>
      <w:r>
        <w:rPr>
          <w:rStyle w:val="23"/>
          <w:rFonts w:hint="eastAsia" w:ascii="宋体" w:hAnsi="宋体" w:cs="宋体"/>
          <w:sz w:val="21"/>
          <w:szCs w:val="21"/>
        </w:rPr>
        <w:t>第四部分 合同主要条款</w:t>
      </w:r>
      <w:r>
        <w:rPr>
          <w:rFonts w:hint="eastAsia" w:ascii="宋体" w:hAnsi="宋体" w:cs="宋体"/>
        </w:rPr>
        <w:tab/>
      </w:r>
      <w:r>
        <w:rPr>
          <w:rFonts w:hint="eastAsia" w:ascii="宋体" w:hAnsi="宋体" w:cs="宋体"/>
        </w:rPr>
        <w:t>1</w:t>
      </w:r>
      <w:r>
        <w:rPr>
          <w:rFonts w:hint="eastAsia" w:ascii="宋体" w:hAnsi="宋体" w:cs="宋体"/>
        </w:rPr>
        <w:fldChar w:fldCharType="end"/>
      </w:r>
      <w:r>
        <w:rPr>
          <w:rFonts w:hint="eastAsia" w:ascii="宋体" w:hAnsi="宋体" w:cs="宋体"/>
        </w:rPr>
        <w:t xml:space="preserve">7 </w:t>
      </w:r>
    </w:p>
    <w:p>
      <w:pPr>
        <w:pStyle w:val="13"/>
        <w:tabs>
          <w:tab w:val="right" w:leader="dot" w:pos="9736"/>
        </w:tabs>
        <w:spacing w:line="500" w:lineRule="exact"/>
        <w:rPr>
          <w:rStyle w:val="23"/>
          <w:rFonts w:ascii="宋体" w:hAnsi="宋体" w:cs="宋体"/>
          <w:sz w:val="21"/>
          <w:szCs w:val="21"/>
        </w:rPr>
      </w:pPr>
      <w:r>
        <w:fldChar w:fldCharType="begin"/>
      </w:r>
      <w:r>
        <w:instrText xml:space="preserve"> HYPERLINK \l "_Toc40968811" </w:instrText>
      </w:r>
      <w:r>
        <w:fldChar w:fldCharType="separate"/>
      </w:r>
      <w:r>
        <w:rPr>
          <w:rStyle w:val="23"/>
          <w:rFonts w:hint="eastAsia" w:ascii="宋体" w:hAnsi="宋体" w:cs="宋体"/>
          <w:sz w:val="21"/>
          <w:szCs w:val="21"/>
        </w:rPr>
        <w:t>第五部分 附件</w:t>
      </w:r>
      <w:r>
        <w:rPr>
          <w:rFonts w:hint="eastAsia" w:ascii="宋体" w:hAnsi="宋体" w:cs="宋体"/>
        </w:rPr>
        <w:tab/>
      </w:r>
      <w:r>
        <w:rPr>
          <w:rFonts w:hint="eastAsia" w:ascii="宋体" w:hAnsi="宋体" w:cs="宋体"/>
        </w:rPr>
        <w:t>19</w:t>
      </w:r>
      <w:r>
        <w:rPr>
          <w:rFonts w:hint="eastAsia" w:ascii="宋体" w:hAnsi="宋体" w:cs="宋体"/>
        </w:rPr>
        <w:fldChar w:fldCharType="end"/>
      </w:r>
    </w:p>
    <w:p>
      <w:pPr>
        <w:pStyle w:val="14"/>
        <w:tabs>
          <w:tab w:val="right" w:leader="dot" w:pos="9736"/>
        </w:tabs>
        <w:spacing w:line="500" w:lineRule="exact"/>
        <w:rPr>
          <w:rFonts w:ascii="宋体" w:hAnsi="宋体" w:cs="宋体"/>
        </w:rPr>
      </w:pPr>
      <w:r>
        <w:rPr>
          <w:rFonts w:hint="eastAsia"/>
        </w:rPr>
        <w:t>附件1</w:t>
      </w:r>
      <w:r>
        <w:rPr>
          <w:rStyle w:val="23"/>
          <w:rFonts w:hint="eastAsia" w:ascii="宋体" w:hAnsi="宋体" w:cs="宋体"/>
          <w:sz w:val="21"/>
          <w:szCs w:val="21"/>
        </w:rPr>
        <w:t>：</w:t>
      </w:r>
      <w:r>
        <w:rPr>
          <w:rFonts w:hint="eastAsia"/>
        </w:rPr>
        <w:t>投标函</w:t>
      </w:r>
      <w:r>
        <w:t>………………………………………………………</w:t>
      </w:r>
      <w:r>
        <w:rPr>
          <w:rFonts w:hint="eastAsia"/>
        </w:rPr>
        <w:t>...</w:t>
      </w:r>
      <w:r>
        <w:t>…………………………</w:t>
      </w:r>
      <w:r>
        <w:rPr>
          <w:rFonts w:hint="eastAsia"/>
        </w:rPr>
        <w:t>.</w:t>
      </w:r>
      <w:r>
        <w:t>…</w:t>
      </w:r>
      <w:r>
        <w:rPr>
          <w:rFonts w:hint="eastAsia"/>
        </w:rPr>
        <w:t>.</w:t>
      </w:r>
      <w:r>
        <w:t>………</w:t>
      </w:r>
      <w:r>
        <w:rPr>
          <w:rFonts w:hint="eastAsia"/>
        </w:rPr>
        <w:t>..</w:t>
      </w:r>
      <w:r>
        <w:rPr>
          <w:rFonts w:hint="eastAsia" w:ascii="宋体" w:hAnsi="宋体" w:cs="宋体"/>
        </w:rPr>
        <w:t>20</w:t>
      </w:r>
    </w:p>
    <w:p>
      <w:pPr>
        <w:pStyle w:val="14"/>
        <w:tabs>
          <w:tab w:val="right" w:leader="dot" w:pos="9736"/>
        </w:tabs>
        <w:spacing w:line="500" w:lineRule="exact"/>
        <w:rPr>
          <w:rFonts w:ascii="宋体" w:hAnsi="宋体" w:cs="宋体"/>
        </w:rPr>
      </w:pPr>
      <w:r>
        <w:fldChar w:fldCharType="begin"/>
      </w:r>
      <w:r>
        <w:instrText xml:space="preserve"> HYPERLINK \l "_Toc40968812" </w:instrText>
      </w:r>
      <w:r>
        <w:fldChar w:fldCharType="separate"/>
      </w:r>
      <w:r>
        <w:rPr>
          <w:rStyle w:val="23"/>
          <w:rFonts w:hint="eastAsia" w:ascii="宋体" w:hAnsi="宋体" w:cs="宋体"/>
          <w:sz w:val="21"/>
          <w:szCs w:val="21"/>
        </w:rPr>
        <w:t>附件2：投标资料与页码对照表</w:t>
      </w:r>
      <w:r>
        <w:rPr>
          <w:rFonts w:hint="eastAsia" w:ascii="宋体" w:hAnsi="宋体" w:cs="宋体"/>
        </w:rPr>
        <w:tab/>
      </w:r>
      <w:r>
        <w:rPr>
          <w:rFonts w:hint="eastAsia" w:ascii="宋体" w:hAnsi="宋体" w:cs="宋体"/>
        </w:rPr>
        <w:fldChar w:fldCharType="begin"/>
      </w:r>
      <w:r>
        <w:rPr>
          <w:rFonts w:hint="eastAsia" w:ascii="宋体" w:hAnsi="宋体" w:cs="宋体"/>
        </w:rPr>
        <w:instrText xml:space="preserve"> PAGEREF _Toc40968812 \h </w:instrText>
      </w:r>
      <w:r>
        <w:rPr>
          <w:rFonts w:hint="eastAsia" w:ascii="宋体" w:hAnsi="宋体" w:cs="宋体"/>
        </w:rPr>
        <w:fldChar w:fldCharType="separate"/>
      </w:r>
      <w:r>
        <w:rPr>
          <w:rFonts w:hint="eastAsia" w:ascii="宋体" w:hAnsi="宋体" w:cs="宋体"/>
        </w:rPr>
        <w:t>21</w:t>
      </w:r>
      <w:r>
        <w:rPr>
          <w:rFonts w:hint="eastAsia" w:ascii="宋体" w:hAnsi="宋体" w:cs="宋体"/>
        </w:rPr>
        <w:fldChar w:fldCharType="end"/>
      </w:r>
      <w:r>
        <w:rPr>
          <w:rFonts w:hint="eastAsia" w:ascii="宋体" w:hAnsi="宋体" w:cs="宋体"/>
        </w:rPr>
        <w:fldChar w:fldCharType="end"/>
      </w:r>
    </w:p>
    <w:p>
      <w:pPr>
        <w:pStyle w:val="14"/>
        <w:tabs>
          <w:tab w:val="right" w:leader="dot" w:pos="9736"/>
        </w:tabs>
        <w:spacing w:line="500" w:lineRule="exact"/>
        <w:rPr>
          <w:rFonts w:ascii="宋体" w:hAnsi="宋体" w:cs="宋体"/>
        </w:rPr>
      </w:pPr>
      <w:r>
        <w:fldChar w:fldCharType="begin"/>
      </w:r>
      <w:r>
        <w:instrText xml:space="preserve"> HYPERLINK \l "_Toc40968813" </w:instrText>
      </w:r>
      <w:r>
        <w:fldChar w:fldCharType="separate"/>
      </w:r>
      <w:r>
        <w:rPr>
          <w:rStyle w:val="23"/>
          <w:rFonts w:hint="eastAsia" w:ascii="宋体" w:hAnsi="宋体" w:cs="宋体"/>
          <w:sz w:val="21"/>
          <w:szCs w:val="21"/>
        </w:rPr>
        <w:t>附件3：服务业绩表</w:t>
      </w:r>
      <w:r>
        <w:rPr>
          <w:rFonts w:hint="eastAsia" w:ascii="宋体" w:hAnsi="宋体" w:cs="宋体"/>
        </w:rPr>
        <w:tab/>
      </w:r>
      <w:r>
        <w:rPr>
          <w:rFonts w:hint="eastAsia" w:ascii="宋体" w:hAnsi="宋体" w:cs="宋体"/>
        </w:rPr>
        <w:fldChar w:fldCharType="begin"/>
      </w:r>
      <w:r>
        <w:rPr>
          <w:rFonts w:hint="eastAsia" w:ascii="宋体" w:hAnsi="宋体" w:cs="宋体"/>
        </w:rPr>
        <w:instrText xml:space="preserve"> PAGEREF _Toc40968813 \h </w:instrText>
      </w:r>
      <w:r>
        <w:rPr>
          <w:rFonts w:hint="eastAsia" w:ascii="宋体" w:hAnsi="宋体" w:cs="宋体"/>
        </w:rPr>
        <w:fldChar w:fldCharType="separate"/>
      </w:r>
      <w:r>
        <w:rPr>
          <w:rFonts w:hint="eastAsia" w:ascii="宋体" w:hAnsi="宋体" w:cs="宋体"/>
        </w:rPr>
        <w:t>22</w:t>
      </w:r>
      <w:r>
        <w:rPr>
          <w:rFonts w:hint="eastAsia" w:ascii="宋体" w:hAnsi="宋体" w:cs="宋体"/>
        </w:rPr>
        <w:fldChar w:fldCharType="end"/>
      </w:r>
      <w:r>
        <w:rPr>
          <w:rFonts w:hint="eastAsia" w:ascii="宋体" w:hAnsi="宋体" w:cs="宋体"/>
        </w:rPr>
        <w:fldChar w:fldCharType="end"/>
      </w:r>
    </w:p>
    <w:p>
      <w:pPr>
        <w:pStyle w:val="14"/>
        <w:tabs>
          <w:tab w:val="right" w:leader="dot" w:pos="9736"/>
        </w:tabs>
        <w:spacing w:line="500" w:lineRule="exact"/>
        <w:rPr>
          <w:rFonts w:ascii="宋体" w:hAnsi="宋体" w:cs="宋体"/>
        </w:rPr>
      </w:pPr>
      <w:r>
        <w:fldChar w:fldCharType="begin"/>
      </w:r>
      <w:r>
        <w:instrText xml:space="preserve"> HYPERLINK \l "_Toc40968812" </w:instrText>
      </w:r>
      <w:r>
        <w:fldChar w:fldCharType="separate"/>
      </w:r>
      <w:r>
        <w:rPr>
          <w:rStyle w:val="23"/>
          <w:rFonts w:hint="eastAsia" w:ascii="宋体" w:hAnsi="宋体" w:cs="宋体"/>
          <w:sz w:val="21"/>
          <w:szCs w:val="21"/>
        </w:rPr>
        <w:t>附件4：投标报价总表</w:t>
      </w:r>
      <w:r>
        <w:rPr>
          <w:rFonts w:hint="eastAsia" w:ascii="宋体" w:hAnsi="宋体" w:cs="宋体"/>
        </w:rPr>
        <w:tab/>
      </w:r>
      <w:r>
        <w:rPr>
          <w:rFonts w:hint="eastAsia" w:ascii="宋体" w:hAnsi="宋体" w:cs="宋体"/>
        </w:rPr>
        <w:t>2</w:t>
      </w:r>
      <w:r>
        <w:rPr>
          <w:rFonts w:hint="eastAsia" w:ascii="宋体" w:hAnsi="宋体" w:cs="宋体"/>
        </w:rPr>
        <w:fldChar w:fldCharType="end"/>
      </w:r>
      <w:r>
        <w:rPr>
          <w:rFonts w:hint="eastAsia" w:ascii="宋体" w:hAnsi="宋体" w:cs="宋体"/>
        </w:rPr>
        <w:t>3</w:t>
      </w:r>
    </w:p>
    <w:p>
      <w:pPr>
        <w:pStyle w:val="14"/>
        <w:tabs>
          <w:tab w:val="right" w:leader="dot" w:pos="9736"/>
        </w:tabs>
        <w:spacing w:line="500" w:lineRule="exact"/>
        <w:rPr>
          <w:rFonts w:ascii="宋体" w:hAnsi="宋体" w:cs="宋体"/>
        </w:rPr>
      </w:pPr>
      <w:r>
        <w:fldChar w:fldCharType="begin"/>
      </w:r>
      <w:r>
        <w:instrText xml:space="preserve"> HYPERLINK \l "_Toc40968814" </w:instrText>
      </w:r>
      <w:r>
        <w:fldChar w:fldCharType="separate"/>
      </w:r>
      <w:r>
        <w:rPr>
          <w:rStyle w:val="23"/>
          <w:rFonts w:hint="eastAsia" w:ascii="宋体" w:hAnsi="宋体" w:cs="宋体"/>
          <w:sz w:val="21"/>
          <w:szCs w:val="21"/>
        </w:rPr>
        <w:t>附件5：法定代表人资格证明</w:t>
      </w:r>
      <w:r>
        <w:rPr>
          <w:rFonts w:hint="eastAsia" w:ascii="宋体" w:hAnsi="宋体" w:cs="宋体"/>
        </w:rPr>
        <w:tab/>
      </w:r>
      <w:r>
        <w:rPr>
          <w:rFonts w:hint="eastAsia" w:ascii="宋体" w:hAnsi="宋体" w:cs="宋体"/>
        </w:rPr>
        <w:t>2</w:t>
      </w:r>
      <w:r>
        <w:rPr>
          <w:rFonts w:hint="eastAsia" w:ascii="宋体" w:hAnsi="宋体" w:cs="宋体"/>
        </w:rPr>
        <w:fldChar w:fldCharType="end"/>
      </w:r>
      <w:r>
        <w:rPr>
          <w:rFonts w:hint="eastAsia" w:ascii="宋体" w:hAnsi="宋体" w:cs="宋体"/>
        </w:rPr>
        <w:t>4</w:t>
      </w:r>
    </w:p>
    <w:p>
      <w:pPr>
        <w:pStyle w:val="14"/>
        <w:tabs>
          <w:tab w:val="right" w:leader="dot" w:pos="9736"/>
        </w:tabs>
        <w:spacing w:line="500" w:lineRule="exact"/>
        <w:rPr>
          <w:rFonts w:ascii="宋体" w:hAnsi="宋体" w:cs="宋体"/>
        </w:rPr>
      </w:pPr>
      <w:r>
        <w:fldChar w:fldCharType="begin"/>
      </w:r>
      <w:r>
        <w:instrText xml:space="preserve"> HYPERLINK \l "_Toc40968815" </w:instrText>
      </w:r>
      <w:r>
        <w:fldChar w:fldCharType="separate"/>
      </w:r>
      <w:r>
        <w:rPr>
          <w:rStyle w:val="23"/>
          <w:rFonts w:hint="eastAsia" w:ascii="宋体" w:hAnsi="宋体" w:cs="宋体"/>
          <w:sz w:val="21"/>
          <w:szCs w:val="21"/>
        </w:rPr>
        <w:t>附件6：法定代表人授权书</w:t>
      </w:r>
      <w:r>
        <w:rPr>
          <w:rFonts w:hint="eastAsia" w:ascii="宋体" w:hAnsi="宋体" w:cs="宋体"/>
        </w:rPr>
        <w:tab/>
      </w:r>
      <w:r>
        <w:rPr>
          <w:rFonts w:hint="eastAsia" w:ascii="宋体" w:hAnsi="宋体" w:cs="宋体"/>
        </w:rPr>
        <w:t>2</w:t>
      </w:r>
      <w:r>
        <w:rPr>
          <w:rFonts w:hint="eastAsia" w:ascii="宋体" w:hAnsi="宋体" w:cs="宋体"/>
        </w:rPr>
        <w:fldChar w:fldCharType="end"/>
      </w:r>
      <w:r>
        <w:rPr>
          <w:rFonts w:hint="eastAsia" w:ascii="宋体" w:hAnsi="宋体" w:cs="宋体"/>
        </w:rPr>
        <w:t>5</w:t>
      </w:r>
    </w:p>
    <w:p>
      <w:pPr>
        <w:pStyle w:val="14"/>
        <w:tabs>
          <w:tab w:val="right" w:leader="dot" w:pos="9736"/>
        </w:tabs>
        <w:spacing w:line="500" w:lineRule="exact"/>
        <w:rPr>
          <w:rStyle w:val="23"/>
          <w:rFonts w:ascii="宋体" w:hAnsi="宋体" w:cs="宋体"/>
          <w:sz w:val="21"/>
          <w:szCs w:val="21"/>
        </w:rPr>
      </w:pPr>
      <w:r>
        <w:rPr>
          <w:rFonts w:asciiTheme="minorEastAsia" w:hAnsiTheme="minorEastAsia" w:eastAsiaTheme="minorEastAsia"/>
          <w:b/>
          <w:color w:val="000000" w:themeColor="text1"/>
          <w:sz w:val="32"/>
          <w:szCs w:val="32"/>
          <w14:textFill>
            <w14:solidFill>
              <w14:schemeClr w14:val="tx1"/>
            </w14:solidFill>
          </w14:textFill>
        </w:rPr>
        <w:fldChar w:fldCharType="end"/>
      </w:r>
      <w:r>
        <w:rPr>
          <w:rStyle w:val="23"/>
          <w:rFonts w:hint="eastAsia" w:ascii="宋体" w:hAnsi="宋体" w:cs="宋体"/>
          <w:sz w:val="21"/>
          <w:szCs w:val="21"/>
        </w:rPr>
        <w:t>附件7：南通大学采购谈判二次报价单</w:t>
      </w:r>
      <w:r>
        <w:rPr>
          <w:rFonts w:hint="eastAsia" w:ascii="宋体" w:hAnsi="宋体" w:cs="宋体"/>
        </w:rPr>
        <w:tab/>
      </w:r>
      <w:r>
        <w:rPr>
          <w:rFonts w:hint="eastAsia" w:ascii="宋体" w:hAnsi="宋体" w:cs="宋体"/>
        </w:rPr>
        <w:t>26</w:t>
      </w:r>
    </w:p>
    <w:p>
      <w:pPr>
        <w:pStyle w:val="14"/>
        <w:tabs>
          <w:tab w:val="right" w:leader="dot" w:pos="9736"/>
        </w:tabs>
        <w:spacing w:line="500" w:lineRule="exact"/>
        <w:rPr>
          <w:rFonts w:ascii="宋体" w:hAnsi="宋体" w:cs="宋体"/>
        </w:rPr>
      </w:pPr>
    </w:p>
    <w:p>
      <w:pPr>
        <w:pStyle w:val="2"/>
        <w:jc w:val="center"/>
      </w:pPr>
      <w:r>
        <w:rPr>
          <w:color w:val="000000" w:themeColor="text1"/>
          <w14:textFill>
            <w14:solidFill>
              <w14:schemeClr w14:val="tx1"/>
            </w14:solidFill>
          </w14:textFill>
        </w:rPr>
        <w:br w:type="page"/>
      </w:r>
      <w:r>
        <w:rPr>
          <w:rFonts w:hint="eastAsia" w:cs="宋体"/>
        </w:rPr>
        <w:t>第一部分 竞争性磋商采购公告</w:t>
      </w:r>
      <w:bookmarkEnd w:id="0"/>
    </w:p>
    <w:p>
      <w:pPr>
        <w:spacing w:line="500" w:lineRule="exact"/>
        <w:ind w:firstLine="496" w:firstLineChars="200"/>
        <w:rPr>
          <w:rFonts w:ascii="宋体"/>
          <w:color w:val="000000"/>
          <w:spacing w:val="4"/>
          <w:sz w:val="24"/>
          <w:szCs w:val="24"/>
        </w:rPr>
      </w:pPr>
      <w:r>
        <w:rPr>
          <w:rFonts w:hint="eastAsia" w:ascii="宋体" w:hAnsi="宋体" w:cs="宋体"/>
          <w:color w:val="000000"/>
          <w:spacing w:val="4"/>
          <w:sz w:val="24"/>
          <w:szCs w:val="24"/>
        </w:rPr>
        <w:t>南通大学拟采取</w:t>
      </w:r>
      <w:r>
        <w:rPr>
          <w:rFonts w:hint="eastAsia" w:ascii="宋体" w:hAnsi="宋体" w:cs="宋体"/>
          <w:b/>
          <w:bCs/>
          <w:color w:val="000000"/>
          <w:spacing w:val="4"/>
          <w:sz w:val="24"/>
          <w:szCs w:val="24"/>
        </w:rPr>
        <w:t>竞争性磋商</w:t>
      </w:r>
      <w:r>
        <w:rPr>
          <w:rFonts w:hint="eastAsia" w:ascii="宋体" w:hAnsi="宋体" w:cs="宋体"/>
          <w:color w:val="000000"/>
          <w:spacing w:val="4"/>
          <w:sz w:val="24"/>
          <w:szCs w:val="24"/>
        </w:rPr>
        <w:t>方式选择啬园校区及启秀校区提供直饮机相关服务的合作商，现就相关事宜公告如下：</w:t>
      </w:r>
    </w:p>
    <w:p>
      <w:pPr>
        <w:numPr>
          <w:ilvl w:val="0"/>
          <w:numId w:val="1"/>
        </w:numPr>
        <w:spacing w:line="500" w:lineRule="exact"/>
        <w:ind w:firstLine="498" w:firstLineChars="200"/>
        <w:rPr>
          <w:rFonts w:ascii="宋体" w:hAnsi="宋体" w:cs="宋体"/>
          <w:color w:val="000000" w:themeColor="text1"/>
          <w:spacing w:val="4"/>
          <w:sz w:val="24"/>
          <w:szCs w:val="24"/>
          <w14:textFill>
            <w14:solidFill>
              <w14:schemeClr w14:val="tx1"/>
            </w14:solidFill>
          </w14:textFill>
        </w:rPr>
      </w:pPr>
      <w:r>
        <w:rPr>
          <w:rFonts w:hint="eastAsia" w:ascii="宋体" w:hAnsi="宋体" w:cs="宋体"/>
          <w:b/>
          <w:bCs/>
          <w:color w:val="000000"/>
          <w:spacing w:val="4"/>
          <w:sz w:val="24"/>
          <w:szCs w:val="24"/>
        </w:rPr>
        <w:t>项目名称：</w:t>
      </w:r>
      <w:r>
        <w:rPr>
          <w:rFonts w:hint="eastAsia" w:ascii="宋体" w:hAnsi="宋体" w:cs="宋体"/>
          <w:b/>
          <w:color w:val="000000" w:themeColor="text1"/>
          <w:spacing w:val="4"/>
          <w:sz w:val="24"/>
          <w:szCs w:val="24"/>
          <w14:textFill>
            <w14:solidFill>
              <w14:schemeClr w14:val="tx1"/>
            </w14:solidFill>
          </w14:textFill>
        </w:rPr>
        <w:t>标段一：</w:t>
      </w:r>
      <w:r>
        <w:rPr>
          <w:rFonts w:hint="eastAsia" w:ascii="宋体" w:hAnsi="宋体" w:cs="宋体"/>
          <w:b/>
          <w:bCs/>
          <w:color w:val="000000" w:themeColor="text1"/>
          <w:spacing w:val="4"/>
          <w:sz w:val="24"/>
          <w:szCs w:val="24"/>
          <w14:textFill>
            <w14:solidFill>
              <w14:schemeClr w14:val="tx1"/>
            </w14:solidFill>
          </w14:textFill>
        </w:rPr>
        <w:t>啬园校区及启秀校区公寓区直饮机</w:t>
      </w:r>
      <w:r>
        <w:rPr>
          <w:rFonts w:hint="eastAsia" w:ascii="宋体" w:hAnsi="宋体" w:cs="宋体"/>
          <w:color w:val="000000" w:themeColor="text1"/>
          <w:spacing w:val="4"/>
          <w:sz w:val="24"/>
          <w:szCs w:val="24"/>
          <w14:textFill>
            <w14:solidFill>
              <w14:schemeClr w14:val="tx1"/>
            </w14:solidFill>
          </w14:textFill>
        </w:rPr>
        <w:t>相关服务</w:t>
      </w:r>
    </w:p>
    <w:p>
      <w:pPr>
        <w:pStyle w:val="24"/>
        <w:spacing w:line="500" w:lineRule="exact"/>
      </w:pPr>
      <w:r>
        <w:rPr>
          <w:rFonts w:hint="eastAsia"/>
          <w:b/>
          <w:bCs/>
        </w:rPr>
        <w:t xml:space="preserve">                   标段二：啬园校区及启秀校区教学区直饮机</w:t>
      </w:r>
      <w:r>
        <w:rPr>
          <w:rFonts w:hint="eastAsia"/>
        </w:rPr>
        <w:t>相关服务</w:t>
      </w:r>
    </w:p>
    <w:p>
      <w:pPr>
        <w:spacing w:line="500" w:lineRule="exact"/>
        <w:ind w:firstLine="498" w:firstLineChars="200"/>
        <w:rPr>
          <w:rFonts w:hint="default" w:ascii="宋体" w:hAnsi="宋体" w:eastAsia="宋体" w:cs="宋体"/>
          <w:b/>
          <w:bCs/>
          <w:color w:val="000000"/>
          <w:spacing w:val="4"/>
          <w:sz w:val="24"/>
          <w:szCs w:val="24"/>
          <w:lang w:val="en-US" w:eastAsia="zh-CN"/>
        </w:rPr>
      </w:pPr>
      <w:r>
        <w:rPr>
          <w:rFonts w:hint="eastAsia" w:ascii="宋体" w:hAnsi="宋体" w:cs="宋体"/>
          <w:b/>
          <w:bCs/>
          <w:color w:val="000000"/>
          <w:spacing w:val="4"/>
          <w:sz w:val="24"/>
          <w:szCs w:val="24"/>
        </w:rPr>
        <w:t>二、项目编号：TD</w:t>
      </w:r>
      <w:r>
        <w:rPr>
          <w:rFonts w:hint="eastAsia" w:ascii="宋体" w:hAnsi="宋体" w:cs="宋体"/>
          <w:b/>
          <w:bCs/>
          <w:color w:val="000000"/>
          <w:spacing w:val="4"/>
          <w:sz w:val="24"/>
          <w:szCs w:val="24"/>
          <w:lang w:val="en-US" w:eastAsia="zh-CN"/>
        </w:rPr>
        <w:t>FW</w:t>
      </w:r>
      <w:r>
        <w:rPr>
          <w:rFonts w:hint="eastAsia" w:ascii="宋体" w:hAnsi="宋体" w:cs="宋体"/>
          <w:b/>
          <w:bCs/>
          <w:color w:val="000000"/>
          <w:spacing w:val="4"/>
          <w:sz w:val="24"/>
          <w:szCs w:val="24"/>
        </w:rPr>
        <w:t>(</w:t>
      </w:r>
      <w:r>
        <w:rPr>
          <w:rFonts w:hint="eastAsia" w:ascii="宋体" w:hAnsi="宋体" w:cs="宋体"/>
          <w:b/>
          <w:bCs/>
          <w:color w:val="000000"/>
          <w:spacing w:val="4"/>
          <w:sz w:val="24"/>
          <w:szCs w:val="24"/>
          <w:lang w:val="en-US" w:eastAsia="zh-CN"/>
        </w:rPr>
        <w:t>JC</w:t>
      </w:r>
      <w:r>
        <w:rPr>
          <w:rFonts w:hint="eastAsia" w:ascii="宋体" w:hAnsi="宋体" w:cs="宋体"/>
          <w:b/>
          <w:bCs/>
          <w:color w:val="000000"/>
          <w:spacing w:val="4"/>
          <w:sz w:val="24"/>
          <w:szCs w:val="24"/>
        </w:rPr>
        <w:t>)2020-</w:t>
      </w:r>
      <w:r>
        <w:rPr>
          <w:rFonts w:hint="eastAsia" w:ascii="宋体" w:hAnsi="宋体" w:cs="宋体"/>
          <w:b/>
          <w:bCs/>
          <w:color w:val="000000"/>
          <w:spacing w:val="4"/>
          <w:sz w:val="24"/>
          <w:szCs w:val="24"/>
          <w:lang w:val="en-US" w:eastAsia="zh-CN"/>
        </w:rPr>
        <w:t>168</w:t>
      </w:r>
    </w:p>
    <w:p>
      <w:pPr>
        <w:spacing w:line="500" w:lineRule="exact"/>
        <w:ind w:firstLine="498" w:firstLineChars="200"/>
        <w:rPr>
          <w:rFonts w:ascii="宋体"/>
          <w:color w:val="000000"/>
          <w:spacing w:val="4"/>
          <w:sz w:val="24"/>
          <w:szCs w:val="24"/>
        </w:rPr>
      </w:pPr>
      <w:r>
        <w:rPr>
          <w:rFonts w:hint="eastAsia" w:ascii="宋体" w:hAnsi="宋体" w:cs="宋体"/>
          <w:b/>
          <w:bCs/>
          <w:color w:val="000000"/>
          <w:spacing w:val="4"/>
          <w:sz w:val="24"/>
          <w:szCs w:val="24"/>
        </w:rPr>
        <w:t>三、货物品名、数量及技术规格：</w:t>
      </w:r>
      <w:r>
        <w:rPr>
          <w:rFonts w:hint="eastAsia" w:ascii="宋体" w:hAnsi="宋体" w:cs="宋体"/>
          <w:color w:val="000000"/>
          <w:spacing w:val="4"/>
          <w:sz w:val="24"/>
          <w:szCs w:val="24"/>
        </w:rPr>
        <w:t>详见第三部分“采购货物要求及相关说明”。</w:t>
      </w:r>
    </w:p>
    <w:p>
      <w:pPr>
        <w:spacing w:line="500" w:lineRule="exact"/>
        <w:ind w:firstLine="498" w:firstLineChars="200"/>
        <w:rPr>
          <w:b/>
          <w:bCs/>
          <w:color w:val="000000"/>
          <w:sz w:val="24"/>
          <w:szCs w:val="24"/>
        </w:rPr>
      </w:pPr>
      <w:r>
        <w:rPr>
          <w:rFonts w:hint="eastAsia" w:ascii="宋体" w:hAnsi="宋体" w:cs="宋体"/>
          <w:b/>
          <w:bCs/>
          <w:color w:val="000000"/>
          <w:spacing w:val="4"/>
          <w:sz w:val="24"/>
          <w:szCs w:val="24"/>
        </w:rPr>
        <w:t>四、合格的投标人:</w:t>
      </w:r>
      <w:r>
        <w:rPr>
          <w:rFonts w:hint="eastAsia" w:ascii="宋体" w:hAnsi="宋体" w:cs="宋体"/>
          <w:color w:val="000000"/>
          <w:kern w:val="0"/>
          <w:sz w:val="24"/>
          <w:szCs w:val="24"/>
        </w:rPr>
        <w:t>参加本次招标活动的投标人除应当符合《中华人民共和国政府采购法》第二十二条的规定外，还必须具备以下条件：</w:t>
      </w:r>
    </w:p>
    <w:p>
      <w:pPr>
        <w:spacing w:line="500" w:lineRule="exact"/>
        <w:ind w:firstLine="480" w:firstLineChars="200"/>
        <w:rPr>
          <w:rFonts w:cs="宋体"/>
          <w:color w:val="000000"/>
          <w:sz w:val="24"/>
          <w:szCs w:val="24"/>
        </w:rPr>
      </w:pPr>
      <w:r>
        <w:rPr>
          <w:color w:val="000000"/>
          <w:sz w:val="24"/>
          <w:szCs w:val="24"/>
        </w:rPr>
        <w:t>1</w:t>
      </w:r>
      <w:r>
        <w:rPr>
          <w:rFonts w:hint="eastAsia" w:cs="宋体"/>
          <w:color w:val="000000"/>
          <w:sz w:val="24"/>
          <w:szCs w:val="24"/>
        </w:rPr>
        <w:t>、</w:t>
      </w:r>
      <w:r>
        <w:rPr>
          <w:rFonts w:hint="eastAsia" w:ascii="宋体" w:hAnsi="宋体" w:cs="宋体"/>
          <w:color w:val="000000"/>
          <w:sz w:val="24"/>
          <w:szCs w:val="24"/>
        </w:rPr>
        <w:t>经国家工商行政管理机关注册的</w:t>
      </w:r>
      <w:r>
        <w:rPr>
          <w:rFonts w:hint="eastAsia" w:cs="宋体"/>
          <w:color w:val="000000"/>
          <w:sz w:val="24"/>
          <w:szCs w:val="24"/>
        </w:rPr>
        <w:t>企业法人；</w:t>
      </w:r>
    </w:p>
    <w:p>
      <w:pPr>
        <w:pStyle w:val="24"/>
        <w:spacing w:line="500" w:lineRule="exact"/>
        <w:ind w:firstLine="480" w:firstLineChars="200"/>
        <w:rPr>
          <w:rFonts w:ascii="Times New Roman" w:hAnsi="Times New Roman" w:cs="Times New Roman"/>
        </w:rPr>
      </w:pPr>
      <w:r>
        <w:rPr>
          <w:rFonts w:hint="eastAsia" w:ascii="Times New Roman" w:hAnsi="Times New Roman" w:cs="Times New Roman"/>
        </w:rPr>
        <w:t>2、</w:t>
      </w:r>
      <w:r>
        <w:rPr>
          <w:rFonts w:hint="eastAsia" w:cs="宋体"/>
          <w:color w:val="000000" w:themeColor="text1"/>
          <w14:textFill>
            <w14:solidFill>
              <w14:schemeClr w14:val="tx1"/>
            </w14:solidFill>
          </w14:textFill>
        </w:rPr>
        <w:t>采购货物的专业制造厂（商）、销售商或服务运营商；</w:t>
      </w:r>
    </w:p>
    <w:p>
      <w:pPr>
        <w:spacing w:line="500" w:lineRule="exact"/>
        <w:ind w:firstLine="480" w:firstLineChars="200"/>
        <w:rPr>
          <w:color w:val="000000"/>
          <w:sz w:val="24"/>
          <w:szCs w:val="24"/>
        </w:rPr>
      </w:pPr>
      <w:r>
        <w:rPr>
          <w:rFonts w:hint="eastAsia"/>
          <w:color w:val="000000"/>
          <w:sz w:val="24"/>
          <w:szCs w:val="24"/>
        </w:rPr>
        <w:t>3、</w:t>
      </w:r>
      <w:r>
        <w:rPr>
          <w:rFonts w:hint="eastAsia" w:cs="宋体"/>
          <w:color w:val="000000"/>
          <w:sz w:val="24"/>
          <w:szCs w:val="24"/>
        </w:rPr>
        <w:t>有本次采购货物的供货、安装、售后服务等的相应经验和能力；</w:t>
      </w:r>
    </w:p>
    <w:p>
      <w:pPr>
        <w:spacing w:line="500" w:lineRule="exact"/>
        <w:ind w:firstLine="480" w:firstLineChars="200"/>
        <w:rPr>
          <w:rFonts w:cs="宋体"/>
          <w:color w:val="000000"/>
          <w:sz w:val="24"/>
          <w:szCs w:val="24"/>
        </w:rPr>
      </w:pPr>
      <w:r>
        <w:rPr>
          <w:rFonts w:hint="eastAsia"/>
          <w:color w:val="000000"/>
          <w:sz w:val="24"/>
          <w:szCs w:val="24"/>
        </w:rPr>
        <w:t>4、</w:t>
      </w:r>
      <w:r>
        <w:rPr>
          <w:rFonts w:hint="eastAsia" w:cs="宋体"/>
          <w:color w:val="000000"/>
          <w:sz w:val="24"/>
          <w:szCs w:val="24"/>
        </w:rPr>
        <w:t>有良好的商业信誉，近三年运营状况良好且未处于停业或破产状态，资产未被重组、接管和冻结，没有骗取中标、严重违约、恶意举报（含举报不实）行为，不存在尚未了结的重大诉讼案件，不存在招标投标活动中受到违规处罚且处于该地区或该行业限制投标期间的记录等情形；</w:t>
      </w:r>
    </w:p>
    <w:p>
      <w:pPr>
        <w:pStyle w:val="24"/>
        <w:spacing w:line="500" w:lineRule="exact"/>
        <w:ind w:firstLine="480" w:firstLineChars="200"/>
      </w:pPr>
      <w:r>
        <w:rPr>
          <w:rFonts w:hint="eastAsia"/>
        </w:rPr>
        <w:t>5、投标人不得存在下列情况：</w:t>
      </w:r>
    </w:p>
    <w:p>
      <w:pPr>
        <w:pStyle w:val="24"/>
        <w:spacing w:line="500" w:lineRule="exact"/>
        <w:ind w:firstLine="480" w:firstLineChars="200"/>
      </w:pPr>
      <w:r>
        <w:rPr>
          <w:rFonts w:hint="eastAsia"/>
        </w:rPr>
        <w:t>法定代表人为同一人的两个及两个以上法人，母公司、全资子公司及其控股公司不得在本项目招标中同时参加。</w:t>
      </w:r>
    </w:p>
    <w:p>
      <w:pPr>
        <w:spacing w:line="500" w:lineRule="exact"/>
        <w:ind w:firstLine="498" w:firstLineChars="200"/>
        <w:rPr>
          <w:rFonts w:ascii="宋体" w:hAnsi="宋体" w:cs="宋体"/>
          <w:color w:val="000000"/>
          <w:spacing w:val="2"/>
          <w:kern w:val="0"/>
          <w:sz w:val="24"/>
          <w:szCs w:val="24"/>
        </w:rPr>
      </w:pPr>
      <w:r>
        <w:rPr>
          <w:rFonts w:hint="eastAsia" w:ascii="宋体" w:hAnsi="宋体" w:cs="宋体"/>
          <w:b/>
          <w:bCs/>
          <w:color w:val="000000"/>
          <w:spacing w:val="4"/>
          <w:sz w:val="24"/>
          <w:szCs w:val="24"/>
        </w:rPr>
        <w:t>五、投标人资格审查方式：</w:t>
      </w:r>
      <w:r>
        <w:rPr>
          <w:rFonts w:hint="eastAsia" w:ascii="宋体" w:hAnsi="宋体" w:cs="宋体"/>
          <w:color w:val="000000"/>
          <w:spacing w:val="2"/>
          <w:kern w:val="0"/>
          <w:sz w:val="24"/>
          <w:szCs w:val="24"/>
        </w:rPr>
        <w:t>资格后审。</w:t>
      </w:r>
    </w:p>
    <w:p>
      <w:pPr>
        <w:spacing w:line="500" w:lineRule="exact"/>
        <w:ind w:firstLine="498" w:firstLineChars="200"/>
        <w:rPr>
          <w:color w:val="000000" w:themeColor="text1"/>
          <w:sz w:val="24"/>
          <w14:textFill>
            <w14:solidFill>
              <w14:schemeClr w14:val="tx1"/>
            </w14:solidFill>
          </w14:textFill>
        </w:rPr>
      </w:pPr>
      <w:r>
        <w:rPr>
          <w:rFonts w:hint="eastAsia" w:ascii="宋体" w:hAnsi="宋体"/>
          <w:b/>
          <w:color w:val="000000" w:themeColor="text1"/>
          <w:spacing w:val="4"/>
          <w:sz w:val="24"/>
          <w14:textFill>
            <w14:solidFill>
              <w14:schemeClr w14:val="tx1"/>
            </w14:solidFill>
          </w14:textFill>
        </w:rPr>
        <w:t>六、竞争性磋商文件获取：</w:t>
      </w:r>
      <w:r>
        <w:rPr>
          <w:rFonts w:hint="eastAsia"/>
          <w:color w:val="000000" w:themeColor="text1"/>
          <w:sz w:val="24"/>
          <w14:textFill>
            <w14:solidFill>
              <w14:schemeClr w14:val="tx1"/>
            </w14:solidFill>
          </w14:textFill>
        </w:rPr>
        <w:t>投标人自行登录南通大学招投标管理办公室主页</w:t>
      </w:r>
      <w:r>
        <w:fldChar w:fldCharType="begin"/>
      </w:r>
      <w:r>
        <w:instrText xml:space="preserve"> HYPERLINK "http://ztb.ntu.edu.cn/" </w:instrText>
      </w:r>
      <w:r>
        <w:fldChar w:fldCharType="separate"/>
      </w:r>
      <w:r>
        <w:rPr>
          <w:rStyle w:val="23"/>
          <w:rFonts w:hint="eastAsia"/>
          <w:color w:val="000000" w:themeColor="text1"/>
          <w:sz w:val="24"/>
          <w14:textFill>
            <w14:solidFill>
              <w14:schemeClr w14:val="tx1"/>
            </w14:solidFill>
          </w14:textFill>
        </w:rPr>
        <w:t>ztb</w:t>
      </w:r>
      <w:r>
        <w:rPr>
          <w:rStyle w:val="23"/>
          <w:color w:val="000000" w:themeColor="text1"/>
          <w:sz w:val="24"/>
          <w14:textFill>
            <w14:solidFill>
              <w14:schemeClr w14:val="tx1"/>
            </w14:solidFill>
          </w14:textFill>
        </w:rPr>
        <w:t>.ntu.edu.cn</w:t>
      </w:r>
      <w:r>
        <w:rPr>
          <w:rStyle w:val="23"/>
          <w:color w:val="000000" w:themeColor="text1"/>
          <w:sz w:val="24"/>
          <w14:textFill>
            <w14:solidFill>
              <w14:schemeClr w14:val="tx1"/>
            </w14:solidFill>
          </w14:textFill>
        </w:rPr>
        <w:fldChar w:fldCharType="end"/>
      </w:r>
      <w:r>
        <w:rPr>
          <w:rFonts w:hint="eastAsia"/>
          <w:color w:val="000000" w:themeColor="text1"/>
          <w:sz w:val="24"/>
          <w14:textFill>
            <w14:solidFill>
              <w14:schemeClr w14:val="tx1"/>
            </w14:solidFill>
          </w14:textFill>
        </w:rPr>
        <w:t>下载。</w:t>
      </w:r>
    </w:p>
    <w:p>
      <w:pPr>
        <w:spacing w:line="500" w:lineRule="exact"/>
        <w:ind w:firstLine="482" w:firstLineChars="200"/>
        <w:rPr>
          <w:sz w:val="24"/>
        </w:rPr>
      </w:pPr>
      <w:r>
        <w:rPr>
          <w:rFonts w:hint="eastAsia"/>
          <w:b/>
          <w:color w:val="000000" w:themeColor="text1"/>
          <w:sz w:val="24"/>
          <w14:textFill>
            <w14:solidFill>
              <w14:schemeClr w14:val="tx1"/>
            </w14:solidFill>
          </w14:textFill>
        </w:rPr>
        <w:t>七、竞争性磋商文件售价：</w:t>
      </w:r>
      <w:r>
        <w:rPr>
          <w:rFonts w:hint="eastAsia"/>
          <w:color w:val="000000" w:themeColor="text1"/>
          <w:sz w:val="24"/>
          <w14:textFill>
            <w14:solidFill>
              <w14:schemeClr w14:val="tx1"/>
            </w14:solidFill>
          </w14:textFill>
        </w:rPr>
        <w:t>人民币</w:t>
      </w:r>
      <w:r>
        <w:rPr>
          <w:color w:val="000000" w:themeColor="text1"/>
          <w:sz w:val="24"/>
          <w14:textFill>
            <w14:solidFill>
              <w14:schemeClr w14:val="tx1"/>
            </w14:solidFill>
          </w14:textFill>
        </w:rPr>
        <w:t>300</w:t>
      </w:r>
      <w:r>
        <w:rPr>
          <w:rFonts w:hint="eastAsia"/>
          <w:color w:val="000000" w:themeColor="text1"/>
          <w:sz w:val="24"/>
          <w14:textFill>
            <w14:solidFill>
              <w14:schemeClr w14:val="tx1"/>
            </w14:solidFill>
          </w14:textFill>
        </w:rPr>
        <w:t>元</w:t>
      </w:r>
      <w:r>
        <w:rPr>
          <w:rFonts w:hint="eastAsia"/>
          <w:sz w:val="24"/>
        </w:rPr>
        <w:t>（供应商须登录南通大学招标采购管理系统（http</w:t>
      </w:r>
      <w:r>
        <w:rPr>
          <w:sz w:val="24"/>
        </w:rPr>
        <w:t>s</w:t>
      </w:r>
      <w:r>
        <w:rPr>
          <w:rFonts w:hint="eastAsia"/>
          <w:sz w:val="24"/>
        </w:rPr>
        <w:t>://ztb.ntu.edu.cn）进行注册</w:t>
      </w:r>
      <w:r>
        <w:rPr>
          <w:sz w:val="24"/>
        </w:rPr>
        <w:t>、</w:t>
      </w:r>
      <w:r>
        <w:rPr>
          <w:rFonts w:hint="eastAsia"/>
          <w:sz w:val="24"/>
        </w:rPr>
        <w:t>在线缴费并下载回执单，缴纳成功后不退还）。</w:t>
      </w:r>
    </w:p>
    <w:p>
      <w:pPr>
        <w:spacing w:line="500" w:lineRule="exact"/>
        <w:ind w:firstLine="482" w:firstLineChars="200"/>
      </w:pPr>
      <w:r>
        <w:rPr>
          <w:rFonts w:hint="eastAsia" w:ascii="宋体" w:hAnsi="宋体" w:cs="宋体"/>
          <w:b/>
          <w:sz w:val="24"/>
          <w:szCs w:val="24"/>
        </w:rPr>
        <w:t>八、投标保证金：</w:t>
      </w:r>
      <w:r>
        <w:rPr>
          <w:rFonts w:hint="eastAsia" w:ascii="宋体" w:hAnsi="宋体" w:cs="宋体"/>
          <w:bCs/>
          <w:sz w:val="24"/>
          <w:szCs w:val="24"/>
        </w:rPr>
        <w:t>人民币20000元，投标保证金应当以支票、汇票或本票形式提交。未中标单位交纳的投标保证金将等额无息退还；中标单位则转为履约保证金，合同履行完成后，将等额无息退还。</w:t>
      </w:r>
    </w:p>
    <w:p>
      <w:pPr>
        <w:spacing w:line="360" w:lineRule="auto"/>
        <w:ind w:firstLine="488" w:firstLineChars="200"/>
        <w:rPr>
          <w:rFonts w:ascii="宋体" w:cs="宋体"/>
          <w:color w:val="000000" w:themeColor="text1"/>
          <w:spacing w:val="2"/>
          <w:kern w:val="0"/>
          <w:sz w:val="24"/>
          <w14:textFill>
            <w14:solidFill>
              <w14:schemeClr w14:val="tx1"/>
            </w14:solidFill>
          </w14:textFill>
        </w:rPr>
      </w:pPr>
      <w:r>
        <w:rPr>
          <w:rFonts w:hint="eastAsia" w:ascii="宋体" w:hAnsi="宋体" w:cs="宋体"/>
          <w:color w:val="000000" w:themeColor="text1"/>
          <w:spacing w:val="2"/>
          <w:kern w:val="0"/>
          <w:sz w:val="24"/>
          <w14:textFill>
            <w14:solidFill>
              <w14:schemeClr w14:val="tx1"/>
            </w14:solidFill>
          </w14:textFill>
        </w:rPr>
        <w:t>南通大学账户信息：</w:t>
      </w:r>
    </w:p>
    <w:p>
      <w:pPr>
        <w:spacing w:line="360" w:lineRule="auto"/>
        <w:ind w:firstLine="488" w:firstLineChars="200"/>
        <w:rPr>
          <w:rFonts w:ascii="宋体" w:cs="宋体"/>
          <w:color w:val="000000" w:themeColor="text1"/>
          <w:spacing w:val="2"/>
          <w:kern w:val="0"/>
          <w:sz w:val="24"/>
          <w14:textFill>
            <w14:solidFill>
              <w14:schemeClr w14:val="tx1"/>
            </w14:solidFill>
          </w14:textFill>
        </w:rPr>
      </w:pPr>
      <w:r>
        <w:rPr>
          <w:rFonts w:hint="eastAsia" w:ascii="宋体" w:hAnsi="宋体" w:cs="宋体"/>
          <w:color w:val="000000" w:themeColor="text1"/>
          <w:spacing w:val="2"/>
          <w:kern w:val="0"/>
          <w:sz w:val="24"/>
          <w14:textFill>
            <w14:solidFill>
              <w14:schemeClr w14:val="tx1"/>
            </w14:solidFill>
          </w14:textFill>
        </w:rPr>
        <w:t>1、单位名称：南通大学</w:t>
      </w:r>
    </w:p>
    <w:p>
      <w:pPr>
        <w:spacing w:line="360" w:lineRule="auto"/>
        <w:ind w:firstLine="488" w:firstLineChars="200"/>
        <w:rPr>
          <w:rFonts w:ascii="宋体" w:cs="宋体"/>
          <w:color w:val="000000" w:themeColor="text1"/>
          <w:spacing w:val="2"/>
          <w:kern w:val="0"/>
          <w:sz w:val="24"/>
          <w14:textFill>
            <w14:solidFill>
              <w14:schemeClr w14:val="tx1"/>
            </w14:solidFill>
          </w14:textFill>
        </w:rPr>
      </w:pPr>
      <w:r>
        <w:rPr>
          <w:rFonts w:hint="eastAsia" w:ascii="宋体" w:hAnsi="宋体" w:cs="宋体"/>
          <w:color w:val="000000" w:themeColor="text1"/>
          <w:spacing w:val="2"/>
          <w:kern w:val="0"/>
          <w:sz w:val="24"/>
          <w14:textFill>
            <w14:solidFill>
              <w14:schemeClr w14:val="tx1"/>
            </w14:solidFill>
          </w14:textFill>
        </w:rPr>
        <w:t>2、税务登记号码：12320000466012919A</w:t>
      </w:r>
    </w:p>
    <w:p>
      <w:pPr>
        <w:spacing w:line="360" w:lineRule="auto"/>
        <w:ind w:firstLine="488" w:firstLineChars="200"/>
        <w:rPr>
          <w:rFonts w:ascii="宋体" w:cs="宋体"/>
          <w:color w:val="000000" w:themeColor="text1"/>
          <w:spacing w:val="2"/>
          <w:kern w:val="0"/>
          <w:sz w:val="24"/>
          <w14:textFill>
            <w14:solidFill>
              <w14:schemeClr w14:val="tx1"/>
            </w14:solidFill>
          </w14:textFill>
        </w:rPr>
      </w:pPr>
      <w:r>
        <w:rPr>
          <w:rFonts w:hint="eastAsia" w:ascii="宋体" w:hAnsi="宋体" w:cs="宋体"/>
          <w:color w:val="000000" w:themeColor="text1"/>
          <w:spacing w:val="2"/>
          <w:kern w:val="0"/>
          <w:sz w:val="24"/>
          <w14:textFill>
            <w14:solidFill>
              <w14:schemeClr w14:val="tx1"/>
            </w14:solidFill>
          </w14:textFill>
        </w:rPr>
        <w:t>3、统一社会信用代码：12320000466012919A</w:t>
      </w:r>
    </w:p>
    <w:p>
      <w:pPr>
        <w:spacing w:line="360" w:lineRule="auto"/>
        <w:ind w:firstLine="488" w:firstLineChars="200"/>
        <w:rPr>
          <w:rFonts w:ascii="宋体" w:cs="宋体"/>
          <w:color w:val="000000" w:themeColor="text1"/>
          <w:spacing w:val="2"/>
          <w:kern w:val="0"/>
          <w:sz w:val="24"/>
          <w14:textFill>
            <w14:solidFill>
              <w14:schemeClr w14:val="tx1"/>
            </w14:solidFill>
          </w14:textFill>
        </w:rPr>
      </w:pPr>
      <w:r>
        <w:rPr>
          <w:rFonts w:hint="eastAsia" w:ascii="宋体" w:hAnsi="宋体" w:cs="宋体"/>
          <w:color w:val="000000" w:themeColor="text1"/>
          <w:spacing w:val="2"/>
          <w:kern w:val="0"/>
          <w:sz w:val="24"/>
          <w14:textFill>
            <w14:solidFill>
              <w14:schemeClr w14:val="tx1"/>
            </w14:solidFill>
          </w14:textFill>
        </w:rPr>
        <w:t>4、开户银行：中国建设银行股份有限公司南通分行营业部</w:t>
      </w:r>
    </w:p>
    <w:p>
      <w:pPr>
        <w:spacing w:line="360" w:lineRule="auto"/>
        <w:ind w:firstLine="488" w:firstLineChars="200"/>
        <w:rPr>
          <w:rFonts w:ascii="宋体" w:cs="宋体"/>
          <w:color w:val="000000" w:themeColor="text1"/>
          <w:spacing w:val="2"/>
          <w:kern w:val="0"/>
          <w:sz w:val="24"/>
          <w14:textFill>
            <w14:solidFill>
              <w14:schemeClr w14:val="tx1"/>
            </w14:solidFill>
          </w14:textFill>
        </w:rPr>
      </w:pPr>
      <w:r>
        <w:rPr>
          <w:rFonts w:hint="eastAsia" w:ascii="宋体" w:hAnsi="宋体" w:cs="宋体"/>
          <w:color w:val="000000" w:themeColor="text1"/>
          <w:spacing w:val="2"/>
          <w:kern w:val="0"/>
          <w:sz w:val="24"/>
          <w14:textFill>
            <w14:solidFill>
              <w14:schemeClr w14:val="tx1"/>
            </w14:solidFill>
          </w14:textFill>
        </w:rPr>
        <w:t>5、行号：105306000071</w:t>
      </w:r>
    </w:p>
    <w:p>
      <w:pPr>
        <w:spacing w:line="440" w:lineRule="exact"/>
        <w:ind w:firstLine="488" w:firstLineChars="200"/>
        <w:rPr>
          <w:rFonts w:ascii="宋体" w:cs="宋体"/>
          <w:color w:val="000000" w:themeColor="text1"/>
          <w:spacing w:val="2"/>
          <w:kern w:val="0"/>
          <w:sz w:val="24"/>
          <w14:textFill>
            <w14:solidFill>
              <w14:schemeClr w14:val="tx1"/>
            </w14:solidFill>
          </w14:textFill>
        </w:rPr>
      </w:pPr>
      <w:r>
        <w:rPr>
          <w:rFonts w:hint="eastAsia" w:ascii="宋体" w:hAnsi="宋体" w:cs="宋体"/>
          <w:color w:val="000000" w:themeColor="text1"/>
          <w:spacing w:val="2"/>
          <w:kern w:val="0"/>
          <w:sz w:val="24"/>
          <w14:textFill>
            <w14:solidFill>
              <w14:schemeClr w14:val="tx1"/>
            </w14:solidFill>
          </w14:textFill>
        </w:rPr>
        <w:t>6、账号：32001648636059123123</w:t>
      </w:r>
    </w:p>
    <w:p>
      <w:pPr>
        <w:spacing w:line="440" w:lineRule="exact"/>
        <w:ind w:firstLine="488" w:firstLineChars="200"/>
        <w:rPr>
          <w:color w:val="000000" w:themeColor="text1"/>
          <w:sz w:val="24"/>
          <w14:textFill>
            <w14:solidFill>
              <w14:schemeClr w14:val="tx1"/>
            </w14:solidFill>
          </w14:textFill>
        </w:rPr>
      </w:pPr>
      <w:r>
        <w:rPr>
          <w:rFonts w:hint="eastAsia" w:ascii="宋体" w:hAnsi="宋体" w:cs="宋体"/>
          <w:color w:val="000000" w:themeColor="text1"/>
          <w:spacing w:val="2"/>
          <w:kern w:val="0"/>
          <w:sz w:val="24"/>
          <w14:textFill>
            <w14:solidFill>
              <w14:schemeClr w14:val="tx1"/>
            </w14:solidFill>
          </w14:textFill>
        </w:rPr>
        <w:t>7、地址：南通市啬园路9号</w:t>
      </w:r>
    </w:p>
    <w:p>
      <w:pPr>
        <w:spacing w:line="440" w:lineRule="exact"/>
        <w:ind w:firstLine="482" w:firstLineChars="200"/>
        <w:rPr>
          <w:rFonts w:ascii="宋体" w:hAnsi="宋体" w:cs="宋体"/>
          <w:sz w:val="24"/>
          <w:szCs w:val="24"/>
        </w:rPr>
      </w:pPr>
      <w:r>
        <w:rPr>
          <w:rFonts w:hint="eastAsia" w:ascii="宋体" w:hAnsi="宋体" w:cs="宋体"/>
          <w:b/>
          <w:bCs/>
          <w:sz w:val="24"/>
          <w:szCs w:val="24"/>
        </w:rPr>
        <w:t>九、投标报名：</w:t>
      </w:r>
      <w:bookmarkStart w:id="1" w:name="_Toc15042565"/>
      <w:r>
        <w:rPr>
          <w:rFonts w:hint="eastAsia" w:asciiTheme="minorEastAsia" w:hAnsiTheme="minorEastAsia" w:eastAsiaTheme="minorEastAsia"/>
          <w:spacing w:val="2"/>
          <w:kern w:val="0"/>
          <w:sz w:val="24"/>
        </w:rPr>
        <w:t>潜在供应商如确定参加投标，请务必在</w:t>
      </w:r>
      <w:r>
        <w:rPr>
          <w:rFonts w:hint="eastAsia"/>
          <w:sz w:val="24"/>
        </w:rPr>
        <w:t>南通大学招标采购管理系统规定时间内</w:t>
      </w:r>
      <w:r>
        <w:rPr>
          <w:rFonts w:hint="eastAsia" w:asciiTheme="minorEastAsia" w:hAnsiTheme="minorEastAsia" w:eastAsiaTheme="minorEastAsia"/>
          <w:spacing w:val="2"/>
          <w:kern w:val="0"/>
          <w:sz w:val="24"/>
        </w:rPr>
        <w:t>注册并完成报名。如未按上述要求操作，将自行承担所产生的风险。</w:t>
      </w:r>
    </w:p>
    <w:p>
      <w:pPr>
        <w:pStyle w:val="16"/>
        <w:shd w:val="clear" w:color="auto" w:fill="FFFFFF"/>
        <w:spacing w:line="500" w:lineRule="exact"/>
        <w:ind w:firstLine="480"/>
        <w:jc w:val="both"/>
        <w:rPr>
          <w:rFonts w:ascii="宋体" w:hAnsi="宋体" w:cs="宋体"/>
          <w:b/>
          <w:color w:val="000000" w:themeColor="text1"/>
          <w:spacing w:val="2"/>
          <w:sz w:val="24"/>
          <w:szCs w:val="24"/>
          <w14:textFill>
            <w14:solidFill>
              <w14:schemeClr w14:val="tx1"/>
            </w14:solidFill>
          </w14:textFill>
        </w:rPr>
      </w:pPr>
      <w:r>
        <w:rPr>
          <w:rFonts w:hint="eastAsia" w:ascii="宋体" w:hAnsi="宋体" w:cs="宋体"/>
          <w:b/>
          <w:color w:val="000000" w:themeColor="text1"/>
          <w:spacing w:val="2"/>
          <w:sz w:val="24"/>
          <w:szCs w:val="24"/>
          <w14:textFill>
            <w14:solidFill>
              <w14:schemeClr w14:val="tx1"/>
            </w14:solidFill>
          </w14:textFill>
        </w:rPr>
        <w:t>十、投标文件采用现场递交方式。</w:t>
      </w:r>
    </w:p>
    <w:p>
      <w:pPr>
        <w:pStyle w:val="16"/>
        <w:shd w:val="clear" w:color="auto" w:fill="FFFFFF"/>
        <w:spacing w:line="500" w:lineRule="exact"/>
        <w:ind w:firstLine="480"/>
        <w:jc w:val="both"/>
        <w:rPr>
          <w:rFonts w:ascii="宋体" w:hAnsi="宋体" w:cs="宋体"/>
          <w:bCs/>
          <w:color w:val="000000" w:themeColor="text1"/>
          <w:spacing w:val="2"/>
          <w:sz w:val="24"/>
          <w:szCs w:val="24"/>
          <w14:textFill>
            <w14:solidFill>
              <w14:schemeClr w14:val="tx1"/>
            </w14:solidFill>
          </w14:textFill>
        </w:rPr>
      </w:pPr>
      <w:r>
        <w:rPr>
          <w:rFonts w:hint="eastAsia" w:ascii="宋体" w:hAnsi="宋体" w:cs="宋体"/>
          <w:b/>
          <w:color w:val="000000" w:themeColor="text1"/>
          <w:spacing w:val="2"/>
          <w:sz w:val="24"/>
          <w:szCs w:val="24"/>
          <w14:textFill>
            <w14:solidFill>
              <w14:schemeClr w14:val="tx1"/>
            </w14:solidFill>
          </w14:textFill>
        </w:rPr>
        <w:t>（1）投标文件接收开始时间</w:t>
      </w:r>
      <w:r>
        <w:rPr>
          <w:rFonts w:hint="eastAsia" w:ascii="宋体" w:hAnsi="宋体" w:cs="宋体"/>
          <w:bCs/>
          <w:color w:val="000000" w:themeColor="text1"/>
          <w:spacing w:val="2"/>
          <w:sz w:val="24"/>
          <w:szCs w:val="24"/>
          <w14:textFill>
            <w14:solidFill>
              <w14:schemeClr w14:val="tx1"/>
            </w14:solidFill>
          </w14:textFill>
        </w:rPr>
        <w:t>：2020年</w:t>
      </w:r>
      <w:r>
        <w:rPr>
          <w:rFonts w:hint="eastAsia" w:cs="宋体"/>
          <w:bCs/>
          <w:color w:val="000000" w:themeColor="text1"/>
          <w:spacing w:val="2"/>
          <w:sz w:val="24"/>
          <w:szCs w:val="24"/>
          <w14:textFill>
            <w14:solidFill>
              <w14:schemeClr w14:val="tx1"/>
            </w14:solidFill>
          </w14:textFill>
        </w:rPr>
        <w:t>8</w:t>
      </w:r>
      <w:r>
        <w:rPr>
          <w:rFonts w:hint="eastAsia" w:ascii="宋体" w:hAnsi="宋体" w:cs="宋体"/>
          <w:bCs/>
          <w:color w:val="000000" w:themeColor="text1"/>
          <w:spacing w:val="2"/>
          <w:sz w:val="24"/>
          <w:szCs w:val="24"/>
          <w14:textFill>
            <w14:solidFill>
              <w14:schemeClr w14:val="tx1"/>
            </w14:solidFill>
          </w14:textFill>
        </w:rPr>
        <w:t>月</w:t>
      </w:r>
      <w:r>
        <w:rPr>
          <w:rFonts w:hint="eastAsia" w:cs="宋体"/>
          <w:bCs/>
          <w:color w:val="000000" w:themeColor="text1"/>
          <w:spacing w:val="2"/>
          <w:sz w:val="24"/>
          <w:szCs w:val="24"/>
          <w:lang w:val="en-US" w:eastAsia="zh-CN"/>
          <w14:textFill>
            <w14:solidFill>
              <w14:schemeClr w14:val="tx1"/>
            </w14:solidFill>
          </w14:textFill>
        </w:rPr>
        <w:t>27</w:t>
      </w:r>
      <w:r>
        <w:rPr>
          <w:rFonts w:hint="eastAsia" w:ascii="宋体" w:hAnsi="宋体" w:cs="宋体"/>
          <w:bCs/>
          <w:color w:val="000000" w:themeColor="text1"/>
          <w:spacing w:val="2"/>
          <w:sz w:val="24"/>
          <w:szCs w:val="24"/>
          <w14:textFill>
            <w14:solidFill>
              <w14:schemeClr w14:val="tx1"/>
            </w14:solidFill>
          </w14:textFill>
        </w:rPr>
        <w:t>日</w:t>
      </w:r>
      <w:r>
        <w:rPr>
          <w:rFonts w:hint="eastAsia" w:cs="宋体"/>
          <w:bCs/>
          <w:color w:val="000000" w:themeColor="text1"/>
          <w:spacing w:val="2"/>
          <w:sz w:val="24"/>
          <w:szCs w:val="24"/>
          <w14:textFill>
            <w14:solidFill>
              <w14:schemeClr w14:val="tx1"/>
            </w14:solidFill>
          </w14:textFill>
        </w:rPr>
        <w:t>14</w:t>
      </w:r>
      <w:r>
        <w:rPr>
          <w:rFonts w:hint="eastAsia" w:ascii="宋体" w:hAnsi="宋体" w:cs="宋体"/>
          <w:bCs/>
          <w:color w:val="000000" w:themeColor="text1"/>
          <w:spacing w:val="2"/>
          <w:sz w:val="24"/>
          <w:szCs w:val="24"/>
          <w14:textFill>
            <w14:solidFill>
              <w14:schemeClr w14:val="tx1"/>
            </w14:solidFill>
          </w14:textFill>
        </w:rPr>
        <w:t>时</w:t>
      </w:r>
      <w:r>
        <w:rPr>
          <w:rFonts w:hint="eastAsia" w:cs="宋体"/>
          <w:bCs/>
          <w:color w:val="000000" w:themeColor="text1"/>
          <w:spacing w:val="2"/>
          <w:sz w:val="24"/>
          <w:szCs w:val="24"/>
          <w14:textFill>
            <w14:solidFill>
              <w14:schemeClr w14:val="tx1"/>
            </w14:solidFill>
          </w14:textFill>
        </w:rPr>
        <w:t>00</w:t>
      </w:r>
      <w:r>
        <w:rPr>
          <w:rFonts w:hint="eastAsia" w:ascii="宋体" w:hAnsi="宋体" w:cs="宋体"/>
          <w:bCs/>
          <w:color w:val="000000" w:themeColor="text1"/>
          <w:spacing w:val="2"/>
          <w:sz w:val="24"/>
          <w:szCs w:val="24"/>
          <w14:textFill>
            <w14:solidFill>
              <w14:schemeClr w14:val="tx1"/>
            </w14:solidFill>
          </w14:textFill>
        </w:rPr>
        <w:t>分</w:t>
      </w:r>
    </w:p>
    <w:p>
      <w:pPr>
        <w:pStyle w:val="16"/>
        <w:shd w:val="clear" w:color="auto" w:fill="FFFFFF"/>
        <w:spacing w:line="500" w:lineRule="exact"/>
        <w:ind w:firstLine="480"/>
        <w:jc w:val="both"/>
        <w:rPr>
          <w:rFonts w:ascii="宋体" w:hAnsi="宋体" w:cs="宋体"/>
          <w:bCs/>
          <w:color w:val="000000" w:themeColor="text1"/>
          <w:spacing w:val="2"/>
          <w:sz w:val="24"/>
          <w:szCs w:val="24"/>
          <w14:textFill>
            <w14:solidFill>
              <w14:schemeClr w14:val="tx1"/>
            </w14:solidFill>
          </w14:textFill>
        </w:rPr>
      </w:pPr>
      <w:r>
        <w:rPr>
          <w:rFonts w:hint="eastAsia" w:ascii="宋体" w:hAnsi="宋体" w:cs="宋体"/>
          <w:b/>
          <w:color w:val="000000" w:themeColor="text1"/>
          <w:spacing w:val="2"/>
          <w:sz w:val="24"/>
          <w:szCs w:val="24"/>
          <w14:textFill>
            <w14:solidFill>
              <w14:schemeClr w14:val="tx1"/>
            </w14:solidFill>
          </w14:textFill>
        </w:rPr>
        <w:t>（2）投标文件接收截止时间及开标时间</w:t>
      </w:r>
      <w:r>
        <w:rPr>
          <w:rFonts w:hint="eastAsia" w:ascii="宋体" w:hAnsi="宋体" w:cs="宋体"/>
          <w:bCs/>
          <w:color w:val="000000" w:themeColor="text1"/>
          <w:spacing w:val="2"/>
          <w:sz w:val="24"/>
          <w:szCs w:val="24"/>
          <w14:textFill>
            <w14:solidFill>
              <w14:schemeClr w14:val="tx1"/>
            </w14:solidFill>
          </w14:textFill>
        </w:rPr>
        <w:t>：2020年</w:t>
      </w:r>
      <w:r>
        <w:rPr>
          <w:rFonts w:hint="eastAsia" w:cs="宋体"/>
          <w:bCs/>
          <w:color w:val="000000" w:themeColor="text1"/>
          <w:spacing w:val="2"/>
          <w:sz w:val="24"/>
          <w:szCs w:val="24"/>
          <w14:textFill>
            <w14:solidFill>
              <w14:schemeClr w14:val="tx1"/>
            </w14:solidFill>
          </w14:textFill>
        </w:rPr>
        <w:t>8</w:t>
      </w:r>
      <w:r>
        <w:rPr>
          <w:rFonts w:hint="eastAsia" w:ascii="宋体" w:hAnsi="宋体" w:cs="宋体"/>
          <w:bCs/>
          <w:color w:val="000000" w:themeColor="text1"/>
          <w:spacing w:val="2"/>
          <w:sz w:val="24"/>
          <w:szCs w:val="24"/>
          <w14:textFill>
            <w14:solidFill>
              <w14:schemeClr w14:val="tx1"/>
            </w14:solidFill>
          </w14:textFill>
        </w:rPr>
        <w:t>月</w:t>
      </w:r>
      <w:r>
        <w:rPr>
          <w:rFonts w:hint="eastAsia" w:ascii="宋体" w:hAnsi="宋体" w:cs="宋体"/>
          <w:bCs/>
          <w:color w:val="000000" w:themeColor="text1"/>
          <w:spacing w:val="2"/>
          <w:sz w:val="24"/>
          <w:szCs w:val="24"/>
          <w:lang w:val="en-US" w:eastAsia="zh-CN"/>
          <w14:textFill>
            <w14:solidFill>
              <w14:schemeClr w14:val="tx1"/>
            </w14:solidFill>
          </w14:textFill>
        </w:rPr>
        <w:t>27</w:t>
      </w:r>
      <w:r>
        <w:rPr>
          <w:rFonts w:hint="eastAsia" w:ascii="宋体" w:hAnsi="宋体" w:cs="宋体"/>
          <w:bCs/>
          <w:color w:val="000000" w:themeColor="text1"/>
          <w:spacing w:val="2"/>
          <w:sz w:val="24"/>
          <w:szCs w:val="24"/>
          <w14:textFill>
            <w14:solidFill>
              <w14:schemeClr w14:val="tx1"/>
            </w14:solidFill>
          </w14:textFill>
        </w:rPr>
        <w:t>日</w:t>
      </w:r>
      <w:r>
        <w:rPr>
          <w:rFonts w:hint="eastAsia" w:cs="宋体"/>
          <w:bCs/>
          <w:color w:val="000000" w:themeColor="text1"/>
          <w:spacing w:val="2"/>
          <w:sz w:val="24"/>
          <w:szCs w:val="24"/>
          <w14:textFill>
            <w14:solidFill>
              <w14:schemeClr w14:val="tx1"/>
            </w14:solidFill>
          </w14:textFill>
        </w:rPr>
        <w:t>14</w:t>
      </w:r>
      <w:r>
        <w:rPr>
          <w:rFonts w:hint="eastAsia" w:ascii="宋体" w:hAnsi="宋体" w:cs="宋体"/>
          <w:bCs/>
          <w:color w:val="000000" w:themeColor="text1"/>
          <w:spacing w:val="2"/>
          <w:sz w:val="24"/>
          <w:szCs w:val="24"/>
          <w14:textFill>
            <w14:solidFill>
              <w14:schemeClr w14:val="tx1"/>
            </w14:solidFill>
          </w14:textFill>
        </w:rPr>
        <w:t>时</w:t>
      </w:r>
      <w:r>
        <w:rPr>
          <w:rFonts w:hint="eastAsia" w:cs="宋体"/>
          <w:bCs/>
          <w:color w:val="000000" w:themeColor="text1"/>
          <w:spacing w:val="2"/>
          <w:sz w:val="24"/>
          <w:szCs w:val="24"/>
          <w14:textFill>
            <w14:solidFill>
              <w14:schemeClr w14:val="tx1"/>
            </w14:solidFill>
          </w14:textFill>
        </w:rPr>
        <w:t>30</w:t>
      </w:r>
      <w:r>
        <w:rPr>
          <w:rFonts w:hint="eastAsia" w:ascii="宋体" w:hAnsi="宋体" w:cs="宋体"/>
          <w:bCs/>
          <w:color w:val="000000" w:themeColor="text1"/>
          <w:spacing w:val="2"/>
          <w:sz w:val="24"/>
          <w:szCs w:val="24"/>
          <w14:textFill>
            <w14:solidFill>
              <w14:schemeClr w14:val="tx1"/>
            </w14:solidFill>
          </w14:textFill>
        </w:rPr>
        <w:t>分</w:t>
      </w:r>
    </w:p>
    <w:p>
      <w:pPr>
        <w:pStyle w:val="16"/>
        <w:shd w:val="clear" w:color="auto" w:fill="FFFFFF"/>
        <w:spacing w:line="500" w:lineRule="exact"/>
        <w:ind w:firstLine="480"/>
        <w:jc w:val="both"/>
        <w:rPr>
          <w:rFonts w:ascii="宋体" w:hAnsi="宋体" w:cs="宋体"/>
          <w:bCs/>
          <w:color w:val="000000" w:themeColor="text1"/>
          <w:spacing w:val="2"/>
          <w:sz w:val="24"/>
          <w:szCs w:val="24"/>
          <w14:textFill>
            <w14:solidFill>
              <w14:schemeClr w14:val="tx1"/>
            </w14:solidFill>
          </w14:textFill>
        </w:rPr>
      </w:pPr>
      <w:r>
        <w:rPr>
          <w:rFonts w:hint="eastAsia" w:ascii="宋体" w:hAnsi="宋体" w:cs="宋体"/>
          <w:b/>
          <w:color w:val="000000" w:themeColor="text1"/>
          <w:spacing w:val="2"/>
          <w:sz w:val="24"/>
          <w:szCs w:val="24"/>
          <w14:textFill>
            <w14:solidFill>
              <w14:schemeClr w14:val="tx1"/>
            </w14:solidFill>
          </w14:textFill>
        </w:rPr>
        <w:t>（3）投标文件接收地点：</w:t>
      </w:r>
      <w:r>
        <w:rPr>
          <w:rFonts w:hint="eastAsia" w:ascii="宋体" w:hAnsi="宋体" w:cs="宋体"/>
          <w:bCs/>
          <w:color w:val="000000" w:themeColor="text1"/>
          <w:spacing w:val="2"/>
          <w:sz w:val="24"/>
          <w:szCs w:val="24"/>
          <w14:textFill>
            <w14:solidFill>
              <w14:schemeClr w14:val="tx1"/>
            </w14:solidFill>
          </w14:textFill>
        </w:rPr>
        <w:t>南通大学啬园校区北一门东传达室</w:t>
      </w:r>
    </w:p>
    <w:p>
      <w:pPr>
        <w:pStyle w:val="16"/>
        <w:shd w:val="clear" w:color="auto" w:fill="FFFFFF"/>
        <w:spacing w:line="500" w:lineRule="exact"/>
        <w:ind w:firstLine="480"/>
        <w:jc w:val="both"/>
        <w:rPr>
          <w:rFonts w:ascii="宋体" w:hAnsi="宋体" w:cs="宋体"/>
          <w:bCs/>
          <w:color w:val="000000" w:themeColor="text1"/>
          <w:spacing w:val="2"/>
          <w:sz w:val="24"/>
          <w:szCs w:val="24"/>
          <w14:textFill>
            <w14:solidFill>
              <w14:schemeClr w14:val="tx1"/>
            </w14:solidFill>
          </w14:textFill>
        </w:rPr>
      </w:pPr>
      <w:r>
        <w:rPr>
          <w:rFonts w:hint="eastAsia" w:ascii="宋体" w:hAnsi="宋体" w:cs="宋体"/>
          <w:b/>
          <w:color w:val="000000" w:themeColor="text1"/>
          <w:spacing w:val="2"/>
          <w:sz w:val="24"/>
          <w:szCs w:val="24"/>
          <w14:textFill>
            <w14:solidFill>
              <w14:schemeClr w14:val="tx1"/>
            </w14:solidFill>
          </w14:textFill>
        </w:rPr>
        <w:t>（4）联系人及联系方式：</w:t>
      </w:r>
      <w:r>
        <w:rPr>
          <w:rFonts w:hint="eastAsia" w:ascii="宋体" w:hAnsi="宋体" w:cs="宋体"/>
          <w:bCs/>
          <w:color w:val="000000" w:themeColor="text1"/>
          <w:spacing w:val="2"/>
          <w:sz w:val="24"/>
          <w:szCs w:val="24"/>
          <w14:textFill>
            <w14:solidFill>
              <w14:schemeClr w14:val="tx1"/>
            </w14:solidFill>
          </w14:textFill>
        </w:rPr>
        <w:t>王老师0513-85012891</w:t>
      </w:r>
    </w:p>
    <w:p>
      <w:pPr>
        <w:pStyle w:val="16"/>
        <w:shd w:val="clear" w:color="auto" w:fill="FFFFFF"/>
        <w:spacing w:line="500" w:lineRule="exact"/>
        <w:ind w:firstLine="480"/>
        <w:jc w:val="both"/>
        <w:rPr>
          <w:rFonts w:ascii="宋体" w:hAnsi="宋体" w:cs="宋体"/>
          <w:bCs/>
          <w:color w:val="000000" w:themeColor="text1"/>
          <w:spacing w:val="2"/>
          <w:sz w:val="24"/>
          <w:szCs w:val="24"/>
          <w14:textFill>
            <w14:solidFill>
              <w14:schemeClr w14:val="tx1"/>
            </w14:solidFill>
          </w14:textFill>
        </w:rPr>
      </w:pPr>
      <w:r>
        <w:rPr>
          <w:rFonts w:hint="eastAsia" w:ascii="宋体" w:hAnsi="宋体" w:cs="宋体"/>
          <w:b/>
          <w:color w:val="000000" w:themeColor="text1"/>
          <w:spacing w:val="2"/>
          <w:sz w:val="24"/>
          <w:szCs w:val="24"/>
          <w14:textFill>
            <w14:solidFill>
              <w14:schemeClr w14:val="tx1"/>
            </w14:solidFill>
          </w14:textFill>
        </w:rPr>
        <w:t>（5）投标人身份证明文件（投标时需随身携带）</w:t>
      </w:r>
      <w:r>
        <w:rPr>
          <w:rFonts w:hint="eastAsia" w:ascii="宋体" w:hAnsi="宋体" w:cs="宋体"/>
          <w:bCs/>
          <w:color w:val="000000" w:themeColor="text1"/>
          <w:spacing w:val="2"/>
          <w:sz w:val="24"/>
          <w:szCs w:val="24"/>
          <w14:textFill>
            <w14:solidFill>
              <w14:schemeClr w14:val="tx1"/>
            </w14:solidFill>
          </w14:textFill>
        </w:rPr>
        <w:t>：</w:t>
      </w:r>
    </w:p>
    <w:p>
      <w:pPr>
        <w:pStyle w:val="16"/>
        <w:shd w:val="clear" w:color="auto" w:fill="FFFFFF"/>
        <w:spacing w:line="500" w:lineRule="exact"/>
        <w:ind w:firstLine="480"/>
        <w:jc w:val="both"/>
        <w:rPr>
          <w:rFonts w:ascii="宋体" w:hAnsi="宋体" w:cs="宋体"/>
          <w:bCs/>
          <w:color w:val="000000" w:themeColor="text1"/>
          <w:spacing w:val="2"/>
          <w:sz w:val="24"/>
          <w:szCs w:val="24"/>
          <w14:textFill>
            <w14:solidFill>
              <w14:schemeClr w14:val="tx1"/>
            </w14:solidFill>
          </w14:textFill>
        </w:rPr>
      </w:pPr>
      <w:r>
        <w:rPr>
          <w:rFonts w:hint="eastAsia" w:ascii="宋体" w:hAnsi="宋体" w:cs="宋体"/>
          <w:bCs/>
          <w:color w:val="000000" w:themeColor="text1"/>
          <w:spacing w:val="2"/>
          <w:sz w:val="24"/>
          <w:szCs w:val="24"/>
          <w14:textFill>
            <w14:solidFill>
              <w14:schemeClr w14:val="tx1"/>
            </w14:solidFill>
          </w14:textFill>
        </w:rPr>
        <w:t>投标单位必须由单位“法定代表人”或“法定代表人”书面授权的</w:t>
      </w:r>
      <w:bookmarkStart w:id="2" w:name="_Hlk41926008"/>
      <w:bookmarkEnd w:id="2"/>
      <w:r>
        <w:rPr>
          <w:rFonts w:hint="eastAsia" w:ascii="宋体" w:hAnsi="宋体" w:cs="宋体"/>
          <w:bCs/>
          <w:color w:val="000000" w:themeColor="text1"/>
          <w:spacing w:val="2"/>
          <w:sz w:val="24"/>
          <w:szCs w:val="24"/>
          <w14:textFill>
            <w14:solidFill>
              <w14:schemeClr w14:val="tx1"/>
            </w14:solidFill>
          </w14:textFill>
        </w:rPr>
        <w:t>“合法代理人”到现场参加投标。</w:t>
      </w:r>
    </w:p>
    <w:p>
      <w:pPr>
        <w:pStyle w:val="16"/>
        <w:shd w:val="clear" w:color="auto" w:fill="FFFFFF"/>
        <w:spacing w:line="500" w:lineRule="exact"/>
        <w:ind w:firstLine="480"/>
        <w:jc w:val="both"/>
        <w:rPr>
          <w:rFonts w:ascii="宋体" w:hAnsi="宋体" w:cs="宋体"/>
          <w:bCs/>
          <w:color w:val="000000" w:themeColor="text1"/>
          <w:spacing w:val="2"/>
          <w:sz w:val="24"/>
          <w:szCs w:val="24"/>
          <w14:textFill>
            <w14:solidFill>
              <w14:schemeClr w14:val="tx1"/>
            </w14:solidFill>
          </w14:textFill>
        </w:rPr>
      </w:pPr>
      <w:r>
        <w:rPr>
          <w:rFonts w:hint="eastAsia" w:ascii="宋体" w:hAnsi="宋体" w:cs="宋体"/>
          <w:bCs/>
          <w:color w:val="000000" w:themeColor="text1"/>
          <w:spacing w:val="2"/>
          <w:sz w:val="24"/>
          <w:szCs w:val="24"/>
          <w14:textFill>
            <w14:solidFill>
              <w14:schemeClr w14:val="tx1"/>
            </w14:solidFill>
          </w14:textFill>
        </w:rPr>
        <w:t>①“法定代表人”直接参加投标需出示：本人身份证原件；</w:t>
      </w:r>
    </w:p>
    <w:p>
      <w:pPr>
        <w:pStyle w:val="16"/>
        <w:shd w:val="clear" w:color="auto" w:fill="FFFFFF"/>
        <w:spacing w:line="500" w:lineRule="exact"/>
        <w:ind w:firstLine="480"/>
        <w:jc w:val="both"/>
        <w:rPr>
          <w:rFonts w:ascii="宋体" w:hAnsi="宋体" w:cs="宋体"/>
          <w:bCs/>
          <w:color w:val="000000" w:themeColor="text1"/>
          <w:spacing w:val="2"/>
          <w:sz w:val="24"/>
          <w:szCs w:val="24"/>
          <w14:textFill>
            <w14:solidFill>
              <w14:schemeClr w14:val="tx1"/>
            </w14:solidFill>
          </w14:textFill>
        </w:rPr>
      </w:pPr>
      <w:r>
        <w:rPr>
          <w:rFonts w:hint="eastAsia" w:ascii="宋体" w:hAnsi="宋体" w:cs="宋体"/>
          <w:bCs/>
          <w:color w:val="000000" w:themeColor="text1"/>
          <w:spacing w:val="2"/>
          <w:sz w:val="24"/>
          <w:szCs w:val="24"/>
          <w14:textFill>
            <w14:solidFill>
              <w14:schemeClr w14:val="tx1"/>
            </w14:solidFill>
          </w14:textFill>
        </w:rPr>
        <w:t>②“合法代理人”参加投标需出示：“法定代表人”身份证复印件（“法定代表人”签字并盖单位章）、“合法代理人”本人身份证原件及法定代表人授权书原件。</w:t>
      </w:r>
    </w:p>
    <w:p>
      <w:pPr>
        <w:pStyle w:val="16"/>
        <w:shd w:val="clear" w:color="auto" w:fill="FFFFFF"/>
        <w:spacing w:line="500" w:lineRule="exact"/>
        <w:ind w:firstLine="480"/>
        <w:jc w:val="both"/>
        <w:rPr>
          <w:rFonts w:ascii="宋体" w:hAnsi="宋体" w:cs="宋体"/>
          <w:bCs/>
          <w:color w:val="000000" w:themeColor="text1"/>
          <w:spacing w:val="2"/>
          <w:sz w:val="24"/>
          <w:szCs w:val="24"/>
          <w14:textFill>
            <w14:solidFill>
              <w14:schemeClr w14:val="tx1"/>
            </w14:solidFill>
          </w14:textFill>
        </w:rPr>
      </w:pPr>
      <w:r>
        <w:rPr>
          <w:rFonts w:hint="eastAsia" w:ascii="宋体" w:hAnsi="宋体" w:cs="宋体"/>
          <w:b/>
          <w:color w:val="000000" w:themeColor="text1"/>
          <w:spacing w:val="2"/>
          <w:sz w:val="24"/>
          <w:szCs w:val="24"/>
          <w14:textFill>
            <w14:solidFill>
              <w14:schemeClr w14:val="tx1"/>
            </w14:solidFill>
          </w14:textFill>
        </w:rPr>
        <w:t>十一、开评标地点：</w:t>
      </w:r>
      <w:r>
        <w:rPr>
          <w:rFonts w:hint="eastAsia" w:ascii="宋体" w:hAnsi="宋体" w:cs="宋体"/>
          <w:bCs/>
          <w:color w:val="000000" w:themeColor="text1"/>
          <w:spacing w:val="2"/>
          <w:sz w:val="24"/>
          <w:szCs w:val="24"/>
          <w14:textFill>
            <w14:solidFill>
              <w14:schemeClr w14:val="tx1"/>
            </w14:solidFill>
          </w14:textFill>
        </w:rPr>
        <w:t>南通大学啬园校区综合楼23</w:t>
      </w:r>
      <w:r>
        <w:rPr>
          <w:rFonts w:hint="eastAsia" w:ascii="宋体" w:hAnsi="宋体" w:cs="宋体"/>
          <w:bCs/>
          <w:color w:val="000000" w:themeColor="text1"/>
          <w:spacing w:val="2"/>
          <w:sz w:val="24"/>
          <w:szCs w:val="24"/>
          <w:lang w:val="en-US" w:eastAsia="zh-CN"/>
          <w14:textFill>
            <w14:solidFill>
              <w14:schemeClr w14:val="tx1"/>
            </w14:solidFill>
          </w14:textFill>
        </w:rPr>
        <w:t>1</w:t>
      </w:r>
      <w:r>
        <w:rPr>
          <w:rFonts w:hint="eastAsia" w:ascii="宋体" w:hAnsi="宋体" w:cs="宋体"/>
          <w:bCs/>
          <w:color w:val="000000" w:themeColor="text1"/>
          <w:spacing w:val="2"/>
          <w:sz w:val="24"/>
          <w:szCs w:val="24"/>
          <w14:textFill>
            <w14:solidFill>
              <w14:schemeClr w14:val="tx1"/>
            </w14:solidFill>
          </w14:textFill>
        </w:rPr>
        <w:t>室</w:t>
      </w:r>
    </w:p>
    <w:p>
      <w:pPr>
        <w:pStyle w:val="16"/>
        <w:shd w:val="clear" w:color="auto" w:fill="FFFFFF"/>
        <w:spacing w:line="500" w:lineRule="exact"/>
        <w:ind w:firstLine="480"/>
        <w:jc w:val="both"/>
        <w:rPr>
          <w:rFonts w:ascii="宋体" w:hAnsi="宋体" w:cs="宋体"/>
          <w:bCs/>
          <w:color w:val="000000" w:themeColor="text1"/>
          <w:spacing w:val="2"/>
          <w:sz w:val="24"/>
          <w:szCs w:val="24"/>
          <w14:textFill>
            <w14:solidFill>
              <w14:schemeClr w14:val="tx1"/>
            </w14:solidFill>
          </w14:textFill>
        </w:rPr>
      </w:pPr>
      <w:r>
        <w:rPr>
          <w:rFonts w:hint="eastAsia" w:ascii="宋体" w:hAnsi="宋体" w:cs="宋体"/>
          <w:b/>
          <w:color w:val="000000" w:themeColor="text1"/>
          <w:spacing w:val="2"/>
          <w:sz w:val="24"/>
          <w:szCs w:val="24"/>
          <w14:textFill>
            <w14:solidFill>
              <w14:schemeClr w14:val="tx1"/>
            </w14:solidFill>
          </w14:textFill>
        </w:rPr>
        <w:t>十二、疫情期间，投标人无需到达现场，</w:t>
      </w:r>
      <w:r>
        <w:rPr>
          <w:rFonts w:hint="eastAsia" w:ascii="宋体" w:hAnsi="宋体" w:cs="宋体"/>
          <w:bCs/>
          <w:color w:val="000000" w:themeColor="text1"/>
          <w:spacing w:val="2"/>
          <w:sz w:val="24"/>
          <w:szCs w:val="24"/>
          <w14:textFill>
            <w14:solidFill>
              <w14:schemeClr w14:val="tx1"/>
            </w14:solidFill>
          </w14:textFill>
        </w:rPr>
        <w:t>评标时，如若需要询标，采购人电话通知需询标的供应商被授权人，采用“腾讯会议”的方式进行视频询标。采购人开启询标会议后发送“会议号及会议密码”给供应商被授权人，投标人被授权人及时下载登录“腾讯会议”视频询标。</w:t>
      </w:r>
    </w:p>
    <w:p>
      <w:pPr>
        <w:pStyle w:val="16"/>
        <w:shd w:val="clear" w:color="auto" w:fill="FFFFFF"/>
        <w:spacing w:line="500" w:lineRule="exact"/>
        <w:ind w:firstLine="480"/>
        <w:jc w:val="both"/>
        <w:rPr>
          <w:rFonts w:ascii="宋体" w:hAnsi="宋体" w:cs="宋体"/>
          <w:b/>
          <w:color w:val="000000" w:themeColor="text1"/>
          <w:spacing w:val="2"/>
          <w:sz w:val="24"/>
          <w:szCs w:val="24"/>
          <w14:textFill>
            <w14:solidFill>
              <w14:schemeClr w14:val="tx1"/>
            </w14:solidFill>
          </w14:textFill>
        </w:rPr>
      </w:pPr>
      <w:r>
        <w:rPr>
          <w:rFonts w:hint="eastAsia" w:ascii="宋体" w:hAnsi="宋体" w:cs="宋体"/>
          <w:b/>
          <w:color w:val="000000" w:themeColor="text1"/>
          <w:spacing w:val="2"/>
          <w:sz w:val="24"/>
          <w:szCs w:val="24"/>
          <w14:textFill>
            <w14:solidFill>
              <w14:schemeClr w14:val="tx1"/>
            </w14:solidFill>
          </w14:textFill>
        </w:rPr>
        <w:t>十三、与本次谈判有关的事宜请按下列通讯方式联系</w:t>
      </w:r>
    </w:p>
    <w:p>
      <w:pPr>
        <w:pStyle w:val="16"/>
        <w:shd w:val="clear" w:color="auto" w:fill="FFFFFF"/>
        <w:spacing w:line="500" w:lineRule="exact"/>
        <w:ind w:firstLine="480"/>
        <w:jc w:val="both"/>
        <w:rPr>
          <w:rFonts w:ascii="宋体" w:hAnsi="宋体" w:cs="宋体"/>
          <w:bCs/>
          <w:color w:val="000000" w:themeColor="text1"/>
          <w:spacing w:val="2"/>
          <w:sz w:val="24"/>
          <w:szCs w:val="24"/>
          <w14:textFill>
            <w14:solidFill>
              <w14:schemeClr w14:val="tx1"/>
            </w14:solidFill>
          </w14:textFill>
        </w:rPr>
      </w:pPr>
      <w:r>
        <w:rPr>
          <w:rFonts w:hint="eastAsia" w:ascii="宋体" w:hAnsi="宋体" w:cs="宋体"/>
          <w:bCs/>
          <w:color w:val="000000" w:themeColor="text1"/>
          <w:spacing w:val="2"/>
          <w:sz w:val="24"/>
          <w:szCs w:val="24"/>
          <w14:textFill>
            <w14:solidFill>
              <w14:schemeClr w14:val="tx1"/>
            </w14:solidFill>
          </w14:textFill>
        </w:rPr>
        <w:t>如对技术条款及评判标准有疑问请咨询项目联系人；如对商务条款、采购程序及结果有疑义请咨询招标联系人。</w:t>
      </w:r>
    </w:p>
    <w:p>
      <w:pPr>
        <w:pStyle w:val="16"/>
        <w:shd w:val="clear" w:color="auto" w:fill="FFFFFF"/>
        <w:spacing w:line="500" w:lineRule="exact"/>
        <w:ind w:firstLine="480"/>
        <w:jc w:val="both"/>
        <w:rPr>
          <w:rFonts w:ascii="宋体" w:hAnsi="宋体" w:cs="宋体"/>
          <w:bCs/>
          <w:color w:val="000000" w:themeColor="text1"/>
          <w:spacing w:val="2"/>
          <w:sz w:val="24"/>
          <w:szCs w:val="24"/>
          <w14:textFill>
            <w14:solidFill>
              <w14:schemeClr w14:val="tx1"/>
            </w14:solidFill>
          </w14:textFill>
        </w:rPr>
      </w:pPr>
      <w:r>
        <w:rPr>
          <w:rFonts w:hint="eastAsia" w:ascii="宋体" w:hAnsi="宋体" w:cs="宋体"/>
          <w:b/>
          <w:color w:val="000000" w:themeColor="text1"/>
          <w:spacing w:val="2"/>
          <w:sz w:val="24"/>
          <w:szCs w:val="24"/>
          <w14:textFill>
            <w14:solidFill>
              <w14:schemeClr w14:val="tx1"/>
            </w14:solidFill>
          </w14:textFill>
        </w:rPr>
        <w:t>项目联系人及联系方式：</w:t>
      </w:r>
      <w:r>
        <w:rPr>
          <w:rFonts w:hint="eastAsia" w:ascii="宋体" w:hAnsi="宋体" w:cs="宋体"/>
          <w:bCs/>
          <w:color w:val="000000" w:themeColor="text1"/>
          <w:spacing w:val="2"/>
          <w:sz w:val="24"/>
          <w:szCs w:val="24"/>
          <w14:textFill>
            <w14:solidFill>
              <w14:schemeClr w14:val="tx1"/>
            </w14:solidFill>
          </w14:textFill>
        </w:rPr>
        <w:t>赵小清0513-85012648。</w:t>
      </w:r>
    </w:p>
    <w:p>
      <w:pPr>
        <w:pStyle w:val="16"/>
        <w:shd w:val="clear" w:color="auto" w:fill="FFFFFF"/>
        <w:spacing w:line="500" w:lineRule="exact"/>
        <w:ind w:firstLine="480"/>
        <w:jc w:val="both"/>
        <w:rPr>
          <w:rFonts w:ascii="宋体" w:hAnsi="宋体" w:cs="宋体"/>
          <w:bCs/>
          <w:color w:val="000000" w:themeColor="text1"/>
          <w:spacing w:val="2"/>
          <w:sz w:val="24"/>
          <w:szCs w:val="24"/>
          <w14:textFill>
            <w14:solidFill>
              <w14:schemeClr w14:val="tx1"/>
            </w14:solidFill>
          </w14:textFill>
        </w:rPr>
      </w:pPr>
      <w:r>
        <w:rPr>
          <w:rFonts w:hint="eastAsia" w:ascii="宋体" w:hAnsi="宋体" w:cs="宋体"/>
          <w:b/>
          <w:color w:val="000000" w:themeColor="text1"/>
          <w:spacing w:val="2"/>
          <w:sz w:val="24"/>
          <w:szCs w:val="24"/>
          <w14:textFill>
            <w14:solidFill>
              <w14:schemeClr w14:val="tx1"/>
            </w14:solidFill>
          </w14:textFill>
        </w:rPr>
        <w:t>招标联系人及联系方式：</w:t>
      </w:r>
      <w:r>
        <w:rPr>
          <w:rFonts w:hint="eastAsia" w:ascii="宋体" w:hAnsi="宋体" w:cs="宋体"/>
          <w:bCs/>
          <w:color w:val="000000" w:themeColor="text1"/>
          <w:spacing w:val="2"/>
          <w:sz w:val="24"/>
          <w:szCs w:val="24"/>
          <w14:textFill>
            <w14:solidFill>
              <w14:schemeClr w14:val="tx1"/>
            </w14:solidFill>
          </w14:textFill>
        </w:rPr>
        <w:t>李韦华0513-85012138，牛书花0513-85012891。</w:t>
      </w:r>
    </w:p>
    <w:p>
      <w:pPr>
        <w:rPr>
          <w:rFonts w:cs="宋体"/>
          <w:b/>
          <w:bCs/>
          <w:sz w:val="40"/>
          <w:szCs w:val="40"/>
        </w:rPr>
      </w:pPr>
      <w:r>
        <w:rPr>
          <w:rFonts w:hint="eastAsia" w:cs="宋体"/>
          <w:b/>
          <w:bCs/>
          <w:sz w:val="40"/>
          <w:szCs w:val="40"/>
        </w:rPr>
        <w:br w:type="page"/>
      </w:r>
    </w:p>
    <w:p>
      <w:pPr>
        <w:spacing w:line="360" w:lineRule="auto"/>
        <w:ind w:firstLine="803" w:firstLineChars="200"/>
        <w:jc w:val="center"/>
        <w:rPr>
          <w:rFonts w:ascii="宋体"/>
          <w:color w:val="000000"/>
        </w:rPr>
      </w:pPr>
      <w:r>
        <w:rPr>
          <w:rFonts w:hint="eastAsia" w:cs="宋体"/>
          <w:b/>
          <w:bCs/>
          <w:sz w:val="40"/>
          <w:szCs w:val="40"/>
        </w:rPr>
        <w:t>第二部分 投标人须知</w:t>
      </w:r>
      <w:bookmarkEnd w:id="1"/>
    </w:p>
    <w:p>
      <w:pPr>
        <w:pStyle w:val="3"/>
        <w:rPr>
          <w:color w:val="000000" w:themeColor="text1"/>
          <w14:textFill>
            <w14:solidFill>
              <w14:schemeClr w14:val="tx1"/>
            </w14:solidFill>
          </w14:textFill>
        </w:rPr>
      </w:pPr>
      <w:bookmarkStart w:id="3" w:name="_Toc37838041"/>
      <w:bookmarkStart w:id="4" w:name="_Toc40968802"/>
      <w:r>
        <w:rPr>
          <w:rFonts w:hint="eastAsia"/>
          <w:color w:val="000000" w:themeColor="text1"/>
          <w14:textFill>
            <w14:solidFill>
              <w14:schemeClr w14:val="tx1"/>
            </w14:solidFill>
          </w14:textFill>
        </w:rPr>
        <w:t>一、竞争性磋商文件</w:t>
      </w:r>
      <w:bookmarkEnd w:id="3"/>
      <w:bookmarkEnd w:id="4"/>
    </w:p>
    <w:p>
      <w:pPr>
        <w:spacing w:line="360" w:lineRule="auto"/>
        <w:ind w:firstLine="482" w:firstLineChars="200"/>
        <w:rPr>
          <w:b/>
          <w:color w:val="000000" w:themeColor="text1"/>
          <w:sz w:val="24"/>
          <w14:textFill>
            <w14:solidFill>
              <w14:schemeClr w14:val="tx1"/>
            </w14:solidFill>
          </w14:textFill>
        </w:rPr>
      </w:pPr>
      <w:r>
        <w:rPr>
          <w:b/>
          <w:color w:val="000000" w:themeColor="text1"/>
          <w:sz w:val="24"/>
          <w14:textFill>
            <w14:solidFill>
              <w14:schemeClr w14:val="tx1"/>
            </w14:solidFill>
          </w14:textFill>
        </w:rPr>
        <w:t xml:space="preserve">1.1. </w:t>
      </w:r>
      <w:r>
        <w:rPr>
          <w:rFonts w:hint="eastAsia"/>
          <w:color w:val="000000" w:themeColor="text1"/>
          <w:sz w:val="24"/>
          <w14:textFill>
            <w14:solidFill>
              <w14:schemeClr w14:val="tx1"/>
            </w14:solidFill>
          </w14:textFill>
        </w:rPr>
        <w:t>名词定义</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本竞争性磋商文件中的招标人、投标人、中标人分别指：</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1</w:t>
      </w:r>
      <w:r>
        <w:rPr>
          <w:rFonts w:hint="eastAsia"/>
          <w:color w:val="000000" w:themeColor="text1"/>
          <w:sz w:val="24"/>
          <w14:textFill>
            <w14:solidFill>
              <w14:schemeClr w14:val="tx1"/>
            </w14:solidFill>
          </w14:textFill>
        </w:rPr>
        <w:t>）招标人指南通大学，亦称买方。</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2</w:t>
      </w:r>
      <w:r>
        <w:rPr>
          <w:rFonts w:hint="eastAsia"/>
          <w:color w:val="000000" w:themeColor="text1"/>
          <w:sz w:val="24"/>
          <w14:textFill>
            <w14:solidFill>
              <w14:schemeClr w14:val="tx1"/>
            </w14:solidFill>
          </w14:textFill>
        </w:rPr>
        <w:t>）投标人指响应招标并具备相应资质的参与投标的服务商。</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3</w:t>
      </w:r>
      <w:r>
        <w:rPr>
          <w:rFonts w:hint="eastAsia"/>
          <w:color w:val="000000" w:themeColor="text1"/>
          <w:sz w:val="24"/>
          <w14:textFill>
            <w14:solidFill>
              <w14:schemeClr w14:val="tx1"/>
            </w14:solidFill>
          </w14:textFill>
        </w:rPr>
        <w:t>）中标人指最后中标的投标人，亦称卖方。</w:t>
      </w:r>
    </w:p>
    <w:p>
      <w:pPr>
        <w:spacing w:line="360" w:lineRule="auto"/>
        <w:ind w:firstLine="482" w:firstLineChars="200"/>
        <w:rPr>
          <w:b/>
          <w:color w:val="000000" w:themeColor="text1"/>
          <w:sz w:val="24"/>
          <w14:textFill>
            <w14:solidFill>
              <w14:schemeClr w14:val="tx1"/>
            </w14:solidFill>
          </w14:textFill>
        </w:rPr>
      </w:pPr>
      <w:r>
        <w:rPr>
          <w:b/>
          <w:color w:val="000000" w:themeColor="text1"/>
          <w:sz w:val="24"/>
          <w14:textFill>
            <w14:solidFill>
              <w14:schemeClr w14:val="tx1"/>
            </w14:solidFill>
          </w14:textFill>
        </w:rPr>
        <w:t xml:space="preserve">1.2. </w:t>
      </w:r>
      <w:r>
        <w:rPr>
          <w:rFonts w:hint="eastAsia"/>
          <w:color w:val="000000" w:themeColor="text1"/>
          <w:sz w:val="24"/>
          <w14:textFill>
            <w14:solidFill>
              <w14:schemeClr w14:val="tx1"/>
            </w14:solidFill>
          </w14:textFill>
        </w:rPr>
        <w:t>竞争性磋商文件的组成</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本竞争性磋商文件由下列部分组成：</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1</w:t>
      </w:r>
      <w:r>
        <w:rPr>
          <w:rFonts w:hint="eastAsia"/>
          <w:color w:val="000000" w:themeColor="text1"/>
          <w:sz w:val="24"/>
          <w14:textFill>
            <w14:solidFill>
              <w14:schemeClr w14:val="tx1"/>
            </w14:solidFill>
          </w14:textFill>
        </w:rPr>
        <w:t>）竞争性磋商采购公告</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2</w:t>
      </w:r>
      <w:r>
        <w:rPr>
          <w:rFonts w:hint="eastAsia"/>
          <w:color w:val="000000" w:themeColor="text1"/>
          <w:sz w:val="24"/>
          <w14:textFill>
            <w14:solidFill>
              <w14:schemeClr w14:val="tx1"/>
            </w14:solidFill>
          </w14:textFill>
        </w:rPr>
        <w:t>）投标人须知</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3</w:t>
      </w:r>
      <w:r>
        <w:rPr>
          <w:rFonts w:hint="eastAsia"/>
          <w:color w:val="000000" w:themeColor="text1"/>
          <w:sz w:val="24"/>
          <w14:textFill>
            <w14:solidFill>
              <w14:schemeClr w14:val="tx1"/>
            </w14:solidFill>
          </w14:textFill>
        </w:rPr>
        <w:t>）采购项目要求及相关说明</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4</w:t>
      </w:r>
      <w:r>
        <w:rPr>
          <w:rFonts w:hint="eastAsia"/>
          <w:color w:val="000000" w:themeColor="text1"/>
          <w:sz w:val="24"/>
          <w14:textFill>
            <w14:solidFill>
              <w14:schemeClr w14:val="tx1"/>
            </w14:solidFill>
          </w14:textFill>
        </w:rPr>
        <w:t>）合同主要条款</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5</w:t>
      </w:r>
      <w:r>
        <w:rPr>
          <w:rFonts w:hint="eastAsia"/>
          <w:color w:val="000000" w:themeColor="text1"/>
          <w:sz w:val="24"/>
          <w14:textFill>
            <w14:solidFill>
              <w14:schemeClr w14:val="tx1"/>
            </w14:solidFill>
          </w14:textFill>
        </w:rPr>
        <w:t>）附件</w:t>
      </w:r>
    </w:p>
    <w:p>
      <w:pPr>
        <w:spacing w:line="360" w:lineRule="auto"/>
        <w:ind w:firstLine="482" w:firstLineChars="200"/>
        <w:rPr>
          <w:b/>
          <w:color w:val="000000" w:themeColor="text1"/>
          <w:sz w:val="24"/>
          <w14:textFill>
            <w14:solidFill>
              <w14:schemeClr w14:val="tx1"/>
            </w14:solidFill>
          </w14:textFill>
        </w:rPr>
      </w:pPr>
      <w:r>
        <w:rPr>
          <w:b/>
          <w:color w:val="000000" w:themeColor="text1"/>
          <w:sz w:val="24"/>
          <w14:textFill>
            <w14:solidFill>
              <w14:schemeClr w14:val="tx1"/>
            </w14:solidFill>
          </w14:textFill>
        </w:rPr>
        <w:t xml:space="preserve">1.3. </w:t>
      </w:r>
      <w:r>
        <w:rPr>
          <w:rFonts w:hint="eastAsia"/>
          <w:color w:val="000000" w:themeColor="text1"/>
          <w:sz w:val="24"/>
          <w14:textFill>
            <w14:solidFill>
              <w14:schemeClr w14:val="tx1"/>
            </w14:solidFill>
          </w14:textFill>
        </w:rPr>
        <w:t>竞争性磋商文件的澄清</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如投标人对竞争性磋商文件的某些内容有疑问，应在投标截止时间</w:t>
      </w:r>
      <w:r>
        <w:rPr>
          <w:color w:val="000000" w:themeColor="text1"/>
          <w:sz w:val="24"/>
          <w14:textFill>
            <w14:solidFill>
              <w14:schemeClr w14:val="tx1"/>
            </w14:solidFill>
          </w14:textFill>
        </w:rPr>
        <w:t>5</w:t>
      </w:r>
      <w:r>
        <w:rPr>
          <w:rFonts w:hint="eastAsia"/>
          <w:color w:val="000000" w:themeColor="text1"/>
          <w:sz w:val="24"/>
          <w14:textFill>
            <w14:solidFill>
              <w14:schemeClr w14:val="tx1"/>
            </w14:solidFill>
          </w14:textFill>
        </w:rPr>
        <w:t>日前以书面形式邮件通知招标人，招标人将予以书面答复。招标人认为有必要时，可将答复内容（包括疑问内容，但不包括疑问来源）在南通大学招投标信息网站上公开发布。</w:t>
      </w:r>
    </w:p>
    <w:p>
      <w:pPr>
        <w:spacing w:line="360" w:lineRule="auto"/>
        <w:ind w:firstLine="482" w:firstLineChars="200"/>
        <w:rPr>
          <w:b/>
          <w:color w:val="000000" w:themeColor="text1"/>
          <w:sz w:val="24"/>
          <w14:textFill>
            <w14:solidFill>
              <w14:schemeClr w14:val="tx1"/>
            </w14:solidFill>
          </w14:textFill>
        </w:rPr>
      </w:pPr>
      <w:r>
        <w:rPr>
          <w:b/>
          <w:color w:val="000000" w:themeColor="text1"/>
          <w:sz w:val="24"/>
          <w14:textFill>
            <w14:solidFill>
              <w14:schemeClr w14:val="tx1"/>
            </w14:solidFill>
          </w14:textFill>
        </w:rPr>
        <w:t xml:space="preserve">1.4. </w:t>
      </w:r>
      <w:r>
        <w:rPr>
          <w:rFonts w:hint="eastAsia"/>
          <w:color w:val="000000" w:themeColor="text1"/>
          <w:sz w:val="24"/>
          <w14:textFill>
            <w14:solidFill>
              <w14:schemeClr w14:val="tx1"/>
            </w14:solidFill>
          </w14:textFill>
        </w:rPr>
        <w:t>竞争性磋商文件的补充和修改</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1</w:t>
      </w:r>
      <w:r>
        <w:rPr>
          <w:rFonts w:hint="eastAsia"/>
          <w:color w:val="000000" w:themeColor="text1"/>
          <w:sz w:val="24"/>
          <w14:textFill>
            <w14:solidFill>
              <w14:schemeClr w14:val="tx1"/>
            </w14:solidFill>
          </w14:textFill>
        </w:rPr>
        <w:t>）招标人有权在投标截止时间</w:t>
      </w:r>
      <w:r>
        <w:rPr>
          <w:color w:val="000000" w:themeColor="text1"/>
          <w:sz w:val="24"/>
          <w14:textFill>
            <w14:solidFill>
              <w14:schemeClr w14:val="tx1"/>
            </w14:solidFill>
          </w14:textFill>
        </w:rPr>
        <w:t>3</w:t>
      </w:r>
      <w:r>
        <w:rPr>
          <w:rFonts w:hint="eastAsia"/>
          <w:color w:val="000000" w:themeColor="text1"/>
          <w:sz w:val="24"/>
          <w14:textFill>
            <w14:solidFill>
              <w14:schemeClr w14:val="tx1"/>
            </w14:solidFill>
          </w14:textFill>
        </w:rPr>
        <w:t>日前对竞争性磋商文件进行补充和修改，补充和修改的内容在南通大学招投标信息网站上公开发布。补充和修改的内容作为竞争性磋商文件的组成部分，对投标人具有同等约束作用。</w:t>
      </w:r>
    </w:p>
    <w:p>
      <w:pPr>
        <w:spacing w:line="360" w:lineRule="auto"/>
        <w:ind w:firstLine="480" w:firstLineChars="200"/>
        <w:rPr>
          <w:b/>
          <w:bCs/>
          <w:color w:val="000000"/>
          <w:sz w:val="24"/>
          <w:szCs w:val="24"/>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2</w:t>
      </w:r>
      <w:r>
        <w:rPr>
          <w:rFonts w:hint="eastAsia"/>
          <w:color w:val="000000" w:themeColor="text1"/>
          <w:sz w:val="24"/>
          <w14:textFill>
            <w14:solidFill>
              <w14:schemeClr w14:val="tx1"/>
            </w14:solidFill>
          </w14:textFill>
        </w:rPr>
        <w:t>）如竞争性磋商文件的补充和修改对投标人准备投标的时间有影响，招标人有权决定推迟投标截止时间和开标时间。</w:t>
      </w:r>
    </w:p>
    <w:p>
      <w:pPr>
        <w:pStyle w:val="3"/>
        <w:rPr>
          <w:color w:val="000000" w:themeColor="text1"/>
          <w14:textFill>
            <w14:solidFill>
              <w14:schemeClr w14:val="tx1"/>
            </w14:solidFill>
          </w14:textFill>
        </w:rPr>
      </w:pPr>
      <w:bookmarkStart w:id="5" w:name="_Toc37838042"/>
      <w:bookmarkStart w:id="6" w:name="_Toc40968803"/>
      <w:r>
        <w:rPr>
          <w:rFonts w:hint="eastAsia"/>
          <w:color w:val="000000" w:themeColor="text1"/>
          <w14:textFill>
            <w14:solidFill>
              <w14:schemeClr w14:val="tx1"/>
            </w14:solidFill>
          </w14:textFill>
        </w:rPr>
        <w:t>二、投标文件</w:t>
      </w:r>
      <w:bookmarkEnd w:id="5"/>
      <w:bookmarkEnd w:id="6"/>
    </w:p>
    <w:p>
      <w:pPr>
        <w:spacing w:line="440" w:lineRule="exact"/>
        <w:ind w:firstLine="482" w:firstLineChars="200"/>
        <w:rPr>
          <w:color w:val="000000" w:themeColor="text1"/>
          <w:sz w:val="24"/>
          <w14:textFill>
            <w14:solidFill>
              <w14:schemeClr w14:val="tx1"/>
            </w14:solidFill>
          </w14:textFill>
        </w:rPr>
      </w:pPr>
      <w:r>
        <w:rPr>
          <w:b/>
          <w:color w:val="000000" w:themeColor="text1"/>
          <w:sz w:val="24"/>
          <w14:textFill>
            <w14:solidFill>
              <w14:schemeClr w14:val="tx1"/>
            </w14:solidFill>
          </w14:textFill>
        </w:rPr>
        <w:t xml:space="preserve">2.1. </w:t>
      </w:r>
      <w:r>
        <w:rPr>
          <w:rFonts w:hint="eastAsia"/>
          <w:color w:val="000000" w:themeColor="text1"/>
          <w:sz w:val="24"/>
          <w14:textFill>
            <w14:solidFill>
              <w14:schemeClr w14:val="tx1"/>
            </w14:solidFill>
          </w14:textFill>
        </w:rPr>
        <w:t>投标文件的语言</w:t>
      </w:r>
    </w:p>
    <w:p>
      <w:pPr>
        <w:spacing w:line="440" w:lineRule="exact"/>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1</w:t>
      </w:r>
      <w:r>
        <w:rPr>
          <w:rFonts w:hint="eastAsia"/>
          <w:color w:val="000000" w:themeColor="text1"/>
          <w:sz w:val="24"/>
          <w14:textFill>
            <w14:solidFill>
              <w14:schemeClr w14:val="tx1"/>
            </w14:solidFill>
          </w14:textFill>
        </w:rPr>
        <w:t>）投标文件及来往函件均应使用中文。</w:t>
      </w:r>
    </w:p>
    <w:p>
      <w:pPr>
        <w:spacing w:line="440" w:lineRule="exact"/>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2</w:t>
      </w:r>
      <w:r>
        <w:rPr>
          <w:rFonts w:hint="eastAsia"/>
          <w:color w:val="000000" w:themeColor="text1"/>
          <w:sz w:val="24"/>
          <w14:textFill>
            <w14:solidFill>
              <w14:schemeClr w14:val="tx1"/>
            </w14:solidFill>
          </w14:textFill>
        </w:rPr>
        <w:t>）授权文件、产品说明书、样本等非中文材料，其中的要点应附有中文译文。</w:t>
      </w:r>
    </w:p>
    <w:p>
      <w:pPr>
        <w:spacing w:line="440" w:lineRule="exact"/>
        <w:ind w:firstLine="482" w:firstLineChars="200"/>
        <w:rPr>
          <w:color w:val="000000" w:themeColor="text1"/>
          <w:sz w:val="24"/>
          <w14:textFill>
            <w14:solidFill>
              <w14:schemeClr w14:val="tx1"/>
            </w14:solidFill>
          </w14:textFill>
        </w:rPr>
      </w:pPr>
      <w:r>
        <w:rPr>
          <w:b/>
          <w:color w:val="000000" w:themeColor="text1"/>
          <w:sz w:val="24"/>
          <w14:textFill>
            <w14:solidFill>
              <w14:schemeClr w14:val="tx1"/>
            </w14:solidFill>
          </w14:textFill>
        </w:rPr>
        <w:t xml:space="preserve">2.2. </w:t>
      </w:r>
      <w:r>
        <w:rPr>
          <w:rFonts w:hint="eastAsia"/>
          <w:color w:val="000000" w:themeColor="text1"/>
          <w:sz w:val="24"/>
          <w14:textFill>
            <w14:solidFill>
              <w14:schemeClr w14:val="tx1"/>
            </w14:solidFill>
          </w14:textFill>
        </w:rPr>
        <w:t>投标文件的组成</w:t>
      </w:r>
    </w:p>
    <w:p>
      <w:pPr>
        <w:spacing w:line="360" w:lineRule="auto"/>
        <w:ind w:firstLine="480" w:firstLineChars="200"/>
        <w:rPr>
          <w:b/>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投标人编写的投标文件必须包括</w:t>
      </w:r>
      <w:r>
        <w:rPr>
          <w:rFonts w:hint="eastAsia"/>
          <w:b/>
          <w:color w:val="000000" w:themeColor="text1"/>
          <w:sz w:val="24"/>
          <w14:textFill>
            <w14:solidFill>
              <w14:schemeClr w14:val="tx1"/>
            </w14:solidFill>
          </w14:textFill>
        </w:rPr>
        <w:t>商务文件、技术文件</w:t>
      </w:r>
      <w:r>
        <w:rPr>
          <w:rFonts w:hint="eastAsia"/>
          <w:color w:val="000000" w:themeColor="text1"/>
          <w:sz w:val="24"/>
          <w14:textFill>
            <w14:solidFill>
              <w14:schemeClr w14:val="tx1"/>
            </w14:solidFill>
          </w14:textFill>
        </w:rPr>
        <w:t>和</w:t>
      </w:r>
      <w:r>
        <w:rPr>
          <w:rFonts w:hint="eastAsia"/>
          <w:b/>
          <w:color w:val="000000" w:themeColor="text1"/>
          <w:sz w:val="24"/>
          <w14:textFill>
            <w14:solidFill>
              <w14:schemeClr w14:val="tx1"/>
            </w14:solidFill>
          </w14:textFill>
        </w:rPr>
        <w:t>资格证明文件</w:t>
      </w:r>
      <w:r>
        <w:rPr>
          <w:rFonts w:hint="eastAsia"/>
          <w:color w:val="000000" w:themeColor="text1"/>
          <w:sz w:val="24"/>
          <w14:textFill>
            <w14:solidFill>
              <w14:schemeClr w14:val="tx1"/>
            </w14:solidFill>
          </w14:textFill>
        </w:rPr>
        <w:t>。</w:t>
      </w:r>
    </w:p>
    <w:p>
      <w:pPr>
        <w:spacing w:line="440" w:lineRule="exact"/>
        <w:ind w:firstLine="482" w:firstLineChars="200"/>
        <w:rPr>
          <w:b/>
          <w:color w:val="000000" w:themeColor="text1"/>
          <w:sz w:val="24"/>
          <w14:textFill>
            <w14:solidFill>
              <w14:schemeClr w14:val="tx1"/>
            </w14:solidFill>
          </w14:textFill>
        </w:rPr>
      </w:pPr>
      <w:r>
        <w:rPr>
          <w:rFonts w:hint="eastAsia"/>
          <w:b/>
          <w:color w:val="000000" w:themeColor="text1"/>
          <w:sz w:val="24"/>
          <w14:textFill>
            <w14:solidFill>
              <w14:schemeClr w14:val="tx1"/>
            </w14:solidFill>
          </w14:textFill>
        </w:rPr>
        <w:t>商务文件（报价）：</w:t>
      </w:r>
    </w:p>
    <w:p>
      <w:pPr>
        <w:spacing w:line="360" w:lineRule="auto"/>
        <w:ind w:firstLine="480" w:firstLineChars="200"/>
        <w:rPr>
          <w:color w:val="000000"/>
          <w:sz w:val="24"/>
          <w:szCs w:val="24"/>
        </w:rPr>
      </w:pPr>
      <w:r>
        <w:rPr>
          <w:rFonts w:hint="eastAsia" w:cs="宋体"/>
          <w:color w:val="000000"/>
          <w:sz w:val="24"/>
          <w:szCs w:val="24"/>
        </w:rPr>
        <w:t>（</w:t>
      </w:r>
      <w:r>
        <w:rPr>
          <w:color w:val="000000"/>
          <w:sz w:val="24"/>
          <w:szCs w:val="24"/>
        </w:rPr>
        <w:t>1</w:t>
      </w:r>
      <w:r>
        <w:rPr>
          <w:rFonts w:hint="eastAsia" w:cs="宋体"/>
          <w:color w:val="000000"/>
          <w:sz w:val="24"/>
          <w:szCs w:val="24"/>
        </w:rPr>
        <w:t>）投标函（格式见附件</w:t>
      </w:r>
      <w:r>
        <w:rPr>
          <w:color w:val="000000"/>
          <w:sz w:val="24"/>
          <w:szCs w:val="24"/>
        </w:rPr>
        <w:t>1</w:t>
      </w:r>
      <w:r>
        <w:rPr>
          <w:rFonts w:hint="eastAsia" w:cs="宋体"/>
          <w:color w:val="000000"/>
          <w:sz w:val="24"/>
          <w:szCs w:val="24"/>
        </w:rPr>
        <w:t>）</w:t>
      </w:r>
    </w:p>
    <w:p>
      <w:pPr>
        <w:spacing w:line="360" w:lineRule="auto"/>
        <w:ind w:firstLine="480" w:firstLineChars="200"/>
        <w:rPr>
          <w:color w:val="000000"/>
          <w:sz w:val="24"/>
          <w:szCs w:val="24"/>
        </w:rPr>
      </w:pPr>
      <w:r>
        <w:rPr>
          <w:rFonts w:hint="eastAsia" w:cs="宋体"/>
          <w:color w:val="000000"/>
          <w:sz w:val="24"/>
          <w:szCs w:val="24"/>
        </w:rPr>
        <w:t>（</w:t>
      </w:r>
      <w:r>
        <w:rPr>
          <w:color w:val="000000"/>
          <w:sz w:val="24"/>
          <w:szCs w:val="24"/>
        </w:rPr>
        <w:t>2</w:t>
      </w:r>
      <w:r>
        <w:rPr>
          <w:rFonts w:hint="eastAsia" w:cs="宋体"/>
          <w:color w:val="000000"/>
          <w:sz w:val="24"/>
          <w:szCs w:val="24"/>
        </w:rPr>
        <w:t>）投标报价总表（格式见附件</w:t>
      </w:r>
      <w:r>
        <w:rPr>
          <w:rFonts w:hint="eastAsia"/>
          <w:color w:val="000000"/>
          <w:sz w:val="24"/>
          <w:szCs w:val="24"/>
        </w:rPr>
        <w:t>4</w:t>
      </w:r>
      <w:r>
        <w:rPr>
          <w:rFonts w:hint="eastAsia" w:cs="宋体"/>
          <w:color w:val="000000"/>
          <w:sz w:val="24"/>
          <w:szCs w:val="24"/>
        </w:rPr>
        <w:t>）</w:t>
      </w:r>
    </w:p>
    <w:p>
      <w:pPr>
        <w:pStyle w:val="42"/>
        <w:spacing w:line="440" w:lineRule="exact"/>
        <w:ind w:left="120" w:firstLine="361" w:firstLineChars="150"/>
        <w:rPr>
          <w:color w:val="000000" w:themeColor="text1"/>
          <w:sz w:val="24"/>
          <w14:textFill>
            <w14:solidFill>
              <w14:schemeClr w14:val="tx1"/>
            </w14:solidFill>
          </w14:textFill>
        </w:rPr>
      </w:pPr>
      <w:r>
        <w:rPr>
          <w:rFonts w:hint="eastAsia"/>
          <w:b/>
          <w:color w:val="000000" w:themeColor="text1"/>
          <w:sz w:val="24"/>
          <w14:textFill>
            <w14:solidFill>
              <w14:schemeClr w14:val="tx1"/>
            </w14:solidFill>
          </w14:textFill>
        </w:rPr>
        <w:t>技术文件</w:t>
      </w:r>
      <w:r>
        <w:rPr>
          <w:rFonts w:hint="eastAsia"/>
          <w:color w:val="000000" w:themeColor="text1"/>
          <w:sz w:val="24"/>
          <w14:textFill>
            <w14:solidFill>
              <w14:schemeClr w14:val="tx1"/>
            </w14:solidFill>
          </w14:textFill>
        </w:rPr>
        <w:t>包括以下部分：</w:t>
      </w:r>
    </w:p>
    <w:p>
      <w:pPr>
        <w:numPr>
          <w:ilvl w:val="0"/>
          <w:numId w:val="2"/>
        </w:numPr>
        <w:spacing w:line="440" w:lineRule="exact"/>
        <w:ind w:left="482"/>
        <w:rPr>
          <w:color w:val="000000" w:themeColor="text1"/>
          <w:sz w:val="24"/>
          <w14:textFill>
            <w14:solidFill>
              <w14:schemeClr w14:val="tx1"/>
            </w14:solidFill>
          </w14:textFill>
        </w:rPr>
      </w:pPr>
      <w:r>
        <w:rPr>
          <w:color w:val="000000" w:themeColor="text1"/>
          <w:sz w:val="24"/>
          <w14:textFill>
            <w14:solidFill>
              <w14:schemeClr w14:val="tx1"/>
            </w14:solidFill>
          </w14:textFill>
        </w:rPr>
        <w:t>投标资料与页码对照表</w:t>
      </w:r>
      <w:r>
        <w:rPr>
          <w:rFonts w:hint="eastAsia"/>
          <w:color w:val="000000" w:themeColor="text1"/>
          <w:sz w:val="24"/>
          <w14:textFill>
            <w14:solidFill>
              <w14:schemeClr w14:val="tx1"/>
            </w14:solidFill>
          </w14:textFill>
        </w:rPr>
        <w:t>（格式见附件2）</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（2）售后服务承诺书或技术协议书</w:t>
      </w:r>
    </w:p>
    <w:p>
      <w:pPr>
        <w:spacing w:line="360" w:lineRule="auto"/>
        <w:ind w:firstLine="480" w:firstLineChars="200"/>
        <w:rPr>
          <w:color w:val="FF0000"/>
          <w:sz w:val="24"/>
        </w:rPr>
      </w:pPr>
      <w:r>
        <w:rPr>
          <w:rFonts w:hint="eastAsia"/>
          <w:color w:val="000000" w:themeColor="text1"/>
          <w:sz w:val="24"/>
          <w14:textFill>
            <w14:solidFill>
              <w14:schemeClr w14:val="tx1"/>
            </w14:solidFill>
          </w14:textFill>
        </w:rPr>
        <w:t>（3）投标人2017年1月至今与本次招标服务同类产品的运营服务业绩（</w:t>
      </w:r>
      <w:r>
        <w:rPr>
          <w:rFonts w:hint="eastAsia"/>
          <w:color w:val="000000" w:themeColor="text1"/>
          <w:sz w:val="24"/>
          <w:lang w:val="en-US" w:eastAsia="zh-CN"/>
          <w14:textFill>
            <w14:solidFill>
              <w14:schemeClr w14:val="tx1"/>
            </w14:solidFill>
          </w14:textFill>
        </w:rPr>
        <w:t>4</w:t>
      </w:r>
      <w:r>
        <w:rPr>
          <w:rFonts w:hint="eastAsia"/>
          <w:color w:val="000000" w:themeColor="text1"/>
          <w:sz w:val="24"/>
          <w14:textFill>
            <w14:solidFill>
              <w14:schemeClr w14:val="tx1"/>
            </w14:solidFill>
          </w14:textFill>
        </w:rPr>
        <w:t>套合同复印件，原件备查）（格式见附件3）</w:t>
      </w:r>
    </w:p>
    <w:p>
      <w:pPr>
        <w:spacing w:line="360" w:lineRule="auto"/>
        <w:ind w:firstLine="480" w:firstLineChars="200"/>
        <w:rPr>
          <w:b/>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（4）投标产品宣传彩页、合格文件、技术方案等</w:t>
      </w:r>
    </w:p>
    <w:p>
      <w:pPr>
        <w:spacing w:line="440" w:lineRule="exact"/>
        <w:ind w:left="482"/>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（5）</w:t>
      </w:r>
      <w:r>
        <w:rPr>
          <w:color w:val="000000" w:themeColor="text1"/>
          <w:sz w:val="24"/>
          <w14:textFill>
            <w14:solidFill>
              <w14:schemeClr w14:val="tx1"/>
            </w14:solidFill>
          </w14:textFill>
        </w:rPr>
        <w:t>投标单位认为应该提供的其他</w:t>
      </w:r>
      <w:r>
        <w:rPr>
          <w:rFonts w:hint="eastAsia"/>
          <w:color w:val="000000" w:themeColor="text1"/>
          <w:sz w:val="24"/>
          <w14:textFill>
            <w14:solidFill>
              <w14:schemeClr w14:val="tx1"/>
            </w14:solidFill>
          </w14:textFill>
        </w:rPr>
        <w:t>材料</w:t>
      </w:r>
    </w:p>
    <w:p>
      <w:pPr>
        <w:spacing w:line="360" w:lineRule="auto"/>
        <w:ind w:firstLine="482" w:firstLineChars="200"/>
        <w:rPr>
          <w:b/>
          <w:bCs/>
          <w:color w:val="000000"/>
          <w:sz w:val="24"/>
          <w:szCs w:val="24"/>
        </w:rPr>
      </w:pPr>
      <w:r>
        <w:rPr>
          <w:rFonts w:hint="eastAsia" w:cs="宋体"/>
          <w:b/>
          <w:bCs/>
          <w:color w:val="000000"/>
          <w:sz w:val="24"/>
          <w:szCs w:val="24"/>
        </w:rPr>
        <w:t>资格证明文件：</w:t>
      </w:r>
    </w:p>
    <w:p>
      <w:pPr>
        <w:spacing w:line="360" w:lineRule="auto"/>
        <w:ind w:firstLine="480" w:firstLineChars="200"/>
        <w:rPr>
          <w:color w:val="000000"/>
          <w:sz w:val="24"/>
          <w:szCs w:val="24"/>
        </w:rPr>
      </w:pPr>
      <w:r>
        <w:rPr>
          <w:rFonts w:hint="eastAsia" w:cs="宋体"/>
          <w:color w:val="000000"/>
          <w:sz w:val="24"/>
          <w:szCs w:val="24"/>
        </w:rPr>
        <w:t>（</w:t>
      </w:r>
      <w:r>
        <w:rPr>
          <w:color w:val="000000"/>
          <w:sz w:val="24"/>
          <w:szCs w:val="24"/>
        </w:rPr>
        <w:t>1</w:t>
      </w:r>
      <w:r>
        <w:rPr>
          <w:rFonts w:hint="eastAsia" w:cs="宋体"/>
          <w:color w:val="000000"/>
          <w:sz w:val="24"/>
          <w:szCs w:val="24"/>
        </w:rPr>
        <w:t>）营业执照复印件（复印件加盖单位公章）</w:t>
      </w:r>
    </w:p>
    <w:p>
      <w:pPr>
        <w:spacing w:line="360" w:lineRule="auto"/>
        <w:ind w:firstLine="480" w:firstLineChars="200"/>
        <w:rPr>
          <w:color w:val="000000"/>
          <w:sz w:val="24"/>
          <w:szCs w:val="24"/>
        </w:rPr>
      </w:pPr>
      <w:r>
        <w:rPr>
          <w:rFonts w:hint="eastAsia" w:cs="宋体"/>
          <w:color w:val="000000"/>
          <w:sz w:val="24"/>
          <w:szCs w:val="24"/>
        </w:rPr>
        <w:t>（</w:t>
      </w:r>
      <w:r>
        <w:rPr>
          <w:color w:val="000000"/>
          <w:sz w:val="24"/>
          <w:szCs w:val="24"/>
        </w:rPr>
        <w:t>2</w:t>
      </w:r>
      <w:r>
        <w:rPr>
          <w:rFonts w:hint="eastAsia" w:cs="宋体"/>
          <w:color w:val="000000"/>
          <w:sz w:val="24"/>
          <w:szCs w:val="24"/>
        </w:rPr>
        <w:t>）法定代表人资格证明（格式见附件</w:t>
      </w:r>
      <w:r>
        <w:rPr>
          <w:rFonts w:hint="eastAsia"/>
          <w:color w:val="000000"/>
          <w:sz w:val="24"/>
          <w:szCs w:val="24"/>
        </w:rPr>
        <w:t>5</w:t>
      </w:r>
      <w:r>
        <w:rPr>
          <w:rFonts w:hint="eastAsia" w:cs="宋体"/>
          <w:color w:val="000000"/>
          <w:sz w:val="24"/>
          <w:szCs w:val="24"/>
        </w:rPr>
        <w:t>）</w:t>
      </w:r>
    </w:p>
    <w:p>
      <w:pPr>
        <w:spacing w:line="360" w:lineRule="auto"/>
        <w:ind w:firstLine="480" w:firstLineChars="200"/>
        <w:rPr>
          <w:color w:val="000000"/>
          <w:sz w:val="24"/>
          <w:szCs w:val="24"/>
        </w:rPr>
      </w:pPr>
      <w:r>
        <w:rPr>
          <w:rFonts w:hint="eastAsia" w:cs="宋体"/>
          <w:color w:val="000000"/>
          <w:sz w:val="24"/>
          <w:szCs w:val="24"/>
        </w:rPr>
        <w:t>（</w:t>
      </w:r>
      <w:r>
        <w:rPr>
          <w:color w:val="000000"/>
          <w:sz w:val="24"/>
          <w:szCs w:val="24"/>
        </w:rPr>
        <w:t>3</w:t>
      </w:r>
      <w:r>
        <w:rPr>
          <w:rFonts w:hint="eastAsia" w:cs="宋体"/>
          <w:color w:val="000000"/>
          <w:sz w:val="24"/>
          <w:szCs w:val="24"/>
        </w:rPr>
        <w:t>）法定代表人授权书（格式见附件6）</w:t>
      </w:r>
    </w:p>
    <w:p>
      <w:pPr>
        <w:spacing w:line="440" w:lineRule="exact"/>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（4）授权代表</w:t>
      </w:r>
      <w:r>
        <w:rPr>
          <w:rFonts w:hint="eastAsia"/>
          <w:color w:val="000000" w:themeColor="text1"/>
          <w:sz w:val="24"/>
          <w:lang w:val="en-US" w:eastAsia="zh-CN"/>
          <w14:textFill>
            <w14:solidFill>
              <w14:schemeClr w14:val="tx1"/>
            </w14:solidFill>
          </w14:textFill>
        </w:rPr>
        <w:t>2020年1月以来</w:t>
      </w:r>
      <w:r>
        <w:rPr>
          <w:rFonts w:hint="eastAsia"/>
          <w:color w:val="000000" w:themeColor="text1"/>
          <w:sz w:val="24"/>
          <w14:textFill>
            <w14:solidFill>
              <w14:schemeClr w14:val="tx1"/>
            </w14:solidFill>
          </w14:textFill>
        </w:rPr>
        <w:t>任意一个月在所在投标单位依法缴纳社会保障金的相关证明材料（税务、银行或社会保险基金管理部门出具）；</w:t>
      </w:r>
    </w:p>
    <w:p>
      <w:pPr>
        <w:spacing w:line="440" w:lineRule="exact"/>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（5）投标人</w:t>
      </w:r>
      <w:r>
        <w:rPr>
          <w:rFonts w:hint="eastAsia"/>
          <w:color w:val="000000" w:themeColor="text1"/>
          <w:sz w:val="24"/>
          <w:lang w:val="en-US" w:eastAsia="zh-CN"/>
          <w14:textFill>
            <w14:solidFill>
              <w14:schemeClr w14:val="tx1"/>
            </w14:solidFill>
          </w14:textFill>
        </w:rPr>
        <w:t>2020年1月以来</w:t>
      </w:r>
      <w:r>
        <w:rPr>
          <w:rFonts w:hint="eastAsia"/>
          <w:color w:val="000000" w:themeColor="text1"/>
          <w:sz w:val="24"/>
          <w14:textFill>
            <w14:solidFill>
              <w14:schemeClr w14:val="tx1"/>
            </w14:solidFill>
          </w14:textFill>
        </w:rPr>
        <w:t>任意一个月依法缴纳税收的相关证明材料。</w:t>
      </w:r>
    </w:p>
    <w:p>
      <w:pPr>
        <w:spacing w:line="360" w:lineRule="auto"/>
        <w:ind w:firstLine="482" w:firstLineChars="200"/>
      </w:pPr>
      <w:r>
        <w:rPr>
          <w:rFonts w:hint="eastAsia" w:cs="宋体"/>
          <w:b/>
          <w:bCs/>
          <w:color w:val="000000"/>
          <w:sz w:val="24"/>
          <w:szCs w:val="24"/>
        </w:rPr>
        <w:t>以上资格证明文件的复印件均需加盖投标人公章。</w:t>
      </w:r>
    </w:p>
    <w:p>
      <w:pPr>
        <w:spacing w:line="440" w:lineRule="exact"/>
        <w:ind w:firstLine="590" w:firstLineChars="245"/>
        <w:rPr>
          <w:b/>
          <w:color w:val="000000" w:themeColor="text1"/>
          <w:sz w:val="24"/>
          <w14:textFill>
            <w14:solidFill>
              <w14:schemeClr w14:val="tx1"/>
            </w14:solidFill>
          </w14:textFill>
        </w:rPr>
      </w:pPr>
      <w:bookmarkStart w:id="7" w:name="_Toc15042568"/>
      <w:r>
        <w:rPr>
          <w:b/>
          <w:color w:val="000000" w:themeColor="text1"/>
          <w:sz w:val="24"/>
          <w14:textFill>
            <w14:solidFill>
              <w14:schemeClr w14:val="tx1"/>
            </w14:solidFill>
          </w14:textFill>
        </w:rPr>
        <w:t xml:space="preserve">2.3. </w:t>
      </w:r>
      <w:r>
        <w:rPr>
          <w:rFonts w:hint="eastAsia"/>
          <w:color w:val="000000" w:themeColor="text1"/>
          <w:sz w:val="24"/>
          <w14:textFill>
            <w14:solidFill>
              <w14:schemeClr w14:val="tx1"/>
            </w14:solidFill>
          </w14:textFill>
        </w:rPr>
        <w:t>投标文件的形式及签署</w:t>
      </w:r>
    </w:p>
    <w:p>
      <w:pPr>
        <w:spacing w:line="440" w:lineRule="exact"/>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1</w:t>
      </w:r>
      <w:r>
        <w:rPr>
          <w:rFonts w:hint="eastAsia"/>
          <w:color w:val="000000" w:themeColor="text1"/>
          <w:sz w:val="24"/>
          <w14:textFill>
            <w14:solidFill>
              <w14:schemeClr w14:val="tx1"/>
            </w14:solidFill>
          </w14:textFill>
        </w:rPr>
        <w:t>）投标人需提交商务文件（报价）正、副本各</w:t>
      </w:r>
      <w:r>
        <w:rPr>
          <w:color w:val="000000" w:themeColor="text1"/>
          <w:sz w:val="24"/>
          <w14:textFill>
            <w14:solidFill>
              <w14:schemeClr w14:val="tx1"/>
            </w14:solidFill>
          </w14:textFill>
        </w:rPr>
        <w:t>1</w:t>
      </w:r>
      <w:r>
        <w:rPr>
          <w:rFonts w:hint="eastAsia"/>
          <w:color w:val="000000" w:themeColor="text1"/>
          <w:sz w:val="24"/>
          <w14:textFill>
            <w14:solidFill>
              <w14:schemeClr w14:val="tx1"/>
            </w14:solidFill>
          </w14:textFill>
        </w:rPr>
        <w:t>份；技术文件正本</w:t>
      </w:r>
      <w:r>
        <w:rPr>
          <w:color w:val="000000" w:themeColor="text1"/>
          <w:sz w:val="24"/>
          <w14:textFill>
            <w14:solidFill>
              <w14:schemeClr w14:val="tx1"/>
            </w14:solidFill>
          </w14:textFill>
        </w:rPr>
        <w:t>1</w:t>
      </w:r>
      <w:r>
        <w:rPr>
          <w:rFonts w:hint="eastAsia"/>
          <w:color w:val="000000" w:themeColor="text1"/>
          <w:sz w:val="24"/>
          <w14:textFill>
            <w14:solidFill>
              <w14:schemeClr w14:val="tx1"/>
            </w14:solidFill>
          </w14:textFill>
        </w:rPr>
        <w:t>份、副本2份；资格证明文件正本</w:t>
      </w:r>
      <w:r>
        <w:rPr>
          <w:color w:val="000000" w:themeColor="text1"/>
          <w:sz w:val="24"/>
          <w14:textFill>
            <w14:solidFill>
              <w14:schemeClr w14:val="tx1"/>
            </w14:solidFill>
          </w14:textFill>
        </w:rPr>
        <w:t>1</w:t>
      </w:r>
      <w:r>
        <w:rPr>
          <w:rFonts w:hint="eastAsia"/>
          <w:color w:val="000000" w:themeColor="text1"/>
          <w:sz w:val="24"/>
          <w14:textFill>
            <w14:solidFill>
              <w14:schemeClr w14:val="tx1"/>
            </w14:solidFill>
          </w14:textFill>
        </w:rPr>
        <w:t>份，副本2份。</w:t>
      </w:r>
      <w:r>
        <w:rPr>
          <w:rFonts w:hint="eastAsia"/>
          <w:b/>
          <w:color w:val="000000" w:themeColor="text1"/>
          <w:sz w:val="24"/>
          <w14:textFill>
            <w14:solidFill>
              <w14:schemeClr w14:val="tx1"/>
            </w14:solidFill>
          </w14:textFill>
        </w:rPr>
        <w:t>投标文件的封面上</w:t>
      </w:r>
      <w:r>
        <w:rPr>
          <w:rFonts w:hint="eastAsia"/>
          <w:color w:val="000000" w:themeColor="text1"/>
          <w:sz w:val="24"/>
          <w14:textFill>
            <w14:solidFill>
              <w14:schemeClr w14:val="tx1"/>
            </w14:solidFill>
          </w14:textFill>
        </w:rPr>
        <w:t>明确标明商务文件（报价）、技术文件和资格证明文件以及正本和副本。如投标文件正本与副本有不同之处，以正本为准。</w:t>
      </w:r>
    </w:p>
    <w:p>
      <w:pPr>
        <w:spacing w:line="440" w:lineRule="exact"/>
        <w:ind w:firstLine="482" w:firstLineChars="200"/>
        <w:rPr>
          <w:rFonts w:ascii="黑体" w:hAnsi="黑体" w:eastAsia="黑体"/>
          <w:b/>
          <w:color w:val="000000" w:themeColor="text1"/>
          <w:sz w:val="24"/>
          <w14:textFill>
            <w14:solidFill>
              <w14:schemeClr w14:val="tx1"/>
            </w14:solidFill>
          </w14:textFill>
        </w:rPr>
      </w:pPr>
      <w:r>
        <w:rPr>
          <w:rFonts w:hint="eastAsia" w:ascii="黑体" w:hAnsi="黑体" w:eastAsia="黑体"/>
          <w:b/>
          <w:color w:val="000000" w:themeColor="text1"/>
          <w:sz w:val="24"/>
          <w14:textFill>
            <w14:solidFill>
              <w14:schemeClr w14:val="tx1"/>
            </w14:solidFill>
          </w14:textFill>
        </w:rPr>
        <w:t>（</w:t>
      </w:r>
      <w:r>
        <w:rPr>
          <w:rFonts w:ascii="黑体" w:hAnsi="黑体" w:eastAsia="黑体"/>
          <w:b/>
          <w:color w:val="000000" w:themeColor="text1"/>
          <w:sz w:val="24"/>
          <w14:textFill>
            <w14:solidFill>
              <w14:schemeClr w14:val="tx1"/>
            </w14:solidFill>
          </w14:textFill>
        </w:rPr>
        <w:t>2</w:t>
      </w:r>
      <w:r>
        <w:rPr>
          <w:rFonts w:hint="eastAsia" w:ascii="黑体" w:hAnsi="黑体" w:eastAsia="黑体"/>
          <w:b/>
          <w:color w:val="000000" w:themeColor="text1"/>
          <w:sz w:val="24"/>
          <w14:textFill>
            <w14:solidFill>
              <w14:schemeClr w14:val="tx1"/>
            </w14:solidFill>
          </w14:textFill>
        </w:rPr>
        <w:t>）商务文件（报价）、技术文件和资格证明文件须分开独立包装，即：分别装在三个纸袋里。</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3</w:t>
      </w:r>
      <w:r>
        <w:rPr>
          <w:rFonts w:hint="eastAsia"/>
          <w:color w:val="000000" w:themeColor="text1"/>
          <w:sz w:val="24"/>
          <w14:textFill>
            <w14:solidFill>
              <w14:schemeClr w14:val="tx1"/>
            </w14:solidFill>
          </w14:textFill>
        </w:rPr>
        <w:t>）投标文件正本与副本均应使用</w:t>
      </w:r>
      <w:r>
        <w:rPr>
          <w:color w:val="000000" w:themeColor="text1"/>
          <w:sz w:val="24"/>
          <w14:textFill>
            <w14:solidFill>
              <w14:schemeClr w14:val="tx1"/>
            </w14:solidFill>
          </w14:textFill>
        </w:rPr>
        <w:t>A4</w:t>
      </w:r>
      <w:r>
        <w:rPr>
          <w:rFonts w:hint="eastAsia"/>
          <w:color w:val="000000" w:themeColor="text1"/>
          <w:sz w:val="24"/>
          <w14:textFill>
            <w14:solidFill>
              <w14:schemeClr w14:val="tx1"/>
            </w14:solidFill>
          </w14:textFill>
        </w:rPr>
        <w:t>型纸打印并</w:t>
      </w:r>
      <w:r>
        <w:rPr>
          <w:rFonts w:hint="eastAsia"/>
          <w:b/>
          <w:bCs/>
          <w:color w:val="000000" w:themeColor="text1"/>
          <w:sz w:val="24"/>
          <w14:textFill>
            <w14:solidFill>
              <w14:schemeClr w14:val="tx1"/>
            </w14:solidFill>
          </w14:textFill>
        </w:rPr>
        <w:t>胶印装订</w:t>
      </w:r>
      <w:r>
        <w:rPr>
          <w:rFonts w:hint="eastAsia"/>
          <w:color w:val="000000" w:themeColor="text1"/>
          <w:sz w:val="24"/>
          <w14:textFill>
            <w14:solidFill>
              <w14:schemeClr w14:val="tx1"/>
            </w14:solidFill>
          </w14:textFill>
        </w:rPr>
        <w:t>。</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4</w:t>
      </w:r>
      <w:r>
        <w:rPr>
          <w:rFonts w:hint="eastAsia"/>
          <w:color w:val="000000" w:themeColor="text1"/>
          <w:sz w:val="24"/>
          <w14:textFill>
            <w14:solidFill>
              <w14:schemeClr w14:val="tx1"/>
            </w14:solidFill>
          </w14:textFill>
        </w:rPr>
        <w:t>）投标文件不应有涂改、增删之处，但如有错误必须修改时，修改处必须由原授权代表签署。</w:t>
      </w:r>
    </w:p>
    <w:p>
      <w:pPr>
        <w:spacing w:line="360" w:lineRule="auto"/>
        <w:ind w:firstLine="472" w:firstLineChars="196"/>
        <w:rPr>
          <w:b/>
          <w:color w:val="000000" w:themeColor="text1"/>
          <w:sz w:val="24"/>
          <w14:textFill>
            <w14:solidFill>
              <w14:schemeClr w14:val="tx1"/>
            </w14:solidFill>
          </w14:textFill>
        </w:rPr>
      </w:pPr>
      <w:r>
        <w:rPr>
          <w:b/>
          <w:color w:val="000000" w:themeColor="text1"/>
          <w:sz w:val="24"/>
          <w14:textFill>
            <w14:solidFill>
              <w14:schemeClr w14:val="tx1"/>
            </w14:solidFill>
          </w14:textFill>
        </w:rPr>
        <w:t>2.</w:t>
      </w:r>
      <w:r>
        <w:rPr>
          <w:rFonts w:hint="eastAsia"/>
          <w:b/>
          <w:color w:val="000000" w:themeColor="text1"/>
          <w:sz w:val="24"/>
          <w14:textFill>
            <w14:solidFill>
              <w14:schemeClr w14:val="tx1"/>
            </w14:solidFill>
          </w14:textFill>
        </w:rPr>
        <w:t>4</w:t>
      </w:r>
      <w:r>
        <w:rPr>
          <w:b/>
          <w:color w:val="000000" w:themeColor="text1"/>
          <w:sz w:val="24"/>
          <w14:textFill>
            <w14:solidFill>
              <w14:schemeClr w14:val="tx1"/>
            </w14:solidFill>
          </w14:textFill>
        </w:rPr>
        <w:t xml:space="preserve">. </w:t>
      </w:r>
      <w:r>
        <w:rPr>
          <w:rFonts w:hint="eastAsia"/>
          <w:color w:val="000000" w:themeColor="text1"/>
          <w:sz w:val="24"/>
          <w14:textFill>
            <w14:solidFill>
              <w14:schemeClr w14:val="tx1"/>
            </w14:solidFill>
          </w14:textFill>
        </w:rPr>
        <w:t>投标文件的密封和标记</w:t>
      </w:r>
    </w:p>
    <w:p>
      <w:pPr>
        <w:spacing w:line="360" w:lineRule="auto"/>
        <w:ind w:firstLine="470" w:firstLineChars="196"/>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投标人应将投标文件用封套加以密封，在封口处粘贴密封条，盖骑缝公章，并在封套上标明：</w:t>
      </w:r>
    </w:p>
    <w:p>
      <w:pPr>
        <w:spacing w:line="360" w:lineRule="auto"/>
        <w:ind w:firstLine="960" w:firstLineChars="4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1</w:t>
      </w:r>
      <w:r>
        <w:rPr>
          <w:rFonts w:hint="eastAsia"/>
          <w:color w:val="000000" w:themeColor="text1"/>
          <w:sz w:val="24"/>
          <w14:textFill>
            <w14:solidFill>
              <w14:schemeClr w14:val="tx1"/>
            </w14:solidFill>
          </w14:textFill>
        </w:rPr>
        <w:t>）收件人：南通大学招投标管理办公室</w:t>
      </w:r>
    </w:p>
    <w:p>
      <w:pPr>
        <w:spacing w:line="360" w:lineRule="auto"/>
        <w:ind w:firstLine="960" w:firstLineChars="4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2</w:t>
      </w:r>
      <w:r>
        <w:rPr>
          <w:rFonts w:hint="eastAsia"/>
          <w:color w:val="000000" w:themeColor="text1"/>
          <w:sz w:val="24"/>
          <w14:textFill>
            <w14:solidFill>
              <w14:schemeClr w14:val="tx1"/>
            </w14:solidFill>
          </w14:textFill>
        </w:rPr>
        <w:t>）招标项目编号：</w:t>
      </w:r>
    </w:p>
    <w:p>
      <w:pPr>
        <w:spacing w:line="360" w:lineRule="auto"/>
        <w:ind w:firstLine="960" w:firstLineChars="4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3</w:t>
      </w:r>
      <w:r>
        <w:rPr>
          <w:rFonts w:hint="eastAsia"/>
          <w:color w:val="000000" w:themeColor="text1"/>
          <w:sz w:val="24"/>
          <w14:textFill>
            <w14:solidFill>
              <w14:schemeClr w14:val="tx1"/>
            </w14:solidFill>
          </w14:textFill>
        </w:rPr>
        <w:t>）招标项目名称：</w:t>
      </w:r>
    </w:p>
    <w:p>
      <w:pPr>
        <w:spacing w:line="360" w:lineRule="auto"/>
        <w:ind w:firstLine="960" w:firstLineChars="4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4</w:t>
      </w:r>
      <w:r>
        <w:rPr>
          <w:rFonts w:hint="eastAsia"/>
          <w:color w:val="000000" w:themeColor="text1"/>
          <w:sz w:val="24"/>
          <w14:textFill>
            <w14:solidFill>
              <w14:schemeClr w14:val="tx1"/>
            </w14:solidFill>
          </w14:textFill>
        </w:rPr>
        <w:t>）投标人名称：</w:t>
      </w:r>
    </w:p>
    <w:p>
      <w:pPr>
        <w:spacing w:line="360" w:lineRule="auto"/>
        <w:ind w:firstLine="960" w:firstLineChars="4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5</w:t>
      </w:r>
      <w:r>
        <w:rPr>
          <w:rFonts w:hint="eastAsia"/>
          <w:color w:val="000000" w:themeColor="text1"/>
          <w:sz w:val="24"/>
          <w14:textFill>
            <w14:solidFill>
              <w14:schemeClr w14:val="tx1"/>
            </w14:solidFill>
          </w14:textFill>
        </w:rPr>
        <w:t>）联系电话（手机）：</w:t>
      </w:r>
    </w:p>
    <w:p>
      <w:pPr>
        <w:spacing w:line="360" w:lineRule="auto"/>
        <w:ind w:firstLine="960" w:firstLineChars="400"/>
        <w:rPr>
          <w:b/>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6</w:t>
      </w:r>
      <w:r>
        <w:rPr>
          <w:rFonts w:hint="eastAsia"/>
          <w:color w:val="000000" w:themeColor="text1"/>
          <w:sz w:val="24"/>
          <w14:textFill>
            <w14:solidFill>
              <w14:schemeClr w14:val="tx1"/>
            </w14:solidFill>
          </w14:textFill>
        </w:rPr>
        <w:t>）开标之前不得启封</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没有按上述规定密封和标记的投标文件，招标人将不承担投标文件错放或提前开启的责任。</w:t>
      </w:r>
    </w:p>
    <w:p>
      <w:pPr>
        <w:pStyle w:val="3"/>
        <w:rPr>
          <w:rFonts w:cs="Times New Roman"/>
        </w:rPr>
      </w:pPr>
      <w:r>
        <w:rPr>
          <w:rFonts w:hint="eastAsia" w:cs="宋体"/>
        </w:rPr>
        <w:t>三、投标细则</w:t>
      </w:r>
      <w:bookmarkEnd w:id="7"/>
    </w:p>
    <w:p>
      <w:pPr>
        <w:spacing w:line="360" w:lineRule="auto"/>
        <w:ind w:firstLine="472" w:firstLineChars="196"/>
        <w:rPr>
          <w:b/>
          <w:bCs/>
          <w:color w:val="000000" w:themeColor="text1"/>
          <w:sz w:val="24"/>
          <w:szCs w:val="24"/>
          <w14:textFill>
            <w14:solidFill>
              <w14:schemeClr w14:val="tx1"/>
            </w14:solidFill>
          </w14:textFill>
        </w:rPr>
      </w:pPr>
      <w:r>
        <w:rPr>
          <w:b/>
          <w:bCs/>
          <w:color w:val="000000" w:themeColor="text1"/>
          <w:sz w:val="24"/>
          <w:szCs w:val="24"/>
          <w14:textFill>
            <w14:solidFill>
              <w14:schemeClr w14:val="tx1"/>
            </w14:solidFill>
          </w14:textFill>
        </w:rPr>
        <w:t xml:space="preserve">3.1. </w:t>
      </w:r>
      <w:r>
        <w:rPr>
          <w:rFonts w:hint="eastAsia" w:cs="宋体"/>
          <w:b/>
          <w:bCs/>
          <w:color w:val="000000" w:themeColor="text1"/>
          <w:sz w:val="24"/>
          <w:szCs w:val="24"/>
          <w14:textFill>
            <w14:solidFill>
              <w14:schemeClr w14:val="tx1"/>
            </w14:solidFill>
          </w14:textFill>
        </w:rPr>
        <w:t>投标货物</w:t>
      </w:r>
    </w:p>
    <w:p>
      <w:pPr>
        <w:spacing w:line="360" w:lineRule="auto"/>
        <w:ind w:firstLine="472" w:firstLineChars="196"/>
        <w:rPr>
          <w:b/>
          <w:color w:val="000000" w:themeColor="text1"/>
          <w:sz w:val="24"/>
          <w14:textFill>
            <w14:solidFill>
              <w14:schemeClr w14:val="tx1"/>
            </w14:solidFill>
          </w14:textFill>
        </w:rPr>
      </w:pPr>
      <w:r>
        <w:rPr>
          <w:rFonts w:hint="eastAsia"/>
          <w:b/>
          <w:color w:val="000000" w:themeColor="text1"/>
          <w:sz w:val="24"/>
          <w14:textFill>
            <w14:solidFill>
              <w14:schemeClr w14:val="tx1"/>
            </w14:solidFill>
          </w14:textFill>
        </w:rPr>
        <w:t>投标方所提供的设备和材料须是国家合格产品，具有质量合格证及国家相关权威部门颁发的其它合格证书。中标人提供的所有设备材料都应是优质产品并为制造厂原厂新产品，中标人应提供有关制造商的质量认证证书复印件。交货时应提供产品质量合格证书、测试报告和主要设备材料的产地证书，如为进口产品，需提供原产地证明书及进关单。中标人对所提供的所有设备，应将与有关各厂商签约及有关技术合作、维修、服务、授权书等文件以副本等形式提供给用户一份，并作为系统验收必要条件之一。</w:t>
      </w:r>
    </w:p>
    <w:p>
      <w:pPr>
        <w:spacing w:line="360" w:lineRule="auto"/>
        <w:ind w:firstLine="472" w:firstLineChars="196"/>
        <w:rPr>
          <w:b/>
          <w:color w:val="000000" w:themeColor="text1"/>
          <w:sz w:val="24"/>
          <w14:textFill>
            <w14:solidFill>
              <w14:schemeClr w14:val="tx1"/>
            </w14:solidFill>
          </w14:textFill>
        </w:rPr>
      </w:pPr>
      <w:r>
        <w:rPr>
          <w:b/>
          <w:color w:val="000000" w:themeColor="text1"/>
          <w:sz w:val="24"/>
          <w14:textFill>
            <w14:solidFill>
              <w14:schemeClr w14:val="tx1"/>
            </w14:solidFill>
          </w14:textFill>
        </w:rPr>
        <w:t xml:space="preserve">3.2. </w:t>
      </w:r>
      <w:r>
        <w:rPr>
          <w:rFonts w:hint="eastAsia"/>
          <w:b/>
          <w:color w:val="000000" w:themeColor="text1"/>
          <w:sz w:val="24"/>
          <w14:textFill>
            <w14:solidFill>
              <w14:schemeClr w14:val="tx1"/>
            </w14:solidFill>
          </w14:textFill>
        </w:rPr>
        <w:t>投标报价</w:t>
      </w:r>
    </w:p>
    <w:p>
      <w:pPr>
        <w:spacing w:line="360" w:lineRule="auto"/>
        <w:ind w:firstLine="482" w:firstLineChars="200"/>
        <w:rPr>
          <w:b/>
          <w:bCs/>
          <w:color w:val="000000" w:themeColor="text1"/>
          <w:sz w:val="24"/>
          <w14:textFill>
            <w14:solidFill>
              <w14:schemeClr w14:val="tx1"/>
            </w14:solidFill>
          </w14:textFill>
        </w:rPr>
      </w:pPr>
      <w:r>
        <w:rPr>
          <w:rFonts w:hint="eastAsia"/>
          <w:b/>
          <w:bCs/>
          <w:color w:val="000000" w:themeColor="text1"/>
          <w:sz w:val="24"/>
          <w14:textFill>
            <w14:solidFill>
              <w14:schemeClr w14:val="tx1"/>
            </w14:solidFill>
          </w14:textFill>
        </w:rPr>
        <w:t>本次招标的合作时间是3年，投标人须认真进行效益分析和成本核算，合理报价。</w:t>
      </w:r>
    </w:p>
    <w:p>
      <w:pPr>
        <w:widowControl/>
        <w:spacing w:line="440" w:lineRule="exact"/>
        <w:ind w:firstLine="480" w:firstLineChars="200"/>
        <w:rPr>
          <w:color w:val="000000" w:themeColor="text1"/>
          <w:sz w:val="24"/>
          <w14:textFill>
            <w14:solidFill>
              <w14:schemeClr w14:val="tx1"/>
            </w14:solidFill>
          </w14:textFill>
        </w:rPr>
      </w:pPr>
      <w:bookmarkStart w:id="8" w:name="OLE_LINK50"/>
      <w:bookmarkStart w:id="9" w:name="OLE_LINK49"/>
      <w:r>
        <w:rPr>
          <w:color w:val="000000" w:themeColor="text1"/>
          <w:sz w:val="24"/>
          <w14:textFill>
            <w14:solidFill>
              <w14:schemeClr w14:val="tx1"/>
            </w14:solidFill>
          </w14:textFill>
        </w:rPr>
        <w:t>报价时应充分考虑所有可能影响到报价的因素，一旦</w:t>
      </w:r>
      <w:r>
        <w:rPr>
          <w:rFonts w:hint="eastAsia"/>
          <w:color w:val="000000" w:themeColor="text1"/>
          <w:sz w:val="24"/>
          <w14:textFill>
            <w14:solidFill>
              <w14:schemeClr w14:val="tx1"/>
            </w14:solidFill>
          </w14:textFill>
        </w:rPr>
        <w:t>招标</w:t>
      </w:r>
      <w:r>
        <w:rPr>
          <w:color w:val="000000" w:themeColor="text1"/>
          <w:sz w:val="24"/>
          <w14:textFill>
            <w14:solidFill>
              <w14:schemeClr w14:val="tx1"/>
            </w14:solidFill>
          </w14:textFill>
        </w:rPr>
        <w:t>结束最终</w:t>
      </w:r>
      <w:r>
        <w:rPr>
          <w:rFonts w:hint="eastAsia"/>
          <w:color w:val="000000" w:themeColor="text1"/>
          <w:sz w:val="24"/>
          <w14:textFill>
            <w14:solidFill>
              <w14:schemeClr w14:val="tx1"/>
            </w14:solidFill>
          </w14:textFill>
        </w:rPr>
        <w:t>中标</w:t>
      </w:r>
      <w:r>
        <w:rPr>
          <w:color w:val="000000" w:themeColor="text1"/>
          <w:sz w:val="24"/>
          <w14:textFill>
            <w14:solidFill>
              <w14:schemeClr w14:val="tx1"/>
            </w14:solidFill>
          </w14:textFill>
        </w:rPr>
        <w:t>，如发生漏、缺、少项，都将被认为是</w:t>
      </w:r>
      <w:r>
        <w:rPr>
          <w:rFonts w:hint="eastAsia"/>
          <w:color w:val="000000" w:themeColor="text1"/>
          <w:sz w:val="24"/>
          <w14:textFill>
            <w14:solidFill>
              <w14:schemeClr w14:val="tx1"/>
            </w14:solidFill>
          </w14:textFill>
        </w:rPr>
        <w:t>中标人</w:t>
      </w:r>
      <w:r>
        <w:rPr>
          <w:color w:val="000000" w:themeColor="text1"/>
          <w:sz w:val="24"/>
          <w14:textFill>
            <w14:solidFill>
              <w14:schemeClr w14:val="tx1"/>
            </w14:solidFill>
          </w14:textFill>
        </w:rPr>
        <w:t>的报价让利行为，损失自负</w:t>
      </w:r>
      <w:r>
        <w:rPr>
          <w:rFonts w:hint="eastAsia"/>
          <w:color w:val="000000" w:themeColor="text1"/>
          <w:sz w:val="24"/>
          <w14:textFill>
            <w14:solidFill>
              <w14:schemeClr w14:val="tx1"/>
            </w14:solidFill>
          </w14:textFill>
        </w:rPr>
        <w:t>。投标人的任何错漏、优惠、竞争性报价不得作为减轻责任、减少服务、增加收费、降低质量的理由。</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招标人不接受投标人的任何低于成本报价的不正当竞争方式。</w:t>
      </w:r>
      <w:bookmarkStart w:id="10" w:name="OLE_LINK36"/>
      <w:bookmarkStart w:id="11" w:name="OLE_LINK35"/>
      <w:r>
        <w:rPr>
          <w:rFonts w:hint="eastAsia"/>
          <w:color w:val="000000" w:themeColor="text1"/>
          <w:sz w:val="24"/>
          <w14:textFill>
            <w14:solidFill>
              <w14:schemeClr w14:val="tx1"/>
            </w14:solidFill>
          </w14:textFill>
        </w:rPr>
        <w:t>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bookmarkEnd w:id="10"/>
      <w:bookmarkEnd w:id="11"/>
      <w:r>
        <w:rPr>
          <w:rFonts w:hint="eastAsia"/>
          <w:color w:val="000000" w:themeColor="text1"/>
          <w:sz w:val="24"/>
          <w14:textFill>
            <w14:solidFill>
              <w14:schemeClr w14:val="tx1"/>
            </w14:solidFill>
          </w14:textFill>
        </w:rPr>
        <w:t>。</w:t>
      </w:r>
      <w:bookmarkEnd w:id="8"/>
      <w:bookmarkEnd w:id="9"/>
    </w:p>
    <w:p>
      <w:pPr>
        <w:spacing w:line="360" w:lineRule="auto"/>
        <w:ind w:firstLine="482" w:firstLineChars="200"/>
        <w:rPr>
          <w:b/>
          <w:color w:val="000000" w:themeColor="text1"/>
          <w:sz w:val="24"/>
          <w14:textFill>
            <w14:solidFill>
              <w14:schemeClr w14:val="tx1"/>
            </w14:solidFill>
          </w14:textFill>
        </w:rPr>
      </w:pPr>
      <w:r>
        <w:rPr>
          <w:b/>
          <w:color w:val="000000" w:themeColor="text1"/>
          <w:sz w:val="24"/>
          <w14:textFill>
            <w14:solidFill>
              <w14:schemeClr w14:val="tx1"/>
            </w14:solidFill>
          </w14:textFill>
        </w:rPr>
        <w:t xml:space="preserve">3.3. </w:t>
      </w:r>
      <w:r>
        <w:rPr>
          <w:rFonts w:hint="eastAsia"/>
          <w:color w:val="000000" w:themeColor="text1"/>
          <w:sz w:val="24"/>
          <w14:textFill>
            <w14:solidFill>
              <w14:schemeClr w14:val="tx1"/>
            </w14:solidFill>
          </w14:textFill>
        </w:rPr>
        <w:t>投标文件的递交</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1</w:t>
      </w:r>
      <w:r>
        <w:rPr>
          <w:rFonts w:hint="eastAsia"/>
          <w:color w:val="000000" w:themeColor="text1"/>
          <w:sz w:val="24"/>
          <w14:textFill>
            <w14:solidFill>
              <w14:schemeClr w14:val="tx1"/>
            </w14:solidFill>
          </w14:textFill>
        </w:rPr>
        <w:t>）投标人应仔细阅读竞争性磋商文件的所有内容并做出实质性的响应，同时按竞争性磋商文件规定的要求和格式，提交完整的投标文件。</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2</w:t>
      </w:r>
      <w:r>
        <w:rPr>
          <w:rFonts w:hint="eastAsia"/>
          <w:color w:val="000000" w:themeColor="text1"/>
          <w:sz w:val="24"/>
          <w14:textFill>
            <w14:solidFill>
              <w14:schemeClr w14:val="tx1"/>
            </w14:solidFill>
          </w14:textFill>
        </w:rPr>
        <w:t>）投标文件应在投标截止时间前送达</w:t>
      </w:r>
      <w:r>
        <w:rPr>
          <w:rFonts w:hint="eastAsia" w:cs="宋体" w:asciiTheme="minorEastAsia" w:hAnsiTheme="minorEastAsia" w:eastAsiaTheme="minorEastAsia"/>
          <w:color w:val="000000" w:themeColor="text1"/>
          <w:spacing w:val="2"/>
          <w:kern w:val="0"/>
          <w:sz w:val="24"/>
          <w14:textFill>
            <w14:solidFill>
              <w14:schemeClr w14:val="tx1"/>
            </w14:solidFill>
          </w14:textFill>
        </w:rPr>
        <w:t>指定地点</w:t>
      </w:r>
      <w:r>
        <w:rPr>
          <w:rFonts w:hint="eastAsia"/>
          <w:color w:val="000000" w:themeColor="text1"/>
          <w:sz w:val="24"/>
          <w14:textFill>
            <w14:solidFill>
              <w14:schemeClr w14:val="tx1"/>
            </w14:solidFill>
          </w14:textFill>
        </w:rPr>
        <w:t>，</w:t>
      </w:r>
      <w:r>
        <w:rPr>
          <w:rFonts w:hint="eastAsia" w:ascii="黑体" w:eastAsia="黑体"/>
          <w:b/>
          <w:color w:val="000000" w:themeColor="text1"/>
          <w:sz w:val="24"/>
          <w14:textFill>
            <w14:solidFill>
              <w14:schemeClr w14:val="tx1"/>
            </w14:solidFill>
          </w14:textFill>
        </w:rPr>
        <w:t>逾期送达或未送达指定地点以及未按竞争性磋商文件要求密封的投标文件，投标人须自行承担相应风险。</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3</w:t>
      </w:r>
      <w:r>
        <w:rPr>
          <w:rFonts w:hint="eastAsia"/>
          <w:color w:val="000000" w:themeColor="text1"/>
          <w:sz w:val="24"/>
          <w14:textFill>
            <w14:solidFill>
              <w14:schemeClr w14:val="tx1"/>
            </w14:solidFill>
          </w14:textFill>
        </w:rPr>
        <w:t>）招标人不接受电报、电话、传真及电子邮件投标。</w:t>
      </w:r>
    </w:p>
    <w:p>
      <w:pPr>
        <w:spacing w:line="360" w:lineRule="auto"/>
        <w:ind w:firstLine="482" w:firstLineChars="200"/>
        <w:rPr>
          <w:color w:val="000000" w:themeColor="text1"/>
          <w:sz w:val="24"/>
          <w14:textFill>
            <w14:solidFill>
              <w14:schemeClr w14:val="tx1"/>
            </w14:solidFill>
          </w14:textFill>
        </w:rPr>
      </w:pPr>
      <w:r>
        <w:rPr>
          <w:b/>
          <w:color w:val="000000" w:themeColor="text1"/>
          <w:sz w:val="24"/>
          <w14:textFill>
            <w14:solidFill>
              <w14:schemeClr w14:val="tx1"/>
            </w14:solidFill>
          </w14:textFill>
        </w:rPr>
        <w:t>3.4.</w:t>
      </w:r>
      <w:r>
        <w:rPr>
          <w:rFonts w:hint="eastAsia"/>
          <w:color w:val="000000" w:themeColor="text1"/>
          <w:sz w:val="24"/>
          <w14:textFill>
            <w14:solidFill>
              <w14:schemeClr w14:val="tx1"/>
            </w14:solidFill>
          </w14:textFill>
        </w:rPr>
        <w:t>投标文件的修改和撤回</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1</w:t>
      </w:r>
      <w:r>
        <w:rPr>
          <w:rFonts w:hint="eastAsia"/>
          <w:color w:val="000000" w:themeColor="text1"/>
          <w:sz w:val="24"/>
          <w14:textFill>
            <w14:solidFill>
              <w14:schemeClr w14:val="tx1"/>
            </w14:solidFill>
          </w14:textFill>
        </w:rPr>
        <w:t>）投标截止时间后投标文件不得修改。</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2</w:t>
      </w:r>
      <w:r>
        <w:rPr>
          <w:rFonts w:hint="eastAsia"/>
          <w:color w:val="000000" w:themeColor="text1"/>
          <w:sz w:val="24"/>
          <w14:textFill>
            <w14:solidFill>
              <w14:schemeClr w14:val="tx1"/>
            </w14:solidFill>
          </w14:textFill>
        </w:rPr>
        <w:t>）投标截止时间前投标人可以撤标，但在投标截止时间后不允许撤标。</w:t>
      </w:r>
    </w:p>
    <w:p>
      <w:pPr>
        <w:spacing w:line="360" w:lineRule="auto"/>
        <w:ind w:firstLine="482" w:firstLineChars="200"/>
        <w:rPr>
          <w:bCs/>
          <w:color w:val="000000" w:themeColor="text1"/>
          <w:sz w:val="24"/>
          <w14:textFill>
            <w14:solidFill>
              <w14:schemeClr w14:val="tx1"/>
            </w14:solidFill>
          </w14:textFill>
        </w:rPr>
      </w:pPr>
      <w:r>
        <w:rPr>
          <w:b/>
          <w:color w:val="000000" w:themeColor="text1"/>
          <w:sz w:val="24"/>
          <w14:textFill>
            <w14:solidFill>
              <w14:schemeClr w14:val="tx1"/>
            </w14:solidFill>
          </w14:textFill>
        </w:rPr>
        <w:t>3.</w:t>
      </w:r>
      <w:r>
        <w:rPr>
          <w:rFonts w:hint="eastAsia"/>
          <w:b/>
          <w:color w:val="000000" w:themeColor="text1"/>
          <w:sz w:val="24"/>
          <w14:textFill>
            <w14:solidFill>
              <w14:schemeClr w14:val="tx1"/>
            </w14:solidFill>
          </w14:textFill>
        </w:rPr>
        <w:t>5</w:t>
      </w:r>
      <w:r>
        <w:rPr>
          <w:b/>
          <w:color w:val="000000" w:themeColor="text1"/>
          <w:sz w:val="24"/>
          <w14:textFill>
            <w14:solidFill>
              <w14:schemeClr w14:val="tx1"/>
            </w14:solidFill>
          </w14:textFill>
        </w:rPr>
        <w:t>.</w:t>
      </w:r>
      <w:r>
        <w:rPr>
          <w:rFonts w:hint="eastAsia"/>
          <w:bCs/>
          <w:color w:val="000000" w:themeColor="text1"/>
          <w:sz w:val="24"/>
          <w14:textFill>
            <w14:solidFill>
              <w14:schemeClr w14:val="tx1"/>
            </w14:solidFill>
          </w14:textFill>
        </w:rPr>
        <w:t>分包投标</w:t>
      </w:r>
    </w:p>
    <w:p>
      <w:pPr>
        <w:spacing w:line="360" w:lineRule="auto"/>
        <w:ind w:firstLine="482" w:firstLineChars="200"/>
        <w:rPr>
          <w:b/>
          <w:color w:val="000000" w:themeColor="text1"/>
          <w:sz w:val="24"/>
          <w14:textFill>
            <w14:solidFill>
              <w14:schemeClr w14:val="tx1"/>
            </w14:solidFill>
          </w14:textFill>
        </w:rPr>
      </w:pPr>
      <w:r>
        <w:rPr>
          <w:rFonts w:hint="eastAsia"/>
          <w:b/>
          <w:color w:val="000000" w:themeColor="text1"/>
          <w:sz w:val="24"/>
          <w14:textFill>
            <w14:solidFill>
              <w14:schemeClr w14:val="tx1"/>
            </w14:solidFill>
          </w14:textFill>
        </w:rPr>
        <w:t>本次招标不可分包投标和中标。</w:t>
      </w:r>
    </w:p>
    <w:p>
      <w:pPr>
        <w:spacing w:line="360" w:lineRule="auto"/>
        <w:ind w:firstLine="482" w:firstLineChars="200"/>
        <w:rPr>
          <w:bCs/>
          <w:color w:val="000000" w:themeColor="text1"/>
          <w:sz w:val="24"/>
          <w14:textFill>
            <w14:solidFill>
              <w14:schemeClr w14:val="tx1"/>
            </w14:solidFill>
          </w14:textFill>
        </w:rPr>
      </w:pPr>
      <w:r>
        <w:rPr>
          <w:b/>
          <w:color w:val="000000" w:themeColor="text1"/>
          <w:sz w:val="24"/>
          <w14:textFill>
            <w14:solidFill>
              <w14:schemeClr w14:val="tx1"/>
            </w14:solidFill>
          </w14:textFill>
        </w:rPr>
        <w:t xml:space="preserve">3.6. </w:t>
      </w:r>
      <w:r>
        <w:rPr>
          <w:rFonts w:hint="eastAsia"/>
          <w:bCs/>
          <w:color w:val="000000" w:themeColor="text1"/>
          <w:sz w:val="24"/>
          <w14:textFill>
            <w14:solidFill>
              <w14:schemeClr w14:val="tx1"/>
            </w14:solidFill>
          </w14:textFill>
        </w:rPr>
        <w:t>联合体投标</w:t>
      </w:r>
    </w:p>
    <w:p>
      <w:pPr>
        <w:spacing w:line="360" w:lineRule="auto"/>
        <w:ind w:firstLine="480" w:firstLineChars="200"/>
        <w:rPr>
          <w:bCs/>
          <w:color w:val="000000" w:themeColor="text1"/>
          <w:sz w:val="24"/>
          <w14:textFill>
            <w14:solidFill>
              <w14:schemeClr w14:val="tx1"/>
            </w14:solidFill>
          </w14:textFill>
        </w:rPr>
      </w:pPr>
      <w:r>
        <w:rPr>
          <w:rFonts w:hint="eastAsia"/>
          <w:bCs/>
          <w:color w:val="000000" w:themeColor="text1"/>
          <w:sz w:val="24"/>
          <w14:textFill>
            <w14:solidFill>
              <w14:schemeClr w14:val="tx1"/>
            </w14:solidFill>
          </w14:textFill>
        </w:rPr>
        <w:t>本次招标不接受联合体投标。</w:t>
      </w:r>
    </w:p>
    <w:p>
      <w:pPr>
        <w:spacing w:line="360" w:lineRule="auto"/>
        <w:ind w:firstLine="482" w:firstLineChars="200"/>
        <w:rPr>
          <w:bCs/>
          <w:color w:val="000000" w:themeColor="text1"/>
          <w:sz w:val="24"/>
          <w14:textFill>
            <w14:solidFill>
              <w14:schemeClr w14:val="tx1"/>
            </w14:solidFill>
          </w14:textFill>
        </w:rPr>
      </w:pPr>
      <w:r>
        <w:rPr>
          <w:b/>
          <w:color w:val="000000" w:themeColor="text1"/>
          <w:sz w:val="24"/>
          <w14:textFill>
            <w14:solidFill>
              <w14:schemeClr w14:val="tx1"/>
            </w14:solidFill>
          </w14:textFill>
        </w:rPr>
        <w:t xml:space="preserve">3.7. </w:t>
      </w:r>
      <w:r>
        <w:rPr>
          <w:rFonts w:hint="eastAsia"/>
          <w:bCs/>
          <w:color w:val="000000" w:themeColor="text1"/>
          <w:sz w:val="24"/>
          <w14:textFill>
            <w14:solidFill>
              <w14:schemeClr w14:val="tx1"/>
            </w14:solidFill>
          </w14:textFill>
        </w:rPr>
        <w:t>投标有效期</w:t>
      </w:r>
    </w:p>
    <w:p>
      <w:pPr>
        <w:spacing w:line="360" w:lineRule="auto"/>
        <w:ind w:firstLine="480" w:firstLineChars="200"/>
        <w:rPr>
          <w:bCs/>
          <w:color w:val="000000" w:themeColor="text1"/>
          <w:sz w:val="24"/>
          <w14:textFill>
            <w14:solidFill>
              <w14:schemeClr w14:val="tx1"/>
            </w14:solidFill>
          </w14:textFill>
        </w:rPr>
      </w:pPr>
      <w:r>
        <w:rPr>
          <w:rFonts w:hint="eastAsia"/>
          <w:bCs/>
          <w:color w:val="000000" w:themeColor="text1"/>
          <w:sz w:val="24"/>
          <w14:textFill>
            <w14:solidFill>
              <w14:schemeClr w14:val="tx1"/>
            </w14:solidFill>
          </w14:textFill>
        </w:rPr>
        <w:t>从投标截止时间起，投标有效期为</w:t>
      </w:r>
      <w:r>
        <w:rPr>
          <w:bCs/>
          <w:color w:val="000000" w:themeColor="text1"/>
          <w:sz w:val="24"/>
          <w14:textFill>
            <w14:solidFill>
              <w14:schemeClr w14:val="tx1"/>
            </w14:solidFill>
          </w14:textFill>
        </w:rPr>
        <w:t>90</w:t>
      </w:r>
      <w:r>
        <w:rPr>
          <w:rFonts w:hint="eastAsia"/>
          <w:bCs/>
          <w:color w:val="000000" w:themeColor="text1"/>
          <w:sz w:val="24"/>
          <w14:textFill>
            <w14:solidFill>
              <w14:schemeClr w14:val="tx1"/>
            </w14:solidFill>
          </w14:textFill>
        </w:rPr>
        <w:t>天。</w:t>
      </w:r>
    </w:p>
    <w:p>
      <w:pPr>
        <w:spacing w:line="360" w:lineRule="auto"/>
        <w:ind w:firstLine="482" w:firstLineChars="200"/>
        <w:rPr>
          <w:bCs/>
          <w:color w:val="000000" w:themeColor="text1"/>
          <w:sz w:val="24"/>
          <w14:textFill>
            <w14:solidFill>
              <w14:schemeClr w14:val="tx1"/>
            </w14:solidFill>
          </w14:textFill>
        </w:rPr>
      </w:pPr>
      <w:r>
        <w:rPr>
          <w:b/>
          <w:color w:val="000000" w:themeColor="text1"/>
          <w:sz w:val="24"/>
          <w14:textFill>
            <w14:solidFill>
              <w14:schemeClr w14:val="tx1"/>
            </w14:solidFill>
          </w14:textFill>
        </w:rPr>
        <w:t xml:space="preserve">3.8. </w:t>
      </w:r>
      <w:r>
        <w:rPr>
          <w:rFonts w:hint="eastAsia"/>
          <w:bCs/>
          <w:color w:val="000000" w:themeColor="text1"/>
          <w:sz w:val="24"/>
          <w14:textFill>
            <w14:solidFill>
              <w14:schemeClr w14:val="tx1"/>
            </w14:solidFill>
          </w14:textFill>
        </w:rPr>
        <w:t>招标终止</w:t>
      </w:r>
    </w:p>
    <w:p>
      <w:pPr>
        <w:spacing w:line="360" w:lineRule="auto"/>
        <w:ind w:firstLine="480" w:firstLineChars="200"/>
        <w:rPr>
          <w:color w:val="000000" w:themeColor="text1"/>
          <w:sz w:val="24"/>
          <w14:textFill>
            <w14:solidFill>
              <w14:schemeClr w14:val="tx1"/>
            </w14:solidFill>
          </w14:textFill>
        </w:rPr>
      </w:pPr>
      <w:r>
        <w:rPr>
          <w:rFonts w:hint="eastAsia"/>
          <w:bCs/>
          <w:color w:val="000000" w:themeColor="text1"/>
          <w:sz w:val="24"/>
          <w14:textFill>
            <w14:solidFill>
              <w14:schemeClr w14:val="tx1"/>
            </w14:solidFill>
          </w14:textFill>
        </w:rPr>
        <w:t>投标截止后，如投标人少于</w:t>
      </w:r>
      <w:r>
        <w:rPr>
          <w:bCs/>
          <w:color w:val="000000" w:themeColor="text1"/>
          <w:sz w:val="24"/>
          <w14:textFill>
            <w14:solidFill>
              <w14:schemeClr w14:val="tx1"/>
            </w14:solidFill>
          </w14:textFill>
        </w:rPr>
        <w:t>3</w:t>
      </w:r>
      <w:r>
        <w:rPr>
          <w:rFonts w:hint="eastAsia"/>
          <w:bCs/>
          <w:color w:val="000000" w:themeColor="text1"/>
          <w:sz w:val="24"/>
          <w14:textFill>
            <w14:solidFill>
              <w14:schemeClr w14:val="tx1"/>
            </w14:solidFill>
          </w14:textFill>
        </w:rPr>
        <w:t>个，招标人有权选择其他采购方式或终止本次招标。</w:t>
      </w:r>
    </w:p>
    <w:p>
      <w:pPr>
        <w:pStyle w:val="3"/>
        <w:rPr>
          <w:rFonts w:cs="Times New Roman"/>
        </w:rPr>
      </w:pPr>
      <w:r>
        <w:rPr>
          <w:rFonts w:hint="eastAsia" w:cs="宋体"/>
        </w:rPr>
        <w:t>四、谈判</w:t>
      </w:r>
    </w:p>
    <w:p>
      <w:pPr>
        <w:pStyle w:val="16"/>
        <w:shd w:val="clear" w:color="auto" w:fill="FFFFFF"/>
        <w:spacing w:line="360" w:lineRule="auto"/>
        <w:ind w:firstLine="480"/>
        <w:jc w:val="both"/>
        <w:rPr>
          <w:rFonts w:ascii="黑体" w:hAnsi="黑体" w:eastAsia="黑体"/>
          <w:b/>
          <w:color w:val="000000" w:themeColor="text1"/>
          <w:sz w:val="24"/>
          <w14:textFill>
            <w14:solidFill>
              <w14:schemeClr w14:val="tx1"/>
            </w14:solidFill>
          </w14:textFill>
        </w:rPr>
      </w:pPr>
      <w:bookmarkStart w:id="12" w:name="_Toc15042569"/>
      <w:r>
        <w:rPr>
          <w:rFonts w:hint="eastAsia"/>
          <w:b/>
          <w:color w:val="000000" w:themeColor="text1"/>
          <w:kern w:val="2"/>
          <w:sz w:val="24"/>
          <w:szCs w:val="24"/>
          <w14:textFill>
            <w14:solidFill>
              <w14:schemeClr w14:val="tx1"/>
            </w14:solidFill>
          </w14:textFill>
        </w:rPr>
        <w:t xml:space="preserve">4.1. </w:t>
      </w:r>
      <w:r>
        <w:rPr>
          <w:rFonts w:hint="eastAsia"/>
          <w:color w:val="000000" w:themeColor="text1"/>
          <w:sz w:val="24"/>
          <w14:textFill>
            <w14:solidFill>
              <w14:schemeClr w14:val="tx1"/>
            </w14:solidFill>
          </w14:textFill>
        </w:rPr>
        <w:t>招标人按规定的时间和地点进行评标，</w:t>
      </w:r>
      <w:r>
        <w:rPr>
          <w:rFonts w:hint="eastAsia" w:ascii="黑体" w:hAnsi="黑体" w:eastAsia="黑体"/>
          <w:b/>
          <w:color w:val="000000" w:themeColor="text1"/>
          <w:sz w:val="24"/>
          <w14:textFill>
            <w14:solidFill>
              <w14:schemeClr w14:val="tx1"/>
            </w14:solidFill>
          </w14:textFill>
        </w:rPr>
        <w:t>投标人代表须在开标当日保持手机畅通。</w:t>
      </w:r>
      <w:r>
        <w:rPr>
          <w:rFonts w:hint="eastAsia" w:ascii="黑体" w:hAnsi="黑体" w:eastAsia="黑体"/>
          <w:b/>
          <w:bCs/>
          <w:color w:val="000000" w:themeColor="text1"/>
          <w:sz w:val="24"/>
          <w14:textFill>
            <w14:solidFill>
              <w14:schemeClr w14:val="tx1"/>
            </w14:solidFill>
          </w14:textFill>
        </w:rPr>
        <w:t>评标时，如需询标，评委会通过“腾讯会议”将需询问的内容告知供应商授权代表，供应商授权代表填写“南通大学采购谈判二次报价单”格式见附件</w:t>
      </w:r>
      <w:r>
        <w:rPr>
          <w:rFonts w:hint="eastAsia" w:ascii="黑体" w:hAnsi="黑体" w:eastAsia="黑体"/>
          <w:b/>
          <w:bCs/>
          <w:color w:val="000000" w:themeColor="text1"/>
          <w:sz w:val="24"/>
          <w:lang w:val="en-US" w:eastAsia="zh-CN"/>
          <w14:textFill>
            <w14:solidFill>
              <w14:schemeClr w14:val="tx1"/>
            </w14:solidFill>
          </w14:textFill>
        </w:rPr>
        <w:t>7</w:t>
      </w:r>
      <w:r>
        <w:rPr>
          <w:rFonts w:hint="eastAsia" w:ascii="黑体" w:hAnsi="黑体" w:eastAsia="黑体"/>
          <w:b/>
          <w:bCs/>
          <w:color w:val="000000" w:themeColor="text1"/>
          <w:sz w:val="24"/>
          <w14:textFill>
            <w14:solidFill>
              <w14:schemeClr w14:val="tx1"/>
            </w14:solidFill>
          </w14:textFill>
        </w:rPr>
        <w:t>，签字拍照发送给采购经办人。 事后，供应商授权代表填写好询标内容，签字并盖章后扫描成PDF格式发送邮箱ztb@ntu.edu.cn。</w:t>
      </w:r>
    </w:p>
    <w:p>
      <w:pPr>
        <w:spacing w:line="360" w:lineRule="auto"/>
        <w:ind w:firstLine="482" w:firstLineChars="200"/>
        <w:rPr>
          <w:color w:val="000000" w:themeColor="text1"/>
          <w:sz w:val="24"/>
          <w14:textFill>
            <w14:solidFill>
              <w14:schemeClr w14:val="tx1"/>
            </w14:solidFill>
          </w14:textFill>
        </w:rPr>
      </w:pPr>
      <w:r>
        <w:rPr>
          <w:b/>
          <w:color w:val="000000" w:themeColor="text1"/>
          <w:sz w:val="24"/>
          <w14:textFill>
            <w14:solidFill>
              <w14:schemeClr w14:val="tx1"/>
            </w14:solidFill>
          </w14:textFill>
        </w:rPr>
        <w:t xml:space="preserve">4.2. </w:t>
      </w:r>
      <w:r>
        <w:rPr>
          <w:rFonts w:hint="eastAsia"/>
          <w:color w:val="000000" w:themeColor="text1"/>
          <w:sz w:val="24"/>
          <w14:textFill>
            <w14:solidFill>
              <w14:schemeClr w14:val="tx1"/>
            </w14:solidFill>
          </w14:textFill>
        </w:rPr>
        <w:t>由采购人的代表和</w:t>
      </w:r>
      <w:r>
        <w:rPr>
          <w:rFonts w:hint="eastAsia" w:ascii="宋体"/>
          <w:color w:val="000000" w:themeColor="text1"/>
          <w:sz w:val="24"/>
          <w:lang w:val="zh-CN"/>
          <w14:textFill>
            <w14:solidFill>
              <w14:schemeClr w14:val="tx1"/>
            </w14:solidFill>
          </w14:textFill>
        </w:rPr>
        <w:t>有关</w:t>
      </w:r>
      <w:r>
        <w:rPr>
          <w:rFonts w:hint="eastAsia"/>
          <w:color w:val="000000" w:themeColor="text1"/>
          <w:sz w:val="24"/>
          <w14:textFill>
            <w14:solidFill>
              <w14:schemeClr w14:val="tx1"/>
            </w14:solidFill>
          </w14:textFill>
        </w:rPr>
        <w:t>专家组成磋商小组进行谈判。</w:t>
      </w:r>
    </w:p>
    <w:p>
      <w:pPr>
        <w:spacing w:line="360" w:lineRule="auto"/>
        <w:ind w:firstLine="482" w:firstLineChars="200"/>
        <w:rPr>
          <w:b/>
          <w:color w:val="000000" w:themeColor="text1"/>
          <w:sz w:val="24"/>
          <w14:textFill>
            <w14:solidFill>
              <w14:schemeClr w14:val="tx1"/>
            </w14:solidFill>
          </w14:textFill>
        </w:rPr>
      </w:pPr>
      <w:r>
        <w:rPr>
          <w:b/>
          <w:color w:val="000000" w:themeColor="text1"/>
          <w:sz w:val="24"/>
          <w14:textFill>
            <w14:solidFill>
              <w14:schemeClr w14:val="tx1"/>
            </w14:solidFill>
          </w14:textFill>
        </w:rPr>
        <w:t>4.</w:t>
      </w:r>
      <w:r>
        <w:rPr>
          <w:rFonts w:hint="eastAsia"/>
          <w:b/>
          <w:color w:val="000000" w:themeColor="text1"/>
          <w:sz w:val="24"/>
          <w14:textFill>
            <w14:solidFill>
              <w14:schemeClr w14:val="tx1"/>
            </w14:solidFill>
          </w14:textFill>
        </w:rPr>
        <w:t>3</w:t>
      </w:r>
      <w:r>
        <w:rPr>
          <w:b/>
          <w:color w:val="000000" w:themeColor="text1"/>
          <w:sz w:val="24"/>
          <w14:textFill>
            <w14:solidFill>
              <w14:schemeClr w14:val="tx1"/>
            </w14:solidFill>
          </w14:textFill>
        </w:rPr>
        <w:t xml:space="preserve">. </w:t>
      </w:r>
      <w:r>
        <w:rPr>
          <w:rFonts w:hint="eastAsia"/>
          <w:color w:val="000000" w:themeColor="text1"/>
          <w:sz w:val="24"/>
          <w14:textFill>
            <w14:solidFill>
              <w14:schemeClr w14:val="tx1"/>
            </w14:solidFill>
          </w14:textFill>
        </w:rPr>
        <w:t>在竞争性磋商之前，磋商小组要对投标人的</w:t>
      </w:r>
      <w:r>
        <w:rPr>
          <w:rFonts w:hint="eastAsia" w:ascii="宋体" w:hAnsi="宋体"/>
          <w:color w:val="000000" w:themeColor="text1"/>
          <w:sz w:val="24"/>
          <w14:textFill>
            <w14:solidFill>
              <w14:schemeClr w14:val="tx1"/>
            </w14:solidFill>
          </w14:textFill>
        </w:rPr>
        <w:t>投标资格以</w:t>
      </w:r>
      <w:r>
        <w:rPr>
          <w:rFonts w:hint="eastAsia"/>
          <w:color w:val="000000" w:themeColor="text1"/>
          <w:sz w:val="24"/>
          <w14:textFill>
            <w14:solidFill>
              <w14:schemeClr w14:val="tx1"/>
            </w14:solidFill>
          </w14:textFill>
        </w:rPr>
        <w:t>及投标是否对竞争性磋商文件的实质性要求和条件做出响应进行审查。</w:t>
      </w:r>
    </w:p>
    <w:p>
      <w:pPr>
        <w:spacing w:line="360" w:lineRule="auto"/>
        <w:ind w:firstLine="482" w:firstLineChars="200"/>
        <w:rPr>
          <w:b/>
          <w:color w:val="000000" w:themeColor="text1"/>
          <w:sz w:val="24"/>
          <w14:textFill>
            <w14:solidFill>
              <w14:schemeClr w14:val="tx1"/>
            </w14:solidFill>
          </w14:textFill>
        </w:rPr>
      </w:pPr>
      <w:r>
        <w:rPr>
          <w:b/>
          <w:color w:val="000000" w:themeColor="text1"/>
          <w:sz w:val="24"/>
          <w14:textFill>
            <w14:solidFill>
              <w14:schemeClr w14:val="tx1"/>
            </w14:solidFill>
          </w14:textFill>
        </w:rPr>
        <w:t>4.</w:t>
      </w:r>
      <w:r>
        <w:rPr>
          <w:rFonts w:hint="eastAsia"/>
          <w:b/>
          <w:color w:val="000000" w:themeColor="text1"/>
          <w:sz w:val="24"/>
          <w14:textFill>
            <w14:solidFill>
              <w14:schemeClr w14:val="tx1"/>
            </w14:solidFill>
          </w14:textFill>
        </w:rPr>
        <w:t>4</w:t>
      </w:r>
      <w:r>
        <w:rPr>
          <w:b/>
          <w:color w:val="000000" w:themeColor="text1"/>
          <w:sz w:val="24"/>
          <w14:textFill>
            <w14:solidFill>
              <w14:schemeClr w14:val="tx1"/>
            </w14:solidFill>
          </w14:textFill>
        </w:rPr>
        <w:t xml:space="preserve">. </w:t>
      </w:r>
      <w:r>
        <w:rPr>
          <w:rFonts w:hint="eastAsia"/>
          <w:color w:val="000000" w:themeColor="text1"/>
          <w:sz w:val="24"/>
          <w14:textFill>
            <w14:solidFill>
              <w14:schemeClr w14:val="tx1"/>
            </w14:solidFill>
          </w14:textFill>
        </w:rPr>
        <w:t>对竞争性磋商文件的实质性要求和条件做出响应的投标应该是与竞争性磋商文件要求的全部条款、条件、指标和规格相符，没有重大偏离的投标。磋商小组判定投标的响应性只根据投标本身的内容，而不寻求外部的证据，投标人不得通过修正或撤销不符合要求的偏离从而使其投标成为实质上响应的投标。</w:t>
      </w:r>
    </w:p>
    <w:p>
      <w:pPr>
        <w:spacing w:line="353" w:lineRule="auto"/>
        <w:ind w:firstLine="482" w:firstLineChars="200"/>
        <w:rPr>
          <w:color w:val="000000" w:themeColor="text1"/>
          <w:sz w:val="24"/>
          <w14:textFill>
            <w14:solidFill>
              <w14:schemeClr w14:val="tx1"/>
            </w14:solidFill>
          </w14:textFill>
        </w:rPr>
      </w:pPr>
      <w:r>
        <w:rPr>
          <w:b/>
          <w:color w:val="000000" w:themeColor="text1"/>
          <w:sz w:val="24"/>
          <w14:textFill>
            <w14:solidFill>
              <w14:schemeClr w14:val="tx1"/>
            </w14:solidFill>
          </w14:textFill>
        </w:rPr>
        <w:t>4.</w:t>
      </w:r>
      <w:r>
        <w:rPr>
          <w:rFonts w:hint="eastAsia"/>
          <w:b/>
          <w:color w:val="000000" w:themeColor="text1"/>
          <w:sz w:val="24"/>
          <w14:textFill>
            <w14:solidFill>
              <w14:schemeClr w14:val="tx1"/>
            </w14:solidFill>
          </w14:textFill>
        </w:rPr>
        <w:t>5</w:t>
      </w:r>
      <w:r>
        <w:rPr>
          <w:b/>
          <w:color w:val="000000" w:themeColor="text1"/>
          <w:sz w:val="24"/>
          <w14:textFill>
            <w14:solidFill>
              <w14:schemeClr w14:val="tx1"/>
            </w14:solidFill>
          </w14:textFill>
        </w:rPr>
        <w:t xml:space="preserve">. </w:t>
      </w:r>
      <w:r>
        <w:rPr>
          <w:rFonts w:hint="eastAsia"/>
          <w:color w:val="000000" w:themeColor="text1"/>
          <w:sz w:val="24"/>
          <w14:textFill>
            <w14:solidFill>
              <w14:schemeClr w14:val="tx1"/>
            </w14:solidFill>
          </w14:textFill>
        </w:rPr>
        <w:t>投标文件出现（但不限于）下列情况之一的，由磋商小组评审后作无效投标或废标处理：</w:t>
      </w:r>
    </w:p>
    <w:p>
      <w:pPr>
        <w:spacing w:line="353"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1</w:t>
      </w:r>
      <w:r>
        <w:rPr>
          <w:rFonts w:hint="eastAsia"/>
          <w:color w:val="000000" w:themeColor="text1"/>
          <w:sz w:val="24"/>
          <w14:textFill>
            <w14:solidFill>
              <w14:schemeClr w14:val="tx1"/>
            </w14:solidFill>
          </w14:textFill>
        </w:rPr>
        <w:t>）超出经营范围投标的；</w:t>
      </w:r>
    </w:p>
    <w:p>
      <w:pPr>
        <w:spacing w:line="353"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2</w:t>
      </w:r>
      <w:r>
        <w:rPr>
          <w:rFonts w:hint="eastAsia"/>
          <w:color w:val="000000" w:themeColor="text1"/>
          <w:sz w:val="24"/>
          <w14:textFill>
            <w14:solidFill>
              <w14:schemeClr w14:val="tx1"/>
            </w14:solidFill>
          </w14:textFill>
        </w:rPr>
        <w:t>）</w:t>
      </w:r>
      <w:r>
        <w:rPr>
          <w:rFonts w:hint="eastAsia" w:ascii="宋体" w:hAnsi="宋体"/>
          <w:bCs/>
          <w:color w:val="000000" w:themeColor="text1"/>
          <w:sz w:val="24"/>
          <w14:textFill>
            <w14:solidFill>
              <w14:schemeClr w14:val="tx1"/>
            </w14:solidFill>
          </w14:textFill>
        </w:rPr>
        <w:t>不具备竞争性磋商文件规定的资格条件及未按竞争性磋商文件规定的要求提供资格证明文件的；</w:t>
      </w:r>
    </w:p>
    <w:p>
      <w:pPr>
        <w:spacing w:line="353"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3</w:t>
      </w:r>
      <w:r>
        <w:rPr>
          <w:rFonts w:hint="eastAsia"/>
          <w:color w:val="000000" w:themeColor="text1"/>
          <w:sz w:val="24"/>
          <w14:textFill>
            <w14:solidFill>
              <w14:schemeClr w14:val="tx1"/>
            </w14:solidFill>
          </w14:textFill>
        </w:rPr>
        <w:t>）无法定代表人签字或签字人无法定代表人有效授权的；应加盖投标人公章而未盖章的；</w:t>
      </w:r>
    </w:p>
    <w:p>
      <w:pPr>
        <w:spacing w:line="353"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4</w:t>
      </w:r>
      <w:r>
        <w:rPr>
          <w:rFonts w:hint="eastAsia"/>
          <w:color w:val="000000" w:themeColor="text1"/>
          <w:sz w:val="24"/>
          <w14:textFill>
            <w14:solidFill>
              <w14:schemeClr w14:val="tx1"/>
            </w14:solidFill>
          </w14:textFill>
        </w:rPr>
        <w:t>）投标有效期不足的；</w:t>
      </w:r>
    </w:p>
    <w:p>
      <w:pPr>
        <w:spacing w:line="353"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（5）投标报价不合理明显低于成本的；</w:t>
      </w:r>
    </w:p>
    <w:p>
      <w:pPr>
        <w:spacing w:line="353"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（6）重要技术指标和参数不满足招标要求的；</w:t>
      </w:r>
    </w:p>
    <w:p>
      <w:pPr>
        <w:tabs>
          <w:tab w:val="left" w:pos="525"/>
          <w:tab w:val="left" w:pos="1050"/>
        </w:tabs>
        <w:spacing w:line="353" w:lineRule="auto"/>
        <w:ind w:left="1" w:firstLine="480" w:firstLineChars="200"/>
        <w:rPr>
          <w:rFonts w:ascii="宋体"/>
          <w:bCs/>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（7）</w:t>
      </w:r>
      <w:r>
        <w:rPr>
          <w:rFonts w:hint="eastAsia" w:ascii="宋体" w:hAnsi="宋体"/>
          <w:bCs/>
          <w:color w:val="000000" w:themeColor="text1"/>
          <w:sz w:val="24"/>
          <w14:textFill>
            <w14:solidFill>
              <w14:schemeClr w14:val="tx1"/>
            </w14:solidFill>
          </w14:textFill>
        </w:rPr>
        <w:t>重要内容或关键字迹模糊不清无法辨认的；</w:t>
      </w:r>
    </w:p>
    <w:p>
      <w:pPr>
        <w:spacing w:line="353"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（8）未对竞争性磋商文件实质性要求和条件做出响应的；</w:t>
      </w:r>
    </w:p>
    <w:p>
      <w:pPr>
        <w:spacing w:line="353"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（9）故意哄抬价格或压价等其它恶意串通投标的；</w:t>
      </w:r>
    </w:p>
    <w:p>
      <w:pPr>
        <w:spacing w:line="353"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1</w:t>
      </w:r>
      <w:r>
        <w:rPr>
          <w:rFonts w:hint="eastAsia"/>
          <w:color w:val="000000" w:themeColor="text1"/>
          <w:sz w:val="24"/>
          <w14:textFill>
            <w14:solidFill>
              <w14:schemeClr w14:val="tx1"/>
            </w14:solidFill>
          </w14:textFill>
        </w:rPr>
        <w:t>0）有损害招标人和用户利益的规定的；</w:t>
      </w:r>
    </w:p>
    <w:p>
      <w:pPr>
        <w:spacing w:line="353"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（11）不同投标人的投标文件由同一单位或者个人编制；</w:t>
      </w:r>
    </w:p>
    <w:p>
      <w:pPr>
        <w:spacing w:line="353"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（12）不同投标人委托同一单位或者个人办理投标事宜；</w:t>
      </w:r>
    </w:p>
    <w:p>
      <w:pPr>
        <w:spacing w:line="353"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（13）不同投标人的投标文件载明的项目管理成员或者联系人员为同一人；</w:t>
      </w:r>
    </w:p>
    <w:p>
      <w:pPr>
        <w:spacing w:line="353"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（14）不同投标人的投标文件异常一致或者投标报价呈规律性差异；</w:t>
      </w:r>
    </w:p>
    <w:p>
      <w:pPr>
        <w:spacing w:line="353"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（15）不同投标人的投标文件相互混装；</w:t>
      </w:r>
    </w:p>
    <w:p>
      <w:pPr>
        <w:pStyle w:val="24"/>
        <w:ind w:firstLine="480" w:firstLineChars="200"/>
      </w:pPr>
      <w:r>
        <w:rPr>
          <w:rFonts w:hint="eastAsia" w:ascii="Times New Roman" w:hAnsi="Times New Roman" w:cs="Times New Roman"/>
          <w:color w:val="000000" w:themeColor="text1"/>
          <w:kern w:val="2"/>
          <w:szCs w:val="21"/>
          <w14:textFill>
            <w14:solidFill>
              <w14:schemeClr w14:val="tx1"/>
            </w14:solidFill>
          </w14:textFill>
        </w:rPr>
        <w:t>（16）</w:t>
      </w:r>
      <w:r>
        <w:rPr>
          <w:rFonts w:hint="eastAsia"/>
        </w:rPr>
        <w:t>不同投标人的投标保证金从同一单位或者个人的账户转出。</w:t>
      </w:r>
    </w:p>
    <w:p>
      <w:pPr>
        <w:spacing w:line="353" w:lineRule="auto"/>
        <w:ind w:firstLine="482" w:firstLineChars="200"/>
        <w:rPr>
          <w:b/>
          <w:color w:val="000000" w:themeColor="text1"/>
          <w:sz w:val="24"/>
          <w14:textFill>
            <w14:solidFill>
              <w14:schemeClr w14:val="tx1"/>
            </w14:solidFill>
          </w14:textFill>
        </w:rPr>
      </w:pPr>
      <w:r>
        <w:rPr>
          <w:b/>
          <w:color w:val="000000" w:themeColor="text1"/>
          <w:sz w:val="24"/>
          <w14:textFill>
            <w14:solidFill>
              <w14:schemeClr w14:val="tx1"/>
            </w14:solidFill>
          </w14:textFill>
        </w:rPr>
        <w:t>4.</w:t>
      </w:r>
      <w:r>
        <w:rPr>
          <w:rFonts w:hint="eastAsia"/>
          <w:b/>
          <w:color w:val="000000" w:themeColor="text1"/>
          <w:sz w:val="24"/>
          <w14:textFill>
            <w14:solidFill>
              <w14:schemeClr w14:val="tx1"/>
            </w14:solidFill>
          </w14:textFill>
        </w:rPr>
        <w:t>6</w:t>
      </w:r>
      <w:r>
        <w:rPr>
          <w:b/>
          <w:color w:val="000000" w:themeColor="text1"/>
          <w:sz w:val="24"/>
          <w14:textFill>
            <w14:solidFill>
              <w14:schemeClr w14:val="tx1"/>
            </w14:solidFill>
          </w14:textFill>
        </w:rPr>
        <w:t>.</w:t>
      </w:r>
      <w:r>
        <w:rPr>
          <w:rFonts w:hint="eastAsia"/>
          <w:color w:val="000000" w:themeColor="text1"/>
          <w:sz w:val="24"/>
          <w14:textFill>
            <w14:solidFill>
              <w14:schemeClr w14:val="tx1"/>
            </w14:solidFill>
          </w14:textFill>
        </w:rPr>
        <w:t>磋商小组认为有必要时，将要求投标人述标或对投标文件中某些内容做出澄清或说明，但不接受投标人主动提出的澄清和说明。</w:t>
      </w:r>
    </w:p>
    <w:p>
      <w:pPr>
        <w:spacing w:line="353" w:lineRule="auto"/>
        <w:ind w:firstLine="482" w:firstLineChars="200"/>
        <w:rPr>
          <w:color w:val="000000" w:themeColor="text1"/>
          <w:sz w:val="24"/>
          <w14:textFill>
            <w14:solidFill>
              <w14:schemeClr w14:val="tx1"/>
            </w14:solidFill>
          </w14:textFill>
        </w:rPr>
      </w:pPr>
      <w:r>
        <w:rPr>
          <w:b/>
          <w:color w:val="000000" w:themeColor="text1"/>
          <w:sz w:val="24"/>
          <w14:textFill>
            <w14:solidFill>
              <w14:schemeClr w14:val="tx1"/>
            </w14:solidFill>
          </w14:textFill>
        </w:rPr>
        <w:t>4.</w:t>
      </w:r>
      <w:r>
        <w:rPr>
          <w:rFonts w:hint="eastAsia"/>
          <w:b/>
          <w:color w:val="000000" w:themeColor="text1"/>
          <w:sz w:val="24"/>
          <w14:textFill>
            <w14:solidFill>
              <w14:schemeClr w14:val="tx1"/>
            </w14:solidFill>
          </w14:textFill>
        </w:rPr>
        <w:t>7</w:t>
      </w:r>
      <w:r>
        <w:rPr>
          <w:b/>
          <w:color w:val="000000" w:themeColor="text1"/>
          <w:sz w:val="24"/>
          <w14:textFill>
            <w14:solidFill>
              <w14:schemeClr w14:val="tx1"/>
            </w14:solidFill>
          </w14:textFill>
        </w:rPr>
        <w:t xml:space="preserve">. </w:t>
      </w:r>
      <w:r>
        <w:rPr>
          <w:rFonts w:hint="eastAsia"/>
          <w:bCs/>
          <w:color w:val="000000" w:themeColor="text1"/>
          <w:sz w:val="24"/>
          <w14:textFill>
            <w14:solidFill>
              <w14:schemeClr w14:val="tx1"/>
            </w14:solidFill>
          </w14:textFill>
        </w:rPr>
        <w:t>磋商</w:t>
      </w:r>
      <w:r>
        <w:rPr>
          <w:rFonts w:hint="eastAsia"/>
          <w:color w:val="000000" w:themeColor="text1"/>
          <w:sz w:val="24"/>
          <w14:textFill>
            <w14:solidFill>
              <w14:schemeClr w14:val="tx1"/>
            </w14:solidFill>
          </w14:textFill>
        </w:rPr>
        <w:t>小组将从投标人的投标报价、产品质量、技术方案、售后服务、企业状况等经济、技术和商务及其他优惠条件等方面，依据评标方法，对所有投标文件进行综合评审。</w:t>
      </w:r>
    </w:p>
    <w:p>
      <w:pPr>
        <w:pStyle w:val="3"/>
        <w:rPr>
          <w:rFonts w:cs="宋体"/>
        </w:rPr>
      </w:pPr>
      <w:r>
        <w:rPr>
          <w:rFonts w:hint="eastAsia" w:cs="宋体"/>
        </w:rPr>
        <w:t>五、合同履约保证金</w:t>
      </w:r>
    </w:p>
    <w:p>
      <w:pPr>
        <w:spacing w:line="353" w:lineRule="auto"/>
        <w:ind w:firstLine="482" w:firstLineChars="200"/>
        <w:rPr>
          <w:color w:val="000000" w:themeColor="text1"/>
          <w:sz w:val="24"/>
          <w14:textFill>
            <w14:solidFill>
              <w14:schemeClr w14:val="tx1"/>
            </w14:solidFill>
          </w14:textFill>
        </w:rPr>
      </w:pPr>
      <w:r>
        <w:rPr>
          <w:rFonts w:hint="eastAsia"/>
          <w:b/>
          <w:color w:val="000000" w:themeColor="text1"/>
          <w:sz w:val="24"/>
          <w14:textFill>
            <w14:solidFill>
              <w14:schemeClr w14:val="tx1"/>
            </w14:solidFill>
          </w14:textFill>
        </w:rPr>
        <w:t>5.1.</w:t>
      </w:r>
      <w:r>
        <w:rPr>
          <w:rFonts w:hint="eastAsia"/>
          <w:color w:val="000000" w:themeColor="text1"/>
          <w:sz w:val="24"/>
          <w14:textFill>
            <w14:solidFill>
              <w14:schemeClr w14:val="tx1"/>
            </w14:solidFill>
          </w14:textFill>
        </w:rPr>
        <w:t>中标单位在签订合同时缴纳履约保证金20000元，在</w:t>
      </w:r>
      <w:r>
        <w:rPr>
          <w:color w:val="000000" w:themeColor="text1"/>
          <w:sz w:val="24"/>
          <w14:textFill>
            <w14:solidFill>
              <w14:schemeClr w14:val="tx1"/>
            </w14:solidFill>
          </w14:textFill>
        </w:rPr>
        <w:t>较好地履行</w:t>
      </w:r>
      <w:r>
        <w:rPr>
          <w:rFonts w:hint="eastAsia"/>
          <w:color w:val="000000" w:themeColor="text1"/>
          <w:sz w:val="24"/>
          <w14:textFill>
            <w14:solidFill>
              <w14:schemeClr w14:val="tx1"/>
            </w14:solidFill>
          </w14:textFill>
        </w:rPr>
        <w:t>供货服务</w:t>
      </w:r>
      <w:r>
        <w:rPr>
          <w:color w:val="000000" w:themeColor="text1"/>
          <w:sz w:val="24"/>
          <w14:textFill>
            <w14:solidFill>
              <w14:schemeClr w14:val="tx1"/>
            </w14:solidFill>
          </w14:textFill>
        </w:rPr>
        <w:t>合同</w:t>
      </w:r>
      <w:r>
        <w:rPr>
          <w:rFonts w:hint="eastAsia"/>
          <w:color w:val="000000" w:themeColor="text1"/>
          <w:sz w:val="24"/>
          <w14:textFill>
            <w14:solidFill>
              <w14:schemeClr w14:val="tx1"/>
            </w14:solidFill>
          </w14:textFill>
        </w:rPr>
        <w:t>满三年后</w:t>
      </w:r>
      <w:r>
        <w:rPr>
          <w:color w:val="000000" w:themeColor="text1"/>
          <w:sz w:val="24"/>
          <w14:textFill>
            <w14:solidFill>
              <w14:schemeClr w14:val="tx1"/>
            </w14:solidFill>
          </w14:textFill>
        </w:rPr>
        <w:t>，招标</w:t>
      </w:r>
      <w:r>
        <w:rPr>
          <w:rFonts w:hint="eastAsia"/>
          <w:color w:val="000000" w:themeColor="text1"/>
          <w:sz w:val="24"/>
          <w14:textFill>
            <w14:solidFill>
              <w14:schemeClr w14:val="tx1"/>
            </w14:solidFill>
          </w14:textFill>
        </w:rPr>
        <w:t>人</w:t>
      </w:r>
      <w:r>
        <w:rPr>
          <w:color w:val="000000" w:themeColor="text1"/>
          <w:sz w:val="24"/>
          <w14:textFill>
            <w14:solidFill>
              <w14:schemeClr w14:val="tx1"/>
            </w14:solidFill>
          </w14:textFill>
        </w:rPr>
        <w:t>无息退还其履约保证金</w:t>
      </w:r>
      <w:r>
        <w:rPr>
          <w:rFonts w:hint="eastAsia"/>
          <w:color w:val="000000" w:themeColor="text1"/>
          <w:sz w:val="24"/>
          <w14:textFill>
            <w14:solidFill>
              <w14:schemeClr w14:val="tx1"/>
            </w14:solidFill>
          </w14:textFill>
        </w:rPr>
        <w:t>。</w:t>
      </w:r>
    </w:p>
    <w:p>
      <w:pPr>
        <w:spacing w:line="353" w:lineRule="auto"/>
        <w:ind w:firstLine="482" w:firstLineChars="200"/>
      </w:pPr>
      <w:r>
        <w:rPr>
          <w:rFonts w:hint="eastAsia"/>
          <w:b/>
          <w:bCs/>
          <w:color w:val="000000" w:themeColor="text1"/>
          <w:sz w:val="24"/>
          <w14:textFill>
            <w14:solidFill>
              <w14:schemeClr w14:val="tx1"/>
            </w14:solidFill>
          </w14:textFill>
        </w:rPr>
        <w:t xml:space="preserve">5.2. </w:t>
      </w:r>
      <w:r>
        <w:rPr>
          <w:color w:val="000000" w:themeColor="text1"/>
          <w:sz w:val="24"/>
          <w14:textFill>
            <w14:solidFill>
              <w14:schemeClr w14:val="tx1"/>
            </w14:solidFill>
          </w14:textFill>
        </w:rPr>
        <w:t>如中标投标人未能履行投标时的相关承诺，或提供假冒伪劣产品，招标人有权从履约保证金中取得补偿，不予退还部分或全部履约保证金，并按相关法律规定处理。</w:t>
      </w:r>
    </w:p>
    <w:p>
      <w:pPr>
        <w:pStyle w:val="3"/>
        <w:rPr>
          <w:color w:val="000000" w:themeColor="text1"/>
          <w14:textFill>
            <w14:solidFill>
              <w14:schemeClr w14:val="tx1"/>
            </w14:solidFill>
          </w14:textFill>
        </w:rPr>
      </w:pPr>
      <w:r>
        <w:rPr>
          <w:rFonts w:hint="eastAsia" w:cs="宋体"/>
        </w:rPr>
        <w:t>六、</w:t>
      </w:r>
      <w:r>
        <w:rPr>
          <w:rFonts w:hint="eastAsia"/>
          <w:color w:val="000000" w:themeColor="text1"/>
          <w14:textFill>
            <w14:solidFill>
              <w14:schemeClr w14:val="tx1"/>
            </w14:solidFill>
          </w14:textFill>
        </w:rPr>
        <w:t xml:space="preserve">不合格标书及违约处理 </w:t>
      </w:r>
    </w:p>
    <w:p>
      <w:pPr>
        <w:spacing w:line="353" w:lineRule="auto"/>
        <w:ind w:firstLine="482" w:firstLineChars="200"/>
        <w:rPr>
          <w:color w:val="000000" w:themeColor="text1"/>
          <w:sz w:val="24"/>
          <w14:textFill>
            <w14:solidFill>
              <w14:schemeClr w14:val="tx1"/>
            </w14:solidFill>
          </w14:textFill>
        </w:rPr>
      </w:pPr>
      <w:r>
        <w:rPr>
          <w:rFonts w:hint="eastAsia"/>
          <w:b/>
          <w:color w:val="000000" w:themeColor="text1"/>
          <w:sz w:val="24"/>
          <w14:textFill>
            <w14:solidFill>
              <w14:schemeClr w14:val="tx1"/>
            </w14:solidFill>
          </w14:textFill>
        </w:rPr>
        <w:t xml:space="preserve">6.1. </w:t>
      </w:r>
      <w:r>
        <w:rPr>
          <w:rFonts w:hint="eastAsia"/>
          <w:color w:val="000000" w:themeColor="text1"/>
          <w:sz w:val="24"/>
          <w14:textFill>
            <w14:solidFill>
              <w14:schemeClr w14:val="tx1"/>
            </w14:solidFill>
          </w14:textFill>
        </w:rPr>
        <w:t>投标时对明显不符合招标公告要求的样品和投标书不予受理。</w:t>
      </w:r>
    </w:p>
    <w:p>
      <w:pPr>
        <w:spacing w:line="353" w:lineRule="auto"/>
        <w:ind w:firstLine="482" w:firstLineChars="200"/>
        <w:rPr>
          <w:color w:val="000000" w:themeColor="text1"/>
          <w:sz w:val="24"/>
          <w14:textFill>
            <w14:solidFill>
              <w14:schemeClr w14:val="tx1"/>
            </w14:solidFill>
          </w14:textFill>
        </w:rPr>
      </w:pPr>
      <w:r>
        <w:rPr>
          <w:rFonts w:hint="eastAsia"/>
          <w:b/>
          <w:color w:val="000000" w:themeColor="text1"/>
          <w:sz w:val="24"/>
          <w14:textFill>
            <w14:solidFill>
              <w14:schemeClr w14:val="tx1"/>
            </w14:solidFill>
          </w14:textFill>
        </w:rPr>
        <w:t xml:space="preserve">6.2. </w:t>
      </w:r>
      <w:r>
        <w:rPr>
          <w:rFonts w:hint="eastAsia"/>
          <w:color w:val="000000" w:themeColor="text1"/>
          <w:sz w:val="24"/>
          <w14:textFill>
            <w14:solidFill>
              <w14:schemeClr w14:val="tx1"/>
            </w14:solidFill>
          </w14:textFill>
        </w:rPr>
        <w:t>投标人须严格维护招投标的公正性、合法性、合理性，发现违规、弄虚作假行为，一律取消投标或中标资格，且中标单位的履约保证金将不予退还。</w:t>
      </w:r>
    </w:p>
    <w:p>
      <w:pPr>
        <w:spacing w:line="353" w:lineRule="auto"/>
        <w:ind w:firstLine="482" w:firstLineChars="200"/>
        <w:rPr>
          <w:color w:val="000000" w:themeColor="text1"/>
          <w:sz w:val="24"/>
          <w14:textFill>
            <w14:solidFill>
              <w14:schemeClr w14:val="tx1"/>
            </w14:solidFill>
          </w14:textFill>
        </w:rPr>
      </w:pPr>
      <w:r>
        <w:rPr>
          <w:rFonts w:hint="eastAsia"/>
          <w:b/>
          <w:color w:val="000000" w:themeColor="text1"/>
          <w:sz w:val="24"/>
          <w14:textFill>
            <w14:solidFill>
              <w14:schemeClr w14:val="tx1"/>
            </w14:solidFill>
          </w14:textFill>
        </w:rPr>
        <w:t xml:space="preserve">6.3. </w:t>
      </w:r>
      <w:r>
        <w:rPr>
          <w:rFonts w:hint="eastAsia"/>
          <w:color w:val="000000" w:themeColor="text1"/>
          <w:sz w:val="24"/>
          <w14:textFill>
            <w14:solidFill>
              <w14:schemeClr w14:val="tx1"/>
            </w14:solidFill>
          </w14:textFill>
        </w:rPr>
        <w:t>在投标、供货及售后服务中有违约行为者，三年内不得参与南通大学项目的招标活动。</w:t>
      </w:r>
    </w:p>
    <w:p>
      <w:pPr>
        <w:pStyle w:val="3"/>
        <w:rPr>
          <w:color w:val="000000" w:themeColor="text1"/>
          <w14:textFill>
            <w14:solidFill>
              <w14:schemeClr w14:val="tx1"/>
            </w14:solidFill>
          </w14:textFill>
        </w:rPr>
      </w:pPr>
      <w:r>
        <w:rPr>
          <w:rFonts w:hint="eastAsia" w:cs="宋体"/>
        </w:rPr>
        <w:t>七、</w:t>
      </w:r>
      <w:bookmarkEnd w:id="12"/>
      <w:r>
        <w:rPr>
          <w:rFonts w:hint="eastAsia"/>
          <w:color w:val="000000" w:themeColor="text1"/>
          <w14:textFill>
            <w14:solidFill>
              <w14:schemeClr w14:val="tx1"/>
            </w14:solidFill>
          </w14:textFill>
        </w:rPr>
        <w:t>竞争性磋商方法及评判标准</w:t>
      </w:r>
    </w:p>
    <w:p>
      <w:pPr>
        <w:spacing w:line="352" w:lineRule="auto"/>
        <w:ind w:firstLine="482" w:firstLineChars="200"/>
        <w:rPr>
          <w:color w:val="000000" w:themeColor="text1"/>
          <w:sz w:val="24"/>
          <w14:textFill>
            <w14:solidFill>
              <w14:schemeClr w14:val="tx1"/>
            </w14:solidFill>
          </w14:textFill>
        </w:rPr>
      </w:pPr>
      <w:r>
        <w:rPr>
          <w:rFonts w:hint="eastAsia"/>
          <w:b/>
          <w:bCs/>
          <w:color w:val="000000" w:themeColor="text1"/>
          <w:sz w:val="24"/>
          <w14:textFill>
            <w14:solidFill>
              <w14:schemeClr w14:val="tx1"/>
            </w14:solidFill>
          </w14:textFill>
        </w:rPr>
        <w:t>7.1.</w:t>
      </w:r>
      <w:r>
        <w:rPr>
          <w:rFonts w:hint="eastAsia"/>
          <w:color w:val="000000" w:themeColor="text1"/>
          <w:sz w:val="24"/>
          <w14:textFill>
            <w14:solidFill>
              <w14:schemeClr w14:val="tx1"/>
            </w14:solidFill>
          </w14:textFill>
        </w:rPr>
        <w:t>竞争性磋商程序及方法</w:t>
      </w:r>
    </w:p>
    <w:p>
      <w:pPr>
        <w:spacing w:line="353"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（1）竞争性磋商程序：资格符合性评审→技术标评审→商务标开标→商务二次报价→确定中标候选人</w:t>
      </w:r>
    </w:p>
    <w:p>
      <w:pPr>
        <w:spacing w:line="353" w:lineRule="auto"/>
        <w:ind w:firstLine="482" w:firstLineChars="200"/>
        <w:rPr>
          <w:color w:val="000000"/>
          <w:sz w:val="24"/>
          <w:szCs w:val="24"/>
        </w:rPr>
      </w:pPr>
      <w:r>
        <w:rPr>
          <w:rFonts w:hint="eastAsia"/>
          <w:b/>
          <w:bCs/>
          <w:color w:val="000000"/>
          <w:sz w:val="24"/>
          <w:szCs w:val="24"/>
        </w:rPr>
        <w:t>7</w:t>
      </w:r>
      <w:r>
        <w:rPr>
          <w:b/>
          <w:bCs/>
          <w:color w:val="000000"/>
          <w:sz w:val="24"/>
          <w:szCs w:val="24"/>
        </w:rPr>
        <w:t>.</w:t>
      </w:r>
      <w:r>
        <w:rPr>
          <w:rFonts w:hint="eastAsia"/>
          <w:b/>
          <w:bCs/>
          <w:color w:val="000000"/>
          <w:sz w:val="24"/>
          <w:szCs w:val="24"/>
        </w:rPr>
        <w:t>2</w:t>
      </w:r>
      <w:r>
        <w:rPr>
          <w:b/>
          <w:bCs/>
          <w:color w:val="000000"/>
          <w:sz w:val="24"/>
          <w:szCs w:val="24"/>
        </w:rPr>
        <w:t>.</w:t>
      </w:r>
      <w:r>
        <w:rPr>
          <w:rFonts w:hint="eastAsia" w:cs="宋体"/>
          <w:color w:val="000000"/>
          <w:sz w:val="24"/>
          <w:szCs w:val="24"/>
        </w:rPr>
        <w:t>评标方法</w:t>
      </w:r>
    </w:p>
    <w:p>
      <w:pPr>
        <w:spacing w:line="353" w:lineRule="auto"/>
        <w:ind w:firstLine="480" w:firstLineChars="200"/>
        <w:rPr>
          <w:color w:val="000000"/>
          <w:sz w:val="24"/>
          <w:szCs w:val="24"/>
        </w:rPr>
      </w:pPr>
      <w:r>
        <w:rPr>
          <w:rFonts w:hint="eastAsia" w:cs="宋体"/>
          <w:color w:val="000000"/>
          <w:sz w:val="24"/>
          <w:szCs w:val="24"/>
        </w:rPr>
        <w:t>（</w:t>
      </w:r>
      <w:r>
        <w:rPr>
          <w:color w:val="000000"/>
          <w:sz w:val="24"/>
          <w:szCs w:val="24"/>
        </w:rPr>
        <w:t>1</w:t>
      </w:r>
      <w:r>
        <w:rPr>
          <w:rFonts w:hint="eastAsia" w:cs="宋体"/>
          <w:color w:val="000000"/>
          <w:sz w:val="24"/>
          <w:szCs w:val="24"/>
        </w:rPr>
        <w:t>）本次竞争性磋商采用</w:t>
      </w:r>
      <w:r>
        <w:rPr>
          <w:rFonts w:hint="eastAsia" w:cs="宋体"/>
          <w:b/>
          <w:bCs/>
          <w:color w:val="000000"/>
          <w:sz w:val="24"/>
          <w:szCs w:val="24"/>
        </w:rPr>
        <w:t>综合评分法</w:t>
      </w:r>
      <w:r>
        <w:rPr>
          <w:rFonts w:hint="eastAsia" w:cs="宋体"/>
          <w:color w:val="000000"/>
          <w:sz w:val="24"/>
          <w:szCs w:val="24"/>
        </w:rPr>
        <w:t>评判，即在投标文件满足竞争性磋商文件全部实质性要求，且按照评审因素的量化指标评审得分最高的投标人为排名第一的中标候选人。</w:t>
      </w:r>
    </w:p>
    <w:p>
      <w:pPr>
        <w:spacing w:line="353" w:lineRule="auto"/>
        <w:ind w:firstLine="480" w:firstLineChars="200"/>
        <w:rPr>
          <w:color w:val="000000"/>
          <w:sz w:val="24"/>
          <w:szCs w:val="24"/>
        </w:rPr>
      </w:pPr>
      <w:r>
        <w:rPr>
          <w:rFonts w:hint="eastAsia" w:cs="宋体"/>
          <w:color w:val="000000"/>
          <w:sz w:val="24"/>
          <w:szCs w:val="24"/>
        </w:rPr>
        <w:t>（</w:t>
      </w:r>
      <w:r>
        <w:rPr>
          <w:color w:val="000000"/>
          <w:sz w:val="24"/>
          <w:szCs w:val="24"/>
        </w:rPr>
        <w:t>2</w:t>
      </w:r>
      <w:r>
        <w:rPr>
          <w:rFonts w:hint="eastAsia" w:cs="宋体"/>
          <w:color w:val="000000"/>
          <w:sz w:val="24"/>
          <w:szCs w:val="24"/>
        </w:rPr>
        <w:t>）</w:t>
      </w:r>
      <w:r>
        <w:rPr>
          <w:rFonts w:hint="eastAsia"/>
          <w:color w:val="000000" w:themeColor="text1"/>
          <w:sz w:val="24"/>
          <w14:textFill>
            <w14:solidFill>
              <w14:schemeClr w14:val="tx1"/>
            </w14:solidFill>
          </w14:textFill>
        </w:rPr>
        <w:t>磋商小组</w:t>
      </w:r>
      <w:r>
        <w:rPr>
          <w:rFonts w:hint="eastAsia" w:cs="宋体"/>
          <w:color w:val="000000"/>
          <w:sz w:val="24"/>
          <w:szCs w:val="24"/>
        </w:rPr>
        <w:t>各成员独立对每一份有效投标文件进行评价并对除报价以外的评分项目进行评分，报价得分由工作人员通过计算得出。</w:t>
      </w:r>
    </w:p>
    <w:p>
      <w:pPr>
        <w:spacing w:line="360" w:lineRule="auto"/>
        <w:ind w:firstLine="482" w:firstLineChars="200"/>
        <w:rPr>
          <w:b/>
          <w:color w:val="000000" w:themeColor="text1"/>
          <w:sz w:val="24"/>
          <w14:textFill>
            <w14:solidFill>
              <w14:schemeClr w14:val="tx1"/>
            </w14:solidFill>
          </w14:textFill>
        </w:rPr>
      </w:pPr>
      <w:r>
        <w:rPr>
          <w:rFonts w:hint="eastAsia"/>
          <w:b/>
          <w:color w:val="000000" w:themeColor="text1"/>
          <w:sz w:val="24"/>
          <w14:textFill>
            <w14:solidFill>
              <w14:schemeClr w14:val="tx1"/>
            </w14:solidFill>
          </w14:textFill>
        </w:rPr>
        <w:t>投标人得分</w:t>
      </w:r>
      <w:r>
        <w:rPr>
          <w:b/>
          <w:color w:val="000000" w:themeColor="text1"/>
          <w:sz w:val="24"/>
          <w14:textFill>
            <w14:solidFill>
              <w14:schemeClr w14:val="tx1"/>
            </w14:solidFill>
          </w14:textFill>
        </w:rPr>
        <w:t xml:space="preserve"> = </w:t>
      </w:r>
      <w:r>
        <w:rPr>
          <w:rFonts w:hint="eastAsia"/>
          <w:b/>
          <w:color w:val="000000" w:themeColor="text1"/>
          <w:sz w:val="24"/>
          <w14:textFill>
            <w14:solidFill>
              <w14:schemeClr w14:val="tx1"/>
            </w14:solidFill>
          </w14:textFill>
        </w:rPr>
        <w:t>∑磋商小组成员评价总得分</w:t>
      </w:r>
      <w:r>
        <w:rPr>
          <w:b/>
          <w:color w:val="000000" w:themeColor="text1"/>
          <w:sz w:val="24"/>
          <w14:textFill>
            <w14:solidFill>
              <w14:schemeClr w14:val="tx1"/>
            </w14:solidFill>
          </w14:textFill>
        </w:rPr>
        <w:t>/</w:t>
      </w:r>
      <w:r>
        <w:rPr>
          <w:rFonts w:hint="eastAsia"/>
          <w:b/>
          <w:color w:val="000000" w:themeColor="text1"/>
          <w:sz w:val="24"/>
          <w14:textFill>
            <w14:solidFill>
              <w14:schemeClr w14:val="tx1"/>
            </w14:solidFill>
          </w14:textFill>
        </w:rPr>
        <w:t>磋商小组成员人数</w:t>
      </w:r>
      <w:r>
        <w:rPr>
          <w:b/>
          <w:color w:val="000000" w:themeColor="text1"/>
          <w:sz w:val="24"/>
          <w14:textFill>
            <w14:solidFill>
              <w14:schemeClr w14:val="tx1"/>
            </w14:solidFill>
          </w14:textFill>
        </w:rPr>
        <w:t xml:space="preserve"> + </w:t>
      </w:r>
      <w:r>
        <w:rPr>
          <w:rFonts w:hint="eastAsia"/>
          <w:b/>
          <w:color w:val="000000" w:themeColor="text1"/>
          <w:sz w:val="24"/>
          <w14:textFill>
            <w14:solidFill>
              <w14:schemeClr w14:val="tx1"/>
            </w14:solidFill>
          </w14:textFill>
        </w:rPr>
        <w:t>磋商报价得分</w:t>
      </w:r>
    </w:p>
    <w:tbl>
      <w:tblPr>
        <w:tblStyle w:val="17"/>
        <w:tblpPr w:leftFromText="180" w:rightFromText="180" w:vertAnchor="text" w:horzAnchor="page" w:tblpX="1240" w:tblpY="327"/>
        <w:tblOverlap w:val="never"/>
        <w:tblW w:w="996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485"/>
        <w:gridCol w:w="780"/>
        <w:gridCol w:w="769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0" w:hRule="atLeast"/>
        </w:trPr>
        <w:tc>
          <w:tcPr>
            <w:tcW w:w="1485" w:type="dxa"/>
            <w:vAlign w:val="center"/>
          </w:tcPr>
          <w:p>
            <w:pPr>
              <w:spacing w:beforeLines="50" w:afterLines="50" w:line="240" w:lineRule="atLeast"/>
              <w:jc w:val="center"/>
              <w:rPr>
                <w:rFonts w:ascii="微软雅黑" w:hAnsi="微软雅黑" w:eastAsia="微软雅黑"/>
                <w:b/>
                <w:bCs/>
                <w:spacing w:val="-6"/>
              </w:rPr>
            </w:pPr>
            <w:r>
              <w:rPr>
                <w:rFonts w:hint="eastAsia" w:ascii="微软雅黑" w:hAnsi="微软雅黑" w:eastAsia="微软雅黑" w:cs="微软雅黑"/>
                <w:b/>
                <w:bCs/>
                <w:spacing w:val="-6"/>
              </w:rPr>
              <w:t>评审因素</w:t>
            </w:r>
          </w:p>
        </w:tc>
        <w:tc>
          <w:tcPr>
            <w:tcW w:w="780" w:type="dxa"/>
            <w:vAlign w:val="center"/>
          </w:tcPr>
          <w:p>
            <w:pPr>
              <w:spacing w:beforeLines="50" w:afterLines="50" w:line="240" w:lineRule="atLeast"/>
              <w:jc w:val="center"/>
              <w:rPr>
                <w:rFonts w:ascii="微软雅黑" w:hAnsi="微软雅黑" w:eastAsia="微软雅黑"/>
                <w:b/>
                <w:bCs/>
                <w:spacing w:val="-6"/>
              </w:rPr>
            </w:pPr>
            <w:r>
              <w:rPr>
                <w:rFonts w:hint="eastAsia" w:ascii="微软雅黑" w:hAnsi="微软雅黑" w:eastAsia="微软雅黑" w:cs="微软雅黑"/>
                <w:b/>
                <w:bCs/>
                <w:spacing w:val="-6"/>
              </w:rPr>
              <w:t>分值</w:t>
            </w:r>
          </w:p>
        </w:tc>
        <w:tc>
          <w:tcPr>
            <w:tcW w:w="7695" w:type="dxa"/>
            <w:vAlign w:val="center"/>
          </w:tcPr>
          <w:p>
            <w:pPr>
              <w:tabs>
                <w:tab w:val="left" w:pos="1418"/>
              </w:tabs>
              <w:spacing w:beforeLines="50" w:afterLines="50" w:line="240" w:lineRule="atLeast"/>
              <w:jc w:val="center"/>
              <w:rPr>
                <w:rFonts w:ascii="微软雅黑" w:hAnsi="微软雅黑" w:eastAsia="微软雅黑"/>
                <w:b/>
                <w:bCs/>
                <w:spacing w:val="-6"/>
                <w:kern w:val="0"/>
              </w:rPr>
            </w:pPr>
            <w:r>
              <w:rPr>
                <w:rFonts w:hint="eastAsia" w:ascii="微软雅黑" w:hAnsi="微软雅黑" w:eastAsia="微软雅黑" w:cs="微软雅黑"/>
                <w:b/>
                <w:bCs/>
                <w:spacing w:val="-6"/>
                <w:kern w:val="0"/>
              </w:rPr>
              <w:t>评分细则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86" w:hRule="atLeast"/>
        </w:trPr>
        <w:tc>
          <w:tcPr>
            <w:tcW w:w="9960" w:type="dxa"/>
            <w:gridSpan w:val="3"/>
            <w:vAlign w:val="center"/>
          </w:tcPr>
          <w:p>
            <w:pPr>
              <w:tabs>
                <w:tab w:val="left" w:pos="1418"/>
              </w:tabs>
              <w:spacing w:beforeLines="50" w:afterLines="50" w:line="240" w:lineRule="atLeast"/>
              <w:jc w:val="center"/>
              <w:rPr>
                <w:rFonts w:ascii="微软雅黑" w:hAnsi="微软雅黑" w:eastAsia="微软雅黑"/>
                <w:spacing w:val="-6"/>
                <w:kern w:val="0"/>
              </w:rPr>
            </w:pPr>
            <w:r>
              <w:rPr>
                <w:rFonts w:hint="eastAsia" w:ascii="微软雅黑" w:hAnsi="微软雅黑" w:eastAsia="微软雅黑" w:cs="微软雅黑"/>
                <w:b/>
                <w:bCs/>
                <w:spacing w:val="-6"/>
              </w:rPr>
              <w:t>商务报价（50分）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390" w:hRule="atLeast"/>
        </w:trPr>
        <w:tc>
          <w:tcPr>
            <w:tcW w:w="1485" w:type="dxa"/>
            <w:vAlign w:val="center"/>
          </w:tcPr>
          <w:p>
            <w:pPr>
              <w:spacing w:beforeLines="50" w:afterLines="50" w:line="240" w:lineRule="atLeast"/>
              <w:jc w:val="center"/>
              <w:rPr>
                <w:rFonts w:ascii="宋体" w:hAnsi="宋体" w:cs="宋体"/>
                <w:spacing w:val="-6"/>
              </w:rPr>
            </w:pPr>
            <w:r>
              <w:rPr>
                <w:rFonts w:hint="eastAsia" w:ascii="宋体" w:hAnsi="宋体" w:cs="宋体"/>
                <w:spacing w:val="-6"/>
              </w:rPr>
              <w:t>直饮机服务费</w:t>
            </w:r>
          </w:p>
          <w:p>
            <w:pPr>
              <w:spacing w:beforeLines="50" w:afterLines="50" w:line="240" w:lineRule="atLeast"/>
              <w:jc w:val="center"/>
              <w:rPr>
                <w:rFonts w:ascii="宋体"/>
                <w:spacing w:val="-6"/>
              </w:rPr>
            </w:pPr>
            <w:r>
              <w:rPr>
                <w:rFonts w:hint="eastAsia" w:ascii="宋体" w:hAnsi="宋体" w:cs="宋体"/>
                <w:spacing w:val="-6"/>
              </w:rPr>
              <w:t>报价</w:t>
            </w:r>
          </w:p>
        </w:tc>
        <w:tc>
          <w:tcPr>
            <w:tcW w:w="780" w:type="dxa"/>
            <w:vAlign w:val="center"/>
          </w:tcPr>
          <w:p>
            <w:pPr>
              <w:spacing w:beforeLines="50" w:afterLines="50" w:line="240" w:lineRule="atLeast"/>
              <w:jc w:val="center"/>
              <w:rPr>
                <w:rFonts w:ascii="宋体"/>
                <w:spacing w:val="-6"/>
              </w:rPr>
            </w:pPr>
            <w:r>
              <w:rPr>
                <w:rFonts w:hint="eastAsia" w:ascii="宋体"/>
                <w:spacing w:val="-6"/>
              </w:rPr>
              <w:t>30</w:t>
            </w:r>
          </w:p>
        </w:tc>
        <w:tc>
          <w:tcPr>
            <w:tcW w:w="7695" w:type="dxa"/>
            <w:vAlign w:val="center"/>
          </w:tcPr>
          <w:p>
            <w:pPr>
              <w:spacing w:beforeLines="50" w:afterLines="50" w:line="240" w:lineRule="atLeast"/>
              <w:rPr>
                <w:rFonts w:ascii="宋体"/>
                <w:spacing w:val="-6"/>
              </w:rPr>
            </w:pPr>
            <w:r>
              <w:rPr>
                <w:rFonts w:ascii="宋体" w:hAnsi="宋体" w:cs="宋体"/>
                <w:spacing w:val="-6"/>
              </w:rPr>
              <w:t>1</w:t>
            </w:r>
            <w:r>
              <w:rPr>
                <w:rFonts w:hint="eastAsia" w:ascii="宋体" w:hAnsi="宋体" w:cs="宋体"/>
                <w:spacing w:val="-6"/>
              </w:rPr>
              <w:t>、普通开水（温度≥95℃）最高限价</w:t>
            </w:r>
            <w:r>
              <w:rPr>
                <w:rFonts w:hint="eastAsia" w:ascii="宋体" w:hAnsi="宋体" w:cs="宋体"/>
                <w:spacing w:val="-6"/>
                <w:u w:val="single"/>
              </w:rPr>
              <w:t>0.16</w:t>
            </w:r>
            <w:r>
              <w:rPr>
                <w:rFonts w:hint="eastAsia" w:ascii="宋体" w:hAnsi="宋体" w:cs="宋体"/>
                <w:spacing w:val="-6"/>
              </w:rPr>
              <w:t>元</w:t>
            </w:r>
            <w:r>
              <w:rPr>
                <w:rFonts w:ascii="宋体" w:hAnsi="宋体" w:cs="宋体"/>
                <w:spacing w:val="-6"/>
              </w:rPr>
              <w:t>/</w:t>
            </w:r>
            <w:r>
              <w:rPr>
                <w:rFonts w:hint="eastAsia" w:ascii="宋体" w:hAnsi="宋体" w:cs="宋体"/>
                <w:spacing w:val="-6"/>
              </w:rPr>
              <w:t>升。报价低于0.16元/升的，得5分，在0.16 元/升的基础上每减少</w:t>
            </w:r>
            <w:r>
              <w:rPr>
                <w:rFonts w:ascii="宋体" w:hAnsi="宋体" w:cs="宋体"/>
                <w:spacing w:val="-6"/>
              </w:rPr>
              <w:t>0.</w:t>
            </w:r>
            <w:r>
              <w:rPr>
                <w:rFonts w:hint="eastAsia" w:ascii="宋体" w:hAnsi="宋体" w:cs="宋体"/>
                <w:spacing w:val="-6"/>
              </w:rPr>
              <w:t>01元得1分，最高得12分；</w:t>
            </w:r>
          </w:p>
          <w:p>
            <w:pPr>
              <w:spacing w:beforeLines="50" w:afterLines="50" w:line="240" w:lineRule="atLeast"/>
              <w:rPr>
                <w:rFonts w:ascii="宋体"/>
                <w:spacing w:val="-6"/>
              </w:rPr>
            </w:pPr>
            <w:r>
              <w:rPr>
                <w:rFonts w:ascii="宋体" w:hAnsi="宋体" w:cs="宋体"/>
                <w:spacing w:val="-6"/>
              </w:rPr>
              <w:t>2</w:t>
            </w:r>
            <w:r>
              <w:rPr>
                <w:rFonts w:hint="eastAsia" w:ascii="宋体" w:hAnsi="宋体" w:cs="宋体"/>
                <w:spacing w:val="-6"/>
              </w:rPr>
              <w:t>、常温直饮水（常温）最高限价</w:t>
            </w:r>
            <w:r>
              <w:rPr>
                <w:rFonts w:hint="eastAsia" w:ascii="宋体" w:hAnsi="宋体" w:cs="宋体"/>
                <w:spacing w:val="-6"/>
                <w:u w:val="single"/>
              </w:rPr>
              <w:t>0.45</w:t>
            </w:r>
            <w:r>
              <w:rPr>
                <w:rFonts w:hint="eastAsia" w:ascii="宋体" w:hAnsi="宋体" w:cs="宋体"/>
                <w:spacing w:val="-6"/>
              </w:rPr>
              <w:t>元</w:t>
            </w:r>
            <w:r>
              <w:rPr>
                <w:rFonts w:ascii="宋体" w:hAnsi="宋体" w:cs="宋体"/>
                <w:spacing w:val="-6"/>
              </w:rPr>
              <w:t>/</w:t>
            </w:r>
            <w:r>
              <w:rPr>
                <w:rFonts w:hint="eastAsia" w:ascii="宋体" w:hAnsi="宋体" w:cs="宋体"/>
                <w:spacing w:val="-6"/>
              </w:rPr>
              <w:t>升。报价低于0.45元/升的，得5分，在0.45元/升的基础上每减少</w:t>
            </w:r>
            <w:r>
              <w:rPr>
                <w:rFonts w:ascii="宋体" w:hAnsi="宋体" w:cs="宋体"/>
                <w:spacing w:val="-6"/>
              </w:rPr>
              <w:t>0.</w:t>
            </w:r>
            <w:r>
              <w:rPr>
                <w:rFonts w:hint="eastAsia" w:ascii="宋体" w:hAnsi="宋体" w:cs="宋体"/>
                <w:spacing w:val="-6"/>
              </w:rPr>
              <w:t>05元得1分，最高得9分；</w:t>
            </w:r>
          </w:p>
          <w:p>
            <w:pPr>
              <w:spacing w:beforeLines="50" w:afterLines="50" w:line="240" w:lineRule="atLeast"/>
              <w:rPr>
                <w:rFonts w:ascii="宋体"/>
                <w:spacing w:val="-6"/>
              </w:rPr>
            </w:pPr>
            <w:r>
              <w:rPr>
                <w:rFonts w:ascii="宋体" w:hAnsi="宋体" w:cs="宋体"/>
                <w:spacing w:val="-6"/>
              </w:rPr>
              <w:t>3</w:t>
            </w:r>
            <w:r>
              <w:rPr>
                <w:rFonts w:hint="eastAsia" w:ascii="宋体" w:hAnsi="宋体" w:cs="宋体"/>
                <w:spacing w:val="-6"/>
              </w:rPr>
              <w:t>、高温直饮水（温度≥95℃）最高限价</w:t>
            </w:r>
            <w:r>
              <w:rPr>
                <w:rFonts w:hint="eastAsia" w:ascii="宋体" w:hAnsi="宋体" w:cs="宋体"/>
                <w:spacing w:val="-6"/>
                <w:u w:val="single"/>
              </w:rPr>
              <w:t>0.5</w:t>
            </w:r>
            <w:r>
              <w:rPr>
                <w:rFonts w:hint="eastAsia" w:ascii="宋体" w:hAnsi="宋体" w:cs="宋体"/>
                <w:spacing w:val="-6"/>
              </w:rPr>
              <w:t>元</w:t>
            </w:r>
            <w:r>
              <w:rPr>
                <w:rFonts w:ascii="宋体" w:hAnsi="宋体" w:cs="宋体"/>
                <w:spacing w:val="-6"/>
              </w:rPr>
              <w:t>/</w:t>
            </w:r>
            <w:r>
              <w:rPr>
                <w:rFonts w:hint="eastAsia" w:ascii="宋体" w:hAnsi="宋体" w:cs="宋体"/>
                <w:spacing w:val="-6"/>
              </w:rPr>
              <w:t>升。报价低于0.5元/升的，得5分，在0.5元/升的基础上每减少</w:t>
            </w:r>
            <w:r>
              <w:rPr>
                <w:rFonts w:ascii="宋体" w:hAnsi="宋体" w:cs="宋体"/>
                <w:spacing w:val="-6"/>
              </w:rPr>
              <w:t>0.</w:t>
            </w:r>
            <w:r>
              <w:rPr>
                <w:rFonts w:hint="eastAsia" w:ascii="宋体" w:hAnsi="宋体" w:cs="宋体"/>
                <w:spacing w:val="-6"/>
              </w:rPr>
              <w:t>05元得1分，最高得9分。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0" w:hRule="atLeast"/>
        </w:trPr>
        <w:tc>
          <w:tcPr>
            <w:tcW w:w="1485" w:type="dxa"/>
            <w:vAlign w:val="center"/>
          </w:tcPr>
          <w:p>
            <w:pPr>
              <w:spacing w:beforeLines="50" w:afterLines="50" w:line="240" w:lineRule="atLeast"/>
              <w:jc w:val="center"/>
              <w:rPr>
                <w:rFonts w:ascii="宋体" w:hAnsi="宋体" w:cs="宋体"/>
                <w:spacing w:val="-6"/>
              </w:rPr>
            </w:pPr>
            <w:r>
              <w:rPr>
                <w:rFonts w:hint="eastAsia" w:ascii="宋体" w:hAnsi="宋体" w:cs="宋体"/>
                <w:spacing w:val="-6"/>
              </w:rPr>
              <w:t>直饮机管理费</w:t>
            </w:r>
          </w:p>
          <w:p>
            <w:pPr>
              <w:spacing w:beforeLines="50" w:afterLines="50" w:line="240" w:lineRule="atLeast"/>
              <w:jc w:val="center"/>
              <w:rPr>
                <w:rFonts w:ascii="宋体"/>
                <w:spacing w:val="-6"/>
              </w:rPr>
            </w:pPr>
            <w:r>
              <w:rPr>
                <w:rFonts w:hint="eastAsia" w:ascii="宋体" w:hAnsi="宋体" w:cs="宋体"/>
                <w:spacing w:val="-6"/>
              </w:rPr>
              <w:t>报价</w:t>
            </w:r>
          </w:p>
        </w:tc>
        <w:tc>
          <w:tcPr>
            <w:tcW w:w="780" w:type="dxa"/>
            <w:vAlign w:val="center"/>
          </w:tcPr>
          <w:p>
            <w:pPr>
              <w:spacing w:beforeLines="50" w:afterLines="50" w:line="240" w:lineRule="atLeast"/>
              <w:jc w:val="center"/>
              <w:rPr>
                <w:rFonts w:ascii="宋体"/>
                <w:spacing w:val="-6"/>
              </w:rPr>
            </w:pPr>
            <w:r>
              <w:rPr>
                <w:rFonts w:ascii="宋体" w:hAnsi="宋体" w:cs="宋体"/>
                <w:spacing w:val="-6"/>
              </w:rPr>
              <w:t>20</w:t>
            </w:r>
          </w:p>
        </w:tc>
        <w:tc>
          <w:tcPr>
            <w:tcW w:w="7695" w:type="dxa"/>
            <w:vAlign w:val="center"/>
          </w:tcPr>
          <w:p>
            <w:pPr>
              <w:spacing w:beforeLines="50" w:afterLines="50" w:line="240" w:lineRule="atLeast"/>
              <w:ind w:firstLine="396" w:firstLineChars="200"/>
              <w:rPr>
                <w:rFonts w:ascii="宋体" w:hAnsi="宋体" w:cs="宋体"/>
                <w:spacing w:val="-6"/>
              </w:rPr>
            </w:pPr>
            <w:r>
              <w:rPr>
                <w:rFonts w:hint="eastAsia" w:ascii="宋体" w:hAnsi="宋体" w:cs="宋体"/>
                <w:spacing w:val="-6"/>
              </w:rPr>
              <w:t>直饮机管理费报价不低于水电费的10%，得基本分15分；报价在水电费的10%基础上每增加1%得1分。</w:t>
            </w:r>
          </w:p>
          <w:p>
            <w:pPr>
              <w:spacing w:beforeLines="50" w:afterLines="50" w:line="240" w:lineRule="atLeast"/>
              <w:ind w:firstLine="396" w:firstLineChars="200"/>
              <w:rPr>
                <w:rFonts w:ascii="宋体"/>
                <w:spacing w:val="-6"/>
              </w:rPr>
            </w:pPr>
            <w:r>
              <w:rPr>
                <w:rFonts w:hint="eastAsia" w:ascii="宋体" w:hAnsi="宋体" w:cs="宋体"/>
                <w:spacing w:val="-6"/>
              </w:rPr>
              <w:t>该项最高得20分。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26" w:hRule="atLeast"/>
        </w:trPr>
        <w:tc>
          <w:tcPr>
            <w:tcW w:w="9960" w:type="dxa"/>
            <w:gridSpan w:val="3"/>
            <w:vAlign w:val="center"/>
          </w:tcPr>
          <w:p>
            <w:pPr>
              <w:tabs>
                <w:tab w:val="left" w:pos="1418"/>
              </w:tabs>
              <w:spacing w:beforeLines="50" w:afterLines="50" w:line="240" w:lineRule="atLeast"/>
              <w:jc w:val="center"/>
              <w:rPr>
                <w:rFonts w:ascii="宋体"/>
                <w:b/>
                <w:bCs/>
                <w:spacing w:val="-6"/>
                <w:kern w:val="0"/>
              </w:rPr>
            </w:pPr>
            <w:r>
              <w:rPr>
                <w:rFonts w:hint="eastAsia" w:ascii="宋体" w:hAnsi="宋体" w:cs="宋体"/>
                <w:b/>
                <w:bCs/>
                <w:spacing w:val="-6"/>
                <w:kern w:val="0"/>
              </w:rPr>
              <w:t>技术分（5</w:t>
            </w:r>
            <w:r>
              <w:rPr>
                <w:rFonts w:ascii="宋体" w:hAnsi="宋体" w:cs="宋体"/>
                <w:b/>
                <w:bCs/>
                <w:spacing w:val="-6"/>
                <w:kern w:val="0"/>
              </w:rPr>
              <w:t>0</w:t>
            </w:r>
            <w:r>
              <w:rPr>
                <w:rFonts w:hint="eastAsia" w:ascii="宋体" w:hAnsi="宋体" w:cs="宋体"/>
                <w:b/>
                <w:bCs/>
                <w:spacing w:val="-6"/>
                <w:kern w:val="0"/>
              </w:rPr>
              <w:t>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870" w:hRule="atLeast"/>
        </w:trPr>
        <w:tc>
          <w:tcPr>
            <w:tcW w:w="1485" w:type="dxa"/>
            <w:vAlign w:val="center"/>
          </w:tcPr>
          <w:p>
            <w:pPr>
              <w:spacing w:beforeLines="50" w:afterLines="50" w:line="240" w:lineRule="atLeast"/>
              <w:jc w:val="center"/>
              <w:rPr>
                <w:rFonts w:ascii="宋体"/>
                <w:spacing w:val="-6"/>
              </w:rPr>
            </w:pPr>
            <w:r>
              <w:rPr>
                <w:rFonts w:hint="eastAsia" w:ascii="宋体"/>
                <w:spacing w:val="-6"/>
              </w:rPr>
              <w:t>直饮设备主机产品情况</w:t>
            </w:r>
          </w:p>
        </w:tc>
        <w:tc>
          <w:tcPr>
            <w:tcW w:w="780" w:type="dxa"/>
            <w:vAlign w:val="center"/>
          </w:tcPr>
          <w:p>
            <w:pPr>
              <w:spacing w:beforeLines="50" w:afterLines="50" w:line="240" w:lineRule="atLeast"/>
              <w:jc w:val="center"/>
              <w:rPr>
                <w:rFonts w:ascii="宋体"/>
                <w:spacing w:val="-6"/>
              </w:rPr>
            </w:pPr>
            <w:r>
              <w:rPr>
                <w:rFonts w:hint="eastAsia" w:ascii="宋体" w:hAnsi="宋体" w:cs="宋体"/>
                <w:spacing w:val="-6"/>
              </w:rPr>
              <w:t>5</w:t>
            </w:r>
          </w:p>
        </w:tc>
        <w:tc>
          <w:tcPr>
            <w:tcW w:w="7695" w:type="dxa"/>
          </w:tcPr>
          <w:p>
            <w:pPr>
              <w:adjustRightInd w:val="0"/>
              <w:snapToGrid w:val="0"/>
              <w:spacing w:line="276" w:lineRule="auto"/>
              <w:rPr>
                <w:rFonts w:ascii="Calibri" w:hAnsi="Calibri"/>
              </w:rPr>
            </w:pPr>
            <w:r>
              <w:rPr>
                <w:rFonts w:hint="eastAsia" w:ascii="Calibri" w:hAnsi="Calibri"/>
              </w:rPr>
              <w:t>1、直饮设备制造商具有反渗透膜元件的涉及饮用水卫生安全产品卫生许可批件，得1分</w:t>
            </w:r>
          </w:p>
          <w:p>
            <w:pPr>
              <w:adjustRightInd w:val="0"/>
              <w:snapToGrid w:val="0"/>
              <w:spacing w:line="276" w:lineRule="auto"/>
              <w:rPr>
                <w:rFonts w:ascii="宋体" w:hAnsi="宋体" w:cs="宋体"/>
              </w:rPr>
            </w:pPr>
            <w:r>
              <w:rPr>
                <w:rFonts w:hint="eastAsia" w:ascii="Calibri" w:hAnsi="Calibri"/>
              </w:rPr>
              <w:t>2</w:t>
            </w:r>
            <w:r>
              <w:rPr>
                <w:rFonts w:hint="eastAsia" w:ascii="Calibri" w:hAnsi="Calibri"/>
                <w:lang w:eastAsia="zh-CN"/>
              </w:rPr>
              <w:t>、</w:t>
            </w:r>
            <w:r>
              <w:rPr>
                <w:rFonts w:hint="eastAsia" w:ascii="宋体" w:hAnsi="宋体" w:cs="宋体"/>
              </w:rPr>
              <w:t>产品速热/加热组件采用不锈钢杯体+不锈钢发热管组成，提供速热/加热组件涉及饮用水卫生安全产品卫生许可批件</w:t>
            </w:r>
            <w:r>
              <w:rPr>
                <w:rFonts w:hint="eastAsia" w:ascii="宋体" w:hAnsi="宋体" w:cs="宋体"/>
                <w:lang w:eastAsia="zh-CN"/>
              </w:rPr>
              <w:t>，</w:t>
            </w:r>
            <w:r>
              <w:rPr>
                <w:rFonts w:hint="eastAsia" w:ascii="宋体" w:hAnsi="宋体" w:cs="宋体"/>
                <w:lang w:val="en-US" w:eastAsia="zh-CN"/>
              </w:rPr>
              <w:t>得</w:t>
            </w:r>
            <w:r>
              <w:rPr>
                <w:rFonts w:hint="eastAsia" w:ascii="宋体" w:hAnsi="宋体" w:cs="宋体"/>
              </w:rPr>
              <w:t>1分</w:t>
            </w:r>
          </w:p>
          <w:p>
            <w:pPr>
              <w:adjustRightInd w:val="0"/>
              <w:snapToGrid w:val="0"/>
              <w:spacing w:line="276" w:lineRule="auto"/>
              <w:rPr>
                <w:rFonts w:ascii="Calibri" w:hAnsi="Calibri"/>
              </w:rPr>
            </w:pPr>
            <w:r>
              <w:rPr>
                <w:rFonts w:hint="eastAsia" w:ascii="Calibri" w:hAnsi="Calibri"/>
              </w:rPr>
              <w:t>3</w:t>
            </w:r>
            <w:r>
              <w:rPr>
                <w:rFonts w:hint="eastAsia" w:ascii="Calibri" w:hAnsi="Calibri"/>
                <w:lang w:eastAsia="zh-CN"/>
              </w:rPr>
              <w:t>、</w:t>
            </w:r>
            <w:r>
              <w:rPr>
                <w:rFonts w:hint="eastAsia" w:ascii="Calibri" w:hAnsi="Calibri"/>
              </w:rPr>
              <w:t>直饮设备制造商具有活性炭的涉及饮用水卫生安全产品卫生许可批件</w:t>
            </w:r>
            <w:r>
              <w:rPr>
                <w:rFonts w:hint="eastAsia" w:ascii="Calibri" w:hAnsi="Calibri"/>
                <w:lang w:eastAsia="zh-CN"/>
              </w:rPr>
              <w:t>，</w:t>
            </w:r>
            <w:r>
              <w:rPr>
                <w:rFonts w:hint="eastAsia" w:ascii="Calibri" w:hAnsi="Calibri"/>
                <w:lang w:val="en-US" w:eastAsia="zh-CN"/>
              </w:rPr>
              <w:t>得</w:t>
            </w:r>
            <w:r>
              <w:rPr>
                <w:rFonts w:hint="eastAsia" w:ascii="Calibri" w:hAnsi="Calibri"/>
              </w:rPr>
              <w:t>1分</w:t>
            </w:r>
          </w:p>
          <w:p>
            <w:pPr>
              <w:adjustRightInd w:val="0"/>
              <w:snapToGrid w:val="0"/>
              <w:spacing w:line="276" w:lineRule="auto"/>
              <w:rPr>
                <w:rFonts w:ascii="Calibri" w:hAnsi="Calibri"/>
                <w:color w:val="000000"/>
              </w:rPr>
            </w:pPr>
            <w:r>
              <w:rPr>
                <w:rFonts w:hint="eastAsia"/>
                <w:color w:val="000000"/>
              </w:rPr>
              <w:t>4</w:t>
            </w:r>
            <w:r>
              <w:rPr>
                <w:rFonts w:hint="eastAsia" w:ascii="Calibri" w:hAnsi="Calibri"/>
                <w:color w:val="000000"/>
                <w:lang w:eastAsia="zh-CN"/>
              </w:rPr>
              <w:t>、</w:t>
            </w:r>
            <w:r>
              <w:rPr>
                <w:rFonts w:hint="eastAsia" w:ascii="Calibri" w:hAnsi="Calibri"/>
                <w:color w:val="000000"/>
              </w:rPr>
              <w:t>直饮水设备出水水嘴需要具备防尘功能，防止取水时的二次污染，保证饮水健康，提供省级以上行政部门颁发的相关技术认定证书</w:t>
            </w:r>
            <w:r>
              <w:rPr>
                <w:rFonts w:hint="eastAsia" w:ascii="Calibri" w:hAnsi="Calibri"/>
                <w:color w:val="000000"/>
                <w:lang w:eastAsia="zh-CN"/>
              </w:rPr>
              <w:t>，</w:t>
            </w:r>
            <w:r>
              <w:rPr>
                <w:rFonts w:hint="eastAsia" w:ascii="Calibri" w:hAnsi="Calibri"/>
                <w:color w:val="000000"/>
                <w:lang w:val="en-US" w:eastAsia="zh-CN"/>
              </w:rPr>
              <w:t>得</w:t>
            </w:r>
            <w:r>
              <w:rPr>
                <w:rFonts w:hint="eastAsia" w:ascii="Calibri" w:hAnsi="Calibri"/>
                <w:color w:val="000000"/>
              </w:rPr>
              <w:t>1分</w:t>
            </w:r>
          </w:p>
          <w:p>
            <w:pPr>
              <w:adjustRightInd w:val="0"/>
              <w:snapToGrid w:val="0"/>
              <w:spacing w:line="276" w:lineRule="auto"/>
              <w:rPr>
                <w:rFonts w:hint="eastAsia" w:ascii="Calibri" w:hAnsi="Calibri"/>
                <w:color w:val="000000"/>
              </w:rPr>
            </w:pPr>
            <w:r>
              <w:rPr>
                <w:rFonts w:hint="eastAsia" w:ascii="Calibri" w:hAnsi="Calibri"/>
                <w:color w:val="000000"/>
              </w:rPr>
              <w:t>5</w:t>
            </w:r>
            <w:r>
              <w:rPr>
                <w:rFonts w:hint="eastAsia" w:ascii="Calibri" w:hAnsi="Calibri"/>
                <w:color w:val="000000"/>
                <w:lang w:eastAsia="zh-CN"/>
              </w:rPr>
              <w:t>、</w:t>
            </w:r>
            <w:r>
              <w:rPr>
                <w:rFonts w:hint="eastAsia" w:ascii="Calibri" w:hAnsi="Calibri"/>
                <w:color w:val="000000"/>
              </w:rPr>
              <w:t>直饮水设备需要具备接水防溅结构，防止学生取水时烫伤，保证饮水安全，提供省级以上行政部门颁发的相关技术认定证书。</w:t>
            </w:r>
            <w:r>
              <w:rPr>
                <w:rFonts w:hint="eastAsia" w:ascii="Calibri" w:hAnsi="Calibri"/>
                <w:color w:val="000000"/>
                <w:lang w:val="en-US" w:eastAsia="zh-CN"/>
              </w:rPr>
              <w:t>得</w:t>
            </w:r>
            <w:r>
              <w:rPr>
                <w:rFonts w:hint="eastAsia" w:ascii="Calibri" w:hAnsi="Calibri"/>
                <w:color w:val="000000"/>
              </w:rPr>
              <w:t>1分</w:t>
            </w:r>
          </w:p>
          <w:p>
            <w:pPr>
              <w:adjustRightInd w:val="0"/>
              <w:snapToGrid w:val="0"/>
              <w:spacing w:line="276" w:lineRule="auto"/>
              <w:rPr>
                <w:rFonts w:ascii="Calibri" w:hAnsi="Calibri"/>
              </w:rPr>
            </w:pPr>
            <w:r>
              <w:rPr>
                <w:rFonts w:hint="eastAsia" w:ascii="Calibri" w:hAnsi="Calibri"/>
                <w:color w:val="000000"/>
              </w:rPr>
              <w:t>（申请人必须为饮水设备制造商，</w:t>
            </w:r>
            <w:r>
              <w:rPr>
                <w:rFonts w:ascii="Calibri" w:hAnsi="Calibri"/>
                <w:color w:val="000000"/>
              </w:rPr>
              <w:t>提供</w:t>
            </w:r>
            <w:r>
              <w:rPr>
                <w:rFonts w:hint="eastAsia" w:ascii="Calibri" w:hAnsi="Calibri"/>
                <w:color w:val="000000"/>
                <w:lang w:val="en-US" w:eastAsia="zh-CN"/>
              </w:rPr>
              <w:t>以上</w:t>
            </w:r>
            <w:r>
              <w:rPr>
                <w:rFonts w:hint="eastAsia" w:ascii="Calibri" w:hAnsi="Calibri"/>
                <w:color w:val="000000"/>
              </w:rPr>
              <w:t>相关证书加盖投标人公章）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518" w:hRule="atLeast"/>
        </w:trPr>
        <w:tc>
          <w:tcPr>
            <w:tcW w:w="1485" w:type="dxa"/>
            <w:vAlign w:val="center"/>
          </w:tcPr>
          <w:p>
            <w:pPr>
              <w:spacing w:beforeLines="50" w:afterLines="50" w:line="240" w:lineRule="atLeast"/>
              <w:jc w:val="center"/>
              <w:rPr>
                <w:rFonts w:ascii="宋体"/>
                <w:spacing w:val="-6"/>
              </w:rPr>
            </w:pPr>
            <w:r>
              <w:rPr>
                <w:rFonts w:hint="eastAsia" w:ascii="宋体" w:hAnsi="宋体" w:cs="宋体"/>
                <w:spacing w:val="-6"/>
              </w:rPr>
              <w:t>企业资质</w:t>
            </w:r>
          </w:p>
        </w:tc>
        <w:tc>
          <w:tcPr>
            <w:tcW w:w="780" w:type="dxa"/>
            <w:vAlign w:val="center"/>
          </w:tcPr>
          <w:p>
            <w:pPr>
              <w:spacing w:beforeLines="50" w:afterLines="50" w:line="240" w:lineRule="atLeast"/>
              <w:jc w:val="center"/>
              <w:rPr>
                <w:rFonts w:hint="eastAsia" w:ascii="宋体" w:eastAsia="宋体"/>
                <w:spacing w:val="-6"/>
                <w:lang w:eastAsia="zh-CN"/>
              </w:rPr>
            </w:pPr>
            <w:r>
              <w:rPr>
                <w:rFonts w:hint="eastAsia" w:ascii="宋体" w:hAnsi="宋体" w:cs="宋体"/>
                <w:spacing w:val="-6"/>
                <w:lang w:val="en-US" w:eastAsia="zh-CN"/>
              </w:rPr>
              <w:t>7</w:t>
            </w:r>
          </w:p>
        </w:tc>
        <w:tc>
          <w:tcPr>
            <w:tcW w:w="7695" w:type="dxa"/>
          </w:tcPr>
          <w:p>
            <w:pPr>
              <w:numPr>
                <w:ilvl w:val="0"/>
                <w:numId w:val="3"/>
              </w:numPr>
              <w:tabs>
                <w:tab w:val="left" w:pos="1275"/>
              </w:tabs>
              <w:adjustRightInd w:val="0"/>
              <w:snapToGrid w:val="0"/>
            </w:pPr>
            <w:r>
              <w:rPr>
                <w:rFonts w:hint="eastAsia"/>
              </w:rPr>
              <w:t>投标人或投标产品制造商获得ISO9001质量管理体系认证证书；能提供证书的得1分</w:t>
            </w:r>
            <w:r>
              <w:rPr>
                <w:rFonts w:hint="eastAsia"/>
                <w:lang w:eastAsia="zh-CN"/>
              </w:rPr>
              <w:t>；</w:t>
            </w:r>
          </w:p>
          <w:p>
            <w:pPr>
              <w:numPr>
                <w:ilvl w:val="0"/>
                <w:numId w:val="3"/>
              </w:numPr>
              <w:tabs>
                <w:tab w:val="left" w:pos="1275"/>
              </w:tabs>
              <w:adjustRightInd w:val="0"/>
              <w:snapToGrid w:val="0"/>
            </w:pPr>
            <w:r>
              <w:rPr>
                <w:rFonts w:hint="eastAsia"/>
              </w:rPr>
              <w:t>投标人或投标产品制造商具有ISO14001环境管理体系认证证书；能提供证书的得1分</w:t>
            </w:r>
            <w:r>
              <w:rPr>
                <w:rFonts w:hint="eastAsia"/>
                <w:lang w:eastAsia="zh-CN"/>
              </w:rPr>
              <w:t>；</w:t>
            </w:r>
          </w:p>
          <w:p>
            <w:pPr>
              <w:tabs>
                <w:tab w:val="left" w:pos="1275"/>
              </w:tabs>
              <w:adjustRightInd w:val="0"/>
              <w:snapToGrid w:val="0"/>
              <w:rPr>
                <w:rFonts w:hint="eastAsia"/>
                <w:lang w:eastAsia="zh-CN"/>
              </w:rPr>
            </w:pPr>
            <w:r>
              <w:rPr>
                <w:rFonts w:hint="eastAsia"/>
              </w:rPr>
              <w:t>3、投标人或投标产品制造商具有ISO45001职业健康安全管理体系认证证书；能提供证书的得1分</w:t>
            </w:r>
            <w:r>
              <w:rPr>
                <w:rFonts w:hint="eastAsia"/>
                <w:lang w:eastAsia="zh-CN"/>
              </w:rPr>
              <w:t>；</w:t>
            </w:r>
          </w:p>
          <w:p>
            <w:pPr>
              <w:numPr>
                <w:ilvl w:val="0"/>
                <w:numId w:val="0"/>
              </w:numPr>
              <w:adjustRightInd w:val="0"/>
              <w:snapToGrid w:val="0"/>
              <w:spacing w:line="276" w:lineRule="auto"/>
              <w:ind w:leftChars="0"/>
              <w:rPr>
                <w:rFonts w:hint="eastAsia"/>
                <w:lang w:eastAsia="zh-CN"/>
              </w:rPr>
            </w:pPr>
            <w:r>
              <w:rPr>
                <w:rFonts w:hint="eastAsia"/>
                <w:lang w:val="en-US" w:eastAsia="zh-CN"/>
              </w:rPr>
              <w:t>4、</w:t>
            </w:r>
            <w:r>
              <w:rPr>
                <w:rFonts w:hint="eastAsia"/>
              </w:rPr>
              <w:t>所投直饮设备获得中国质量认证监督管理中心颁发的中国绿色环保产品证书的得2分</w:t>
            </w:r>
            <w:r>
              <w:rPr>
                <w:rFonts w:hint="eastAsia"/>
                <w:lang w:eastAsia="zh-CN"/>
              </w:rPr>
              <w:t>；</w:t>
            </w:r>
          </w:p>
          <w:p>
            <w:pPr>
              <w:numPr>
                <w:ilvl w:val="0"/>
                <w:numId w:val="0"/>
              </w:numPr>
              <w:adjustRightInd w:val="0"/>
              <w:snapToGrid w:val="0"/>
              <w:spacing w:line="276" w:lineRule="auto"/>
              <w:ind w:leftChars="0"/>
              <w:rPr>
                <w:rFonts w:hint="eastAsia" w:eastAsia="宋体"/>
                <w:lang w:eastAsia="zh-CN"/>
              </w:rPr>
            </w:pPr>
            <w:r>
              <w:rPr>
                <w:rFonts w:hint="eastAsia"/>
                <w:lang w:val="en-US" w:eastAsia="zh-CN"/>
              </w:rPr>
              <w:t>5、</w:t>
            </w:r>
            <w:r>
              <w:rPr>
                <w:rFonts w:hint="eastAsia"/>
              </w:rPr>
              <w:t>直饮设备具有商品售后服务评价体系标准星级服务评价体系认证证书，得2分</w:t>
            </w:r>
          </w:p>
          <w:p>
            <w:pPr>
              <w:adjustRightInd w:val="0"/>
              <w:snapToGrid w:val="0"/>
              <w:spacing w:line="276" w:lineRule="auto"/>
              <w:rPr>
                <w:rFonts w:hint="eastAsia"/>
                <w:lang w:eastAsia="zh-CN"/>
              </w:rPr>
            </w:pPr>
            <w:r>
              <w:rPr>
                <w:rFonts w:hint="eastAsia" w:ascii="宋体" w:hAnsi="宋体" w:cs="宋体"/>
                <w:color w:val="000000"/>
              </w:rPr>
              <w:t>（</w:t>
            </w:r>
            <w:r>
              <w:rPr>
                <w:rFonts w:hint="eastAsia" w:ascii="宋体" w:hAnsi="宋体" w:cs="宋体"/>
                <w:color w:val="000000"/>
                <w:lang w:val="en-US" w:eastAsia="zh-CN"/>
              </w:rPr>
              <w:t>注：</w:t>
            </w:r>
            <w:r>
              <w:rPr>
                <w:rFonts w:hint="eastAsia" w:ascii="宋体" w:hAnsi="宋体" w:cs="宋体"/>
                <w:color w:val="000000"/>
              </w:rPr>
              <w:t>以上认证证书</w:t>
            </w:r>
            <w:r>
              <w:rPr>
                <w:rFonts w:hint="eastAsia" w:ascii="宋体" w:hAnsi="宋体" w:cs="宋体"/>
                <w:color w:val="000000"/>
                <w:lang w:val="en-US" w:eastAsia="zh-CN"/>
              </w:rPr>
              <w:t>的</w:t>
            </w:r>
            <w:r>
              <w:rPr>
                <w:rFonts w:hint="eastAsia" w:ascii="宋体" w:hAnsi="宋体" w:cs="宋体"/>
                <w:color w:val="000000"/>
              </w:rPr>
              <w:t>认证范围必须涵盖商用电热开水器的生产和销售，提供国家认监委查询链接及截图为准，不提供，不符合，不得分</w:t>
            </w:r>
            <w:r>
              <w:rPr>
                <w:rFonts w:hint="eastAsia" w:ascii="宋体" w:hAnsi="宋体" w:cs="宋体"/>
                <w:color w:val="000000"/>
                <w:lang w:val="en-US" w:eastAsia="zh-CN"/>
              </w:rPr>
              <w:t>。</w:t>
            </w:r>
            <w:r>
              <w:rPr>
                <w:rFonts w:hint="eastAsia" w:ascii="宋体" w:hAnsi="宋体" w:cs="宋体"/>
                <w:color w:val="000000"/>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0" w:hRule="atLeast"/>
        </w:trPr>
        <w:tc>
          <w:tcPr>
            <w:tcW w:w="1485" w:type="dxa"/>
            <w:vAlign w:val="center"/>
          </w:tcPr>
          <w:p>
            <w:pPr>
              <w:spacing w:beforeLines="50" w:afterLines="50" w:line="240" w:lineRule="atLeast"/>
              <w:jc w:val="center"/>
              <w:rPr>
                <w:rFonts w:ascii="宋体"/>
                <w:spacing w:val="-6"/>
              </w:rPr>
            </w:pPr>
            <w:r>
              <w:rPr>
                <w:rFonts w:hint="eastAsia" w:ascii="宋体" w:hAnsi="宋体" w:cs="宋体"/>
                <w:spacing w:val="-6"/>
              </w:rPr>
              <w:t>业绩案例</w:t>
            </w:r>
          </w:p>
        </w:tc>
        <w:tc>
          <w:tcPr>
            <w:tcW w:w="780" w:type="dxa"/>
            <w:vAlign w:val="center"/>
          </w:tcPr>
          <w:p>
            <w:pPr>
              <w:spacing w:beforeLines="50" w:afterLines="50" w:line="240" w:lineRule="atLeast"/>
              <w:jc w:val="center"/>
              <w:rPr>
                <w:rFonts w:ascii="宋体"/>
                <w:spacing w:val="-6"/>
              </w:rPr>
            </w:pPr>
            <w:r>
              <w:rPr>
                <w:rFonts w:hint="eastAsia" w:ascii="宋体" w:hAnsi="宋体" w:cs="宋体"/>
                <w:spacing w:val="-6"/>
              </w:rPr>
              <w:t>4</w:t>
            </w:r>
          </w:p>
        </w:tc>
        <w:tc>
          <w:tcPr>
            <w:tcW w:w="7695" w:type="dxa"/>
            <w:vAlign w:val="center"/>
          </w:tcPr>
          <w:p>
            <w:pPr>
              <w:rPr>
                <w:rFonts w:hint="eastAsia" w:ascii="宋体" w:hAnsi="宋体" w:cs="宋体"/>
              </w:rPr>
            </w:pPr>
            <w:r>
              <w:rPr>
                <w:rFonts w:hint="eastAsia" w:ascii="宋体" w:hAnsi="宋体" w:cs="宋体"/>
              </w:rPr>
              <w:t>投标产品具有自2017年1月以来的相同类饮用水机业绩，每提供1个得1分，最高可得4分。</w:t>
            </w:r>
          </w:p>
          <w:p>
            <w:pPr>
              <w:rPr>
                <w:rFonts w:hint="eastAsia" w:ascii="宋体" w:hAnsi="宋体" w:eastAsia="宋体" w:cs="宋体"/>
                <w:lang w:val="en-US" w:eastAsia="zh-CN"/>
              </w:rPr>
            </w:pPr>
            <w:r>
              <w:rPr>
                <w:rFonts w:hint="eastAsia" w:ascii="宋体" w:hAnsi="宋体" w:cs="宋体"/>
                <w:bCs/>
                <w:lang w:eastAsia="zh-CN"/>
              </w:rPr>
              <w:t>（</w:t>
            </w:r>
            <w:r>
              <w:rPr>
                <w:rFonts w:hint="eastAsia" w:ascii="宋体" w:hAnsi="宋体" w:cs="宋体"/>
                <w:bCs/>
              </w:rPr>
              <w:t>注：必须提供合同复印件加盖单位公章，合同原件备查，否则不得分</w:t>
            </w:r>
            <w:r>
              <w:rPr>
                <w:rFonts w:hint="eastAsia" w:ascii="宋体" w:hAnsi="宋体" w:cs="宋体"/>
              </w:rPr>
              <w:t>。</w:t>
            </w:r>
            <w:r>
              <w:rPr>
                <w:rFonts w:hint="eastAsia" w:ascii="宋体" w:hAnsi="宋体" w:cs="宋体"/>
                <w:lang w:eastAsia="zh-CN"/>
              </w:rPr>
              <w:t>）</w:t>
            </w:r>
            <w:r>
              <w:rPr>
                <w:rFonts w:hint="eastAsia" w:ascii="宋体" w:hAnsi="宋体" w:cs="宋体"/>
                <w:lang w:val="en-US" w:eastAsia="zh-CN"/>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0" w:hRule="atLeast"/>
        </w:trPr>
        <w:tc>
          <w:tcPr>
            <w:tcW w:w="1485" w:type="dxa"/>
            <w:vAlign w:val="center"/>
          </w:tcPr>
          <w:p>
            <w:pPr>
              <w:spacing w:beforeLines="50" w:afterLines="50" w:line="240" w:lineRule="atLeast"/>
              <w:jc w:val="center"/>
              <w:rPr>
                <w:rFonts w:ascii="宋体"/>
                <w:spacing w:val="-6"/>
              </w:rPr>
            </w:pPr>
            <w:r>
              <w:rPr>
                <w:rFonts w:hint="eastAsia" w:ascii="宋体" w:hAnsi="宋体" w:cs="宋体"/>
                <w:spacing w:val="-6"/>
              </w:rPr>
              <w:t>智能管理方案</w:t>
            </w:r>
          </w:p>
        </w:tc>
        <w:tc>
          <w:tcPr>
            <w:tcW w:w="780" w:type="dxa"/>
            <w:vAlign w:val="center"/>
          </w:tcPr>
          <w:p>
            <w:pPr>
              <w:spacing w:beforeLines="50" w:afterLines="50" w:line="240" w:lineRule="atLeast"/>
              <w:jc w:val="center"/>
              <w:rPr>
                <w:rFonts w:ascii="宋体"/>
                <w:spacing w:val="-6"/>
              </w:rPr>
            </w:pPr>
            <w:r>
              <w:rPr>
                <w:rFonts w:hint="eastAsia" w:ascii="宋体"/>
                <w:spacing w:val="-6"/>
              </w:rPr>
              <w:t>3</w:t>
            </w:r>
          </w:p>
        </w:tc>
        <w:tc>
          <w:tcPr>
            <w:tcW w:w="7695" w:type="dxa"/>
            <w:vAlign w:val="center"/>
          </w:tcPr>
          <w:p>
            <w:pPr>
              <w:numPr>
                <w:ilvl w:val="0"/>
                <w:numId w:val="4"/>
              </w:numPr>
              <w:adjustRightInd w:val="0"/>
              <w:snapToGrid w:val="0"/>
              <w:spacing w:line="276" w:lineRule="auto"/>
              <w:rPr>
                <w:rFonts w:hint="eastAsia"/>
              </w:rPr>
            </w:pPr>
            <w:r>
              <w:rPr>
                <w:rFonts w:hint="eastAsia"/>
              </w:rPr>
              <w:t>支付方式：支持微信、支付宝扫码支付，无需下载APP</w:t>
            </w:r>
            <w:r>
              <w:rPr>
                <w:rFonts w:hint="eastAsia"/>
                <w:lang w:eastAsia="zh-CN"/>
              </w:rPr>
              <w:t>，</w:t>
            </w:r>
            <w:r>
              <w:rPr>
                <w:rFonts w:hint="eastAsia"/>
              </w:rPr>
              <w:t>得1分；</w:t>
            </w:r>
          </w:p>
          <w:p>
            <w:pPr>
              <w:numPr>
                <w:ilvl w:val="0"/>
                <w:numId w:val="0"/>
              </w:numPr>
              <w:adjustRightInd w:val="0"/>
              <w:snapToGrid w:val="0"/>
              <w:spacing w:line="276" w:lineRule="auto"/>
              <w:rPr>
                <w:rFonts w:hint="eastAsia" w:eastAsia="宋体"/>
                <w:lang w:eastAsia="zh-CN"/>
              </w:rPr>
            </w:pPr>
            <w:r>
              <w:rPr>
                <w:rFonts w:hint="eastAsia"/>
              </w:rPr>
              <w:t>2、设备管理：可实现移动端实时查看设备状态</w:t>
            </w:r>
            <w:r>
              <w:rPr>
                <w:rFonts w:hint="eastAsia"/>
                <w:lang w:eastAsia="zh-CN"/>
              </w:rPr>
              <w:t>，</w:t>
            </w:r>
            <w:r>
              <w:rPr>
                <w:rFonts w:hint="eastAsia"/>
              </w:rPr>
              <w:t>得1分</w:t>
            </w:r>
            <w:r>
              <w:rPr>
                <w:rFonts w:hint="eastAsia"/>
                <w:lang w:eastAsia="zh-CN"/>
              </w:rPr>
              <w:t>；</w:t>
            </w:r>
          </w:p>
          <w:p>
            <w:pPr>
              <w:numPr>
                <w:ilvl w:val="0"/>
                <w:numId w:val="0"/>
              </w:numPr>
              <w:adjustRightInd w:val="0"/>
              <w:snapToGrid w:val="0"/>
              <w:spacing w:line="276" w:lineRule="auto"/>
              <w:rPr>
                <w:rFonts w:ascii="宋体" w:hAnsi="宋体" w:cs="宋体"/>
                <w:color w:val="auto"/>
                <w:kern w:val="2"/>
                <w:sz w:val="21"/>
                <w:szCs w:val="21"/>
              </w:rPr>
            </w:pPr>
            <w:r>
              <w:rPr>
                <w:rFonts w:hint="eastAsia"/>
              </w:rPr>
              <w:t>3、搭载智能物联射频识别装置，账户可绑定任意13.56MHZ的IC卡片，绑定后IC卡可在直饮机上刷卡取水，消费金额从账户上扣减</w:t>
            </w:r>
            <w:r>
              <w:rPr>
                <w:rFonts w:hint="eastAsia"/>
                <w:lang w:eastAsia="zh-CN"/>
              </w:rPr>
              <w:t>，</w:t>
            </w:r>
            <w:r>
              <w:rPr>
                <w:rFonts w:hint="eastAsia"/>
              </w:rPr>
              <w:t>得1分。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190" w:hRule="atLeast"/>
        </w:trPr>
        <w:tc>
          <w:tcPr>
            <w:tcW w:w="1485" w:type="dxa"/>
            <w:vAlign w:val="center"/>
          </w:tcPr>
          <w:p>
            <w:pPr>
              <w:spacing w:beforeLines="50" w:afterLines="50" w:line="240" w:lineRule="atLeast"/>
              <w:jc w:val="center"/>
              <w:rPr>
                <w:rFonts w:ascii="宋体"/>
                <w:spacing w:val="-6"/>
              </w:rPr>
            </w:pPr>
            <w:r>
              <w:rPr>
                <w:rFonts w:hint="eastAsia" w:ascii="宋体"/>
                <w:spacing w:val="-6"/>
              </w:rPr>
              <w:t>售后服务</w:t>
            </w:r>
          </w:p>
        </w:tc>
        <w:tc>
          <w:tcPr>
            <w:tcW w:w="780" w:type="dxa"/>
            <w:vAlign w:val="center"/>
          </w:tcPr>
          <w:p>
            <w:pPr>
              <w:spacing w:beforeLines="50" w:afterLines="50" w:line="240" w:lineRule="atLeast"/>
              <w:jc w:val="center"/>
              <w:rPr>
                <w:rFonts w:hint="eastAsia" w:ascii="宋体" w:eastAsia="宋体"/>
                <w:spacing w:val="-6"/>
                <w:lang w:eastAsia="zh-CN"/>
              </w:rPr>
            </w:pPr>
            <w:r>
              <w:rPr>
                <w:rFonts w:hint="eastAsia" w:ascii="宋体"/>
                <w:spacing w:val="-6"/>
                <w:lang w:val="en-US" w:eastAsia="zh-CN"/>
              </w:rPr>
              <w:t>8</w:t>
            </w:r>
          </w:p>
        </w:tc>
        <w:tc>
          <w:tcPr>
            <w:tcW w:w="7695" w:type="dxa"/>
            <w:vAlign w:val="center"/>
          </w:tcPr>
          <w:p>
            <w:pPr>
              <w:numPr>
                <w:ilvl w:val="0"/>
                <w:numId w:val="0"/>
              </w:numPr>
              <w:adjustRightInd w:val="0"/>
              <w:snapToGrid w:val="0"/>
              <w:spacing w:line="276" w:lineRule="auto"/>
              <w:rPr>
                <w:rFonts w:hint="eastAsia" w:eastAsia="宋体"/>
                <w:lang w:eastAsia="zh-CN"/>
              </w:rPr>
            </w:pPr>
            <w:r>
              <w:rPr>
                <w:rFonts w:hint="eastAsia"/>
                <w:lang w:val="en-US" w:eastAsia="zh-CN"/>
              </w:rPr>
              <w:t>1、</w:t>
            </w:r>
            <w:r>
              <w:rPr>
                <w:rFonts w:hint="eastAsia"/>
              </w:rPr>
              <w:t>投标人安装售后服务人员具有国家人力资源和社会保障部门颁发的饮用水净化（安装和售后）的专业技能证书（提供证书及近6个月内任意1个月的社保证明材料），得2分</w:t>
            </w:r>
            <w:r>
              <w:rPr>
                <w:rFonts w:hint="eastAsia"/>
                <w:lang w:eastAsia="zh-CN"/>
              </w:rPr>
              <w:t>；</w:t>
            </w:r>
          </w:p>
          <w:p>
            <w:pPr>
              <w:numPr>
                <w:ilvl w:val="0"/>
                <w:numId w:val="0"/>
              </w:numPr>
              <w:adjustRightInd w:val="0"/>
              <w:snapToGrid w:val="0"/>
              <w:spacing w:line="276" w:lineRule="auto"/>
              <w:rPr>
                <w:rFonts w:hint="eastAsia"/>
                <w:lang w:eastAsia="zh-CN"/>
              </w:rPr>
            </w:pPr>
            <w:r>
              <w:rPr>
                <w:rFonts w:hint="eastAsia"/>
                <w:lang w:val="en-US" w:eastAsia="zh-CN"/>
              </w:rPr>
              <w:t>2、</w:t>
            </w:r>
            <w:r>
              <w:rPr>
                <w:rFonts w:hint="eastAsia"/>
              </w:rPr>
              <w:t>投标人直饮设备服务满意度、诚信度</w:t>
            </w:r>
            <w:r>
              <w:rPr>
                <w:rFonts w:hint="eastAsia"/>
                <w:lang w:eastAsia="zh-CN"/>
              </w:rPr>
              <w:t>，</w:t>
            </w:r>
            <w:r>
              <w:rPr>
                <w:rFonts w:hint="eastAsia"/>
                <w:lang w:val="en-US" w:eastAsia="zh-CN"/>
              </w:rPr>
              <w:t>县级及以上</w:t>
            </w:r>
            <w:r>
              <w:rPr>
                <w:rFonts w:hint="eastAsia"/>
              </w:rPr>
              <w:t>教育部门出具的证明函（加盖部门公章）</w:t>
            </w:r>
            <w:r>
              <w:rPr>
                <w:rFonts w:hint="eastAsia"/>
                <w:lang w:eastAsia="zh-CN"/>
              </w:rPr>
              <w:t>，</w:t>
            </w:r>
            <w:r>
              <w:rPr>
                <w:rFonts w:hint="eastAsia"/>
              </w:rPr>
              <w:t>得3分</w:t>
            </w:r>
            <w:r>
              <w:rPr>
                <w:rFonts w:hint="eastAsia"/>
                <w:lang w:eastAsia="zh-CN"/>
              </w:rPr>
              <w:t>；</w:t>
            </w:r>
          </w:p>
          <w:p>
            <w:pPr>
              <w:numPr>
                <w:ilvl w:val="0"/>
                <w:numId w:val="0"/>
              </w:numPr>
              <w:adjustRightInd w:val="0"/>
              <w:snapToGrid w:val="0"/>
              <w:spacing w:line="276" w:lineRule="auto"/>
              <w:rPr>
                <w:rFonts w:hint="eastAsia" w:ascii="宋体" w:hAnsi="宋体" w:eastAsia="宋体" w:cs="宋体"/>
                <w:color w:val="auto"/>
                <w:sz w:val="21"/>
                <w:szCs w:val="21"/>
                <w:lang w:eastAsia="zh-CN"/>
              </w:rPr>
            </w:pPr>
            <w:r>
              <w:rPr>
                <w:rFonts w:hint="eastAsia"/>
                <w:lang w:val="en-US" w:eastAsia="zh-CN"/>
              </w:rPr>
              <w:t>3、</w:t>
            </w:r>
            <w:r>
              <w:rPr>
                <w:rFonts w:hint="eastAsia"/>
              </w:rPr>
              <w:t>直饮设备具有产品责任保险，产品责任险保额</w:t>
            </w:r>
            <w:r>
              <w:rPr>
                <w:rFonts w:hint="eastAsia"/>
                <w:lang w:val="en-US" w:eastAsia="zh-CN"/>
              </w:rPr>
              <w:t>高于500万（含），低于1</w:t>
            </w:r>
            <w:r>
              <w:rPr>
                <w:rFonts w:hint="eastAsia"/>
              </w:rPr>
              <w:t>000万</w:t>
            </w:r>
            <w:r>
              <w:rPr>
                <w:rFonts w:hint="eastAsia"/>
                <w:lang w:val="en-US" w:eastAsia="zh-CN"/>
              </w:rPr>
              <w:t>的得1分；</w:t>
            </w:r>
            <w:r>
              <w:rPr>
                <w:rFonts w:hint="eastAsia"/>
              </w:rPr>
              <w:t>产品责任险保额高于1000万</w:t>
            </w:r>
            <w:r>
              <w:rPr>
                <w:rFonts w:hint="eastAsia"/>
                <w:lang w:eastAsia="zh-CN"/>
              </w:rPr>
              <w:t>（</w:t>
            </w:r>
            <w:r>
              <w:rPr>
                <w:rFonts w:hint="eastAsia"/>
                <w:lang w:val="en-US" w:eastAsia="zh-CN"/>
              </w:rPr>
              <w:t>含</w:t>
            </w:r>
            <w:r>
              <w:rPr>
                <w:rFonts w:hint="eastAsia"/>
                <w:lang w:eastAsia="zh-CN"/>
              </w:rPr>
              <w:t>），</w:t>
            </w:r>
            <w:r>
              <w:rPr>
                <w:rFonts w:hint="eastAsia" w:ascii="Arial" w:hAnsi="Arial" w:cs="Arial"/>
              </w:rPr>
              <w:t>低于</w:t>
            </w:r>
            <w:r>
              <w:rPr>
                <w:rFonts w:hint="eastAsia"/>
              </w:rPr>
              <w:t>2000万</w:t>
            </w:r>
            <w:r>
              <w:rPr>
                <w:rFonts w:hint="eastAsia"/>
                <w:lang w:val="en-US" w:eastAsia="zh-CN"/>
              </w:rPr>
              <w:t>的</w:t>
            </w:r>
            <w:r>
              <w:rPr>
                <w:rFonts w:hint="eastAsia"/>
              </w:rPr>
              <w:t>得</w:t>
            </w:r>
            <w:r>
              <w:rPr>
                <w:rFonts w:hint="eastAsia"/>
                <w:lang w:val="en-US" w:eastAsia="zh-CN"/>
              </w:rPr>
              <w:t>2</w:t>
            </w:r>
            <w:r>
              <w:rPr>
                <w:rFonts w:hint="eastAsia"/>
              </w:rPr>
              <w:t>分，产品责任险保额</w:t>
            </w:r>
            <w:r>
              <w:rPr>
                <w:rFonts w:ascii="Arial" w:hAnsi="Arial" w:cs="Arial"/>
              </w:rPr>
              <w:t>≥</w:t>
            </w:r>
            <w:r>
              <w:rPr>
                <w:rFonts w:hint="eastAsia"/>
              </w:rPr>
              <w:t>2000万，得3分</w:t>
            </w:r>
            <w:r>
              <w:rPr>
                <w:rFonts w:hint="eastAsia"/>
                <w:lang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31" w:hRule="atLeast"/>
        </w:trPr>
        <w:tc>
          <w:tcPr>
            <w:tcW w:w="1485" w:type="dxa"/>
            <w:vAlign w:val="center"/>
          </w:tcPr>
          <w:p>
            <w:pPr>
              <w:spacing w:beforeLines="50" w:afterLines="50" w:line="240" w:lineRule="atLeast"/>
              <w:jc w:val="center"/>
              <w:rPr>
                <w:rFonts w:hint="default" w:ascii="宋体"/>
                <w:spacing w:val="-6"/>
                <w:lang w:val="en-US"/>
              </w:rPr>
            </w:pPr>
            <w:r>
              <w:rPr>
                <w:rFonts w:hint="eastAsia" w:ascii="宋体"/>
                <w:spacing w:val="-6"/>
                <w:lang w:val="en-US" w:eastAsia="zh-CN"/>
              </w:rPr>
              <w:t>设备管理</w:t>
            </w:r>
          </w:p>
        </w:tc>
        <w:tc>
          <w:tcPr>
            <w:tcW w:w="780" w:type="dxa"/>
            <w:vAlign w:val="center"/>
          </w:tcPr>
          <w:p>
            <w:pPr>
              <w:spacing w:beforeLines="50" w:afterLines="50" w:line="240" w:lineRule="atLeast"/>
              <w:jc w:val="center"/>
              <w:rPr>
                <w:rFonts w:hint="eastAsia" w:ascii="宋体" w:eastAsia="宋体"/>
                <w:spacing w:val="-6"/>
                <w:lang w:eastAsia="zh-CN"/>
              </w:rPr>
            </w:pPr>
            <w:r>
              <w:rPr>
                <w:rFonts w:hint="eastAsia" w:ascii="宋体"/>
                <w:spacing w:val="-6"/>
                <w:lang w:val="en-US" w:eastAsia="zh-CN"/>
              </w:rPr>
              <w:t>9</w:t>
            </w:r>
          </w:p>
        </w:tc>
        <w:tc>
          <w:tcPr>
            <w:tcW w:w="7695" w:type="dxa"/>
            <w:vAlign w:val="center"/>
          </w:tcPr>
          <w:p>
            <w:pPr>
              <w:numPr>
                <w:ilvl w:val="0"/>
                <w:numId w:val="0"/>
              </w:numPr>
              <w:adjustRightInd w:val="0"/>
              <w:snapToGrid w:val="0"/>
              <w:spacing w:line="276" w:lineRule="auto"/>
              <w:rPr>
                <w:rFonts w:hint="eastAsia" w:eastAsia="宋体"/>
                <w:lang w:eastAsia="zh-CN"/>
              </w:rPr>
            </w:pPr>
            <w:r>
              <w:rPr>
                <w:rFonts w:hint="eastAsia" w:ascii="宋体" w:hAnsi="宋体" w:cs="宋体"/>
                <w:color w:val="auto"/>
                <w:sz w:val="21"/>
                <w:szCs w:val="21"/>
                <w:lang w:val="en-US" w:eastAsia="zh-CN"/>
              </w:rPr>
              <w:t>1、</w:t>
            </w:r>
            <w:r>
              <w:rPr>
                <w:rFonts w:hint="eastAsia"/>
              </w:rPr>
              <w:t>按照流量计量购水量的，得3分，其余方式不得分</w:t>
            </w:r>
            <w:r>
              <w:rPr>
                <w:rFonts w:hint="eastAsia"/>
                <w:lang w:eastAsia="zh-CN"/>
              </w:rPr>
              <w:t>；</w:t>
            </w:r>
          </w:p>
          <w:p>
            <w:pPr>
              <w:numPr>
                <w:ilvl w:val="0"/>
                <w:numId w:val="0"/>
              </w:numPr>
              <w:adjustRightInd w:val="0"/>
              <w:snapToGrid w:val="0"/>
              <w:spacing w:line="276" w:lineRule="auto"/>
              <w:rPr>
                <w:rFonts w:hint="eastAsia" w:eastAsia="宋体"/>
                <w:lang w:eastAsia="zh-CN"/>
              </w:rPr>
            </w:pPr>
            <w:r>
              <w:rPr>
                <w:rFonts w:hint="eastAsia"/>
                <w:lang w:val="en-US" w:eastAsia="zh-CN"/>
              </w:rPr>
              <w:t>2、</w:t>
            </w:r>
            <w:r>
              <w:rPr>
                <w:rFonts w:hint="eastAsia"/>
              </w:rPr>
              <w:t>提供设备安装的效果图</w:t>
            </w:r>
            <w:r>
              <w:rPr>
                <w:rFonts w:hint="eastAsia"/>
                <w:lang w:eastAsia="zh-CN"/>
              </w:rPr>
              <w:t>，</w:t>
            </w:r>
            <w:r>
              <w:rPr>
                <w:rFonts w:hint="eastAsia"/>
              </w:rPr>
              <w:t>美观大方得3分</w:t>
            </w:r>
            <w:r>
              <w:rPr>
                <w:rFonts w:hint="eastAsia"/>
                <w:lang w:eastAsia="zh-CN"/>
              </w:rPr>
              <w:t>，</w:t>
            </w:r>
            <w:r>
              <w:rPr>
                <w:rFonts w:hint="eastAsia"/>
              </w:rPr>
              <w:t>没有不得分</w:t>
            </w:r>
            <w:r>
              <w:rPr>
                <w:rFonts w:hint="eastAsia"/>
                <w:lang w:eastAsia="zh-CN"/>
              </w:rPr>
              <w:t>；</w:t>
            </w:r>
          </w:p>
          <w:p>
            <w:pPr>
              <w:numPr>
                <w:ilvl w:val="0"/>
                <w:numId w:val="0"/>
              </w:numPr>
              <w:adjustRightInd w:val="0"/>
              <w:snapToGrid w:val="0"/>
              <w:spacing w:line="276" w:lineRule="auto"/>
              <w:rPr>
                <w:rFonts w:ascii="宋体" w:hAnsi="宋体" w:cs="宋体"/>
                <w:sz w:val="21"/>
                <w:szCs w:val="21"/>
              </w:rPr>
            </w:pPr>
            <w:r>
              <w:rPr>
                <w:rFonts w:hint="eastAsia"/>
                <w:lang w:val="en-US" w:eastAsia="zh-CN"/>
              </w:rPr>
              <w:t>3、</w:t>
            </w:r>
            <w:r>
              <w:rPr>
                <w:rFonts w:hint="eastAsia" w:ascii="宋体" w:hAnsi="宋体" w:cs="宋体"/>
                <w:color w:val="auto"/>
                <w:sz w:val="21"/>
                <w:szCs w:val="21"/>
              </w:rPr>
              <w:t>产品具有互联网直饮水管理功能软件，提供生产厂家自主取得的“互联网直饮水管理软件”计算机软件著作权登记证书复印件，加盖投标人公章，得3分。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68" w:hRule="atLeast"/>
        </w:trPr>
        <w:tc>
          <w:tcPr>
            <w:tcW w:w="1485" w:type="dxa"/>
            <w:vAlign w:val="center"/>
          </w:tcPr>
          <w:p>
            <w:pPr>
              <w:numPr>
                <w:ilvl w:val="0"/>
                <w:numId w:val="0"/>
              </w:numPr>
              <w:adjustRightInd w:val="0"/>
              <w:snapToGrid w:val="0"/>
              <w:spacing w:line="276" w:lineRule="auto"/>
              <w:jc w:val="center"/>
              <w:rPr>
                <w:rFonts w:hint="eastAsia"/>
                <w:lang w:val="en-US" w:eastAsia="zh-CN"/>
              </w:rPr>
            </w:pPr>
            <w:r>
              <w:rPr>
                <w:rFonts w:hint="eastAsia"/>
                <w:lang w:val="en-US" w:eastAsia="zh-CN"/>
              </w:rPr>
              <w:t>RoHS符合性</w:t>
            </w:r>
          </w:p>
          <w:p>
            <w:pPr>
              <w:numPr>
                <w:ilvl w:val="0"/>
                <w:numId w:val="0"/>
              </w:numPr>
              <w:adjustRightInd w:val="0"/>
              <w:snapToGrid w:val="0"/>
              <w:spacing w:line="276" w:lineRule="auto"/>
              <w:jc w:val="center"/>
              <w:rPr>
                <w:rFonts w:hint="default" w:ascii="宋体" w:eastAsia="宋体"/>
                <w:kern w:val="0"/>
                <w:lang w:val="en-US" w:eastAsia="zh-CN"/>
              </w:rPr>
            </w:pPr>
            <w:r>
              <w:rPr>
                <w:rFonts w:hint="eastAsia"/>
                <w:lang w:val="en-US" w:eastAsia="zh-CN"/>
              </w:rPr>
              <w:t>认证及其他认证情况</w:t>
            </w:r>
          </w:p>
        </w:tc>
        <w:tc>
          <w:tcPr>
            <w:tcW w:w="780" w:type="dxa"/>
            <w:vAlign w:val="center"/>
          </w:tcPr>
          <w:p>
            <w:pPr>
              <w:spacing w:beforeLines="50" w:afterLines="50" w:line="240" w:lineRule="atLeast"/>
              <w:jc w:val="center"/>
              <w:rPr>
                <w:rFonts w:hint="default" w:ascii="宋体" w:eastAsia="宋体"/>
                <w:spacing w:val="-6"/>
                <w:lang w:val="en-US" w:eastAsia="zh-CN"/>
              </w:rPr>
            </w:pPr>
            <w:r>
              <w:rPr>
                <w:rFonts w:hint="eastAsia" w:ascii="宋体" w:hAnsi="宋体" w:cs="宋体"/>
                <w:spacing w:val="-6"/>
                <w:lang w:val="en-US" w:eastAsia="zh-CN"/>
              </w:rPr>
              <w:t>8</w:t>
            </w:r>
          </w:p>
        </w:tc>
        <w:tc>
          <w:tcPr>
            <w:tcW w:w="7695" w:type="dxa"/>
            <w:vAlign w:val="center"/>
          </w:tcPr>
          <w:p>
            <w:pPr>
              <w:numPr>
                <w:numId w:val="0"/>
              </w:numPr>
              <w:adjustRightInd w:val="0"/>
              <w:snapToGrid w:val="0"/>
              <w:spacing w:line="276" w:lineRule="auto"/>
              <w:rPr>
                <w:rFonts w:hint="eastAsia"/>
              </w:rPr>
            </w:pPr>
            <w:r>
              <w:rPr>
                <w:rFonts w:hint="eastAsia"/>
                <w:lang w:val="en-US" w:eastAsia="zh-CN"/>
              </w:rPr>
              <w:t>1、</w:t>
            </w:r>
            <w:r>
              <w:rPr>
                <w:rFonts w:hint="eastAsia"/>
              </w:rPr>
              <w:t>直饮设备制造商具有《关于限制在电子电器设备中使用某些有害成分的指令》的RoHS符合性认证证书，得3分</w:t>
            </w:r>
            <w:r>
              <w:rPr>
                <w:rFonts w:hint="eastAsia"/>
                <w:lang w:eastAsia="zh-CN"/>
              </w:rPr>
              <w:t>；</w:t>
            </w:r>
          </w:p>
          <w:p>
            <w:pPr>
              <w:numPr>
                <w:ilvl w:val="0"/>
                <w:numId w:val="0"/>
              </w:numPr>
              <w:adjustRightInd w:val="0"/>
              <w:snapToGrid w:val="0"/>
              <w:spacing w:line="276" w:lineRule="auto"/>
              <w:rPr>
                <w:rFonts w:hint="eastAsia" w:eastAsia="宋体"/>
                <w:lang w:eastAsia="zh-CN"/>
              </w:rPr>
            </w:pPr>
            <w:r>
              <w:rPr>
                <w:rFonts w:hint="eastAsia"/>
                <w:lang w:val="en-US" w:eastAsia="zh-CN"/>
              </w:rPr>
              <w:t>2、</w:t>
            </w:r>
            <w:r>
              <w:rPr>
                <w:rFonts w:hint="eastAsia"/>
              </w:rPr>
              <w:t>投标人或投标设备制造商具有AAA级企业信用等级认证证书的，得3分（认证证书需要同时提供国家认监委网站查询链接及截图为准）</w:t>
            </w:r>
            <w:r>
              <w:rPr>
                <w:rFonts w:hint="eastAsia"/>
                <w:lang w:eastAsia="zh-CN"/>
              </w:rPr>
              <w:t>；</w:t>
            </w:r>
          </w:p>
          <w:p>
            <w:pPr>
              <w:adjustRightInd w:val="0"/>
              <w:snapToGrid w:val="0"/>
              <w:spacing w:line="276" w:lineRule="auto"/>
              <w:rPr>
                <w:rFonts w:hint="eastAsia" w:ascii="Calibri" w:hAnsi="Calibri" w:eastAsia="宋体"/>
                <w:lang w:eastAsia="zh-CN"/>
              </w:rPr>
            </w:pPr>
            <w:r>
              <w:rPr>
                <w:rFonts w:hint="eastAsia" w:ascii="Calibri" w:hAnsi="Calibri"/>
                <w:lang w:val="en-US" w:eastAsia="zh-CN"/>
              </w:rPr>
              <w:t>3、</w:t>
            </w:r>
            <w:r>
              <w:rPr>
                <w:rFonts w:hint="eastAsia" w:ascii="宋体" w:hAnsi="宋体" w:cs="宋体"/>
              </w:rPr>
              <w:t>具有中国节能产品认证证书，得1分</w:t>
            </w:r>
            <w:r>
              <w:rPr>
                <w:rFonts w:hint="eastAsia" w:ascii="宋体" w:hAnsi="宋体" w:cs="宋体"/>
                <w:lang w:eastAsia="zh-CN"/>
              </w:rPr>
              <w:t>；</w:t>
            </w:r>
          </w:p>
          <w:p>
            <w:pPr>
              <w:tabs>
                <w:tab w:val="left" w:pos="75"/>
              </w:tabs>
              <w:adjustRightInd w:val="0"/>
              <w:snapToGrid w:val="0"/>
              <w:spacing w:line="276" w:lineRule="auto"/>
              <w:rPr>
                <w:rFonts w:ascii="宋体"/>
                <w:kern w:val="0"/>
              </w:rPr>
            </w:pPr>
            <w:r>
              <w:rPr>
                <w:rFonts w:hint="eastAsia" w:ascii="宋体" w:hAnsi="宋体" w:cs="宋体"/>
                <w:lang w:val="en-US" w:eastAsia="zh-CN"/>
              </w:rPr>
              <w:t>4、</w:t>
            </w:r>
            <w:r>
              <w:rPr>
                <w:rFonts w:hint="eastAsia" w:ascii="宋体" w:hAnsi="宋体" w:cs="宋体"/>
              </w:rPr>
              <w:t>具有CQC认证证书，得1分</w:t>
            </w:r>
            <w:r>
              <w:rPr>
                <w:rFonts w:hint="eastAsia" w:ascii="宋体" w:hAnsi="宋体" w:cs="宋体"/>
                <w:lang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43" w:hRule="atLeast"/>
        </w:trPr>
        <w:tc>
          <w:tcPr>
            <w:tcW w:w="1485" w:type="dxa"/>
            <w:vAlign w:val="center"/>
          </w:tcPr>
          <w:p>
            <w:pPr>
              <w:numPr>
                <w:ilvl w:val="0"/>
                <w:numId w:val="0"/>
              </w:numPr>
              <w:adjustRightInd w:val="0"/>
              <w:snapToGrid w:val="0"/>
              <w:spacing w:line="276" w:lineRule="auto"/>
              <w:jc w:val="center"/>
              <w:rPr>
                <w:rFonts w:hint="eastAsia"/>
                <w:lang w:val="en-US" w:eastAsia="zh-CN"/>
              </w:rPr>
            </w:pPr>
            <w:r>
              <w:rPr>
                <w:rFonts w:hint="eastAsia"/>
                <w:lang w:val="en-US" w:eastAsia="zh-CN"/>
              </w:rPr>
              <w:t>检测报告及</w:t>
            </w:r>
          </w:p>
          <w:p>
            <w:pPr>
              <w:numPr>
                <w:ilvl w:val="0"/>
                <w:numId w:val="0"/>
              </w:numPr>
              <w:adjustRightInd w:val="0"/>
              <w:snapToGrid w:val="0"/>
              <w:spacing w:line="276" w:lineRule="auto"/>
              <w:jc w:val="center"/>
              <w:rPr>
                <w:rFonts w:hint="default" w:ascii="宋体" w:hAnsi="宋体" w:eastAsia="宋体" w:cs="宋体"/>
                <w:kern w:val="0"/>
                <w:lang w:val="en-US" w:eastAsia="zh-CN"/>
              </w:rPr>
            </w:pPr>
            <w:r>
              <w:rPr>
                <w:rFonts w:hint="eastAsia"/>
                <w:lang w:val="en-US" w:eastAsia="zh-CN"/>
              </w:rPr>
              <w:t>产品保障</w:t>
            </w:r>
          </w:p>
        </w:tc>
        <w:tc>
          <w:tcPr>
            <w:tcW w:w="780" w:type="dxa"/>
            <w:vAlign w:val="center"/>
          </w:tcPr>
          <w:p>
            <w:pPr>
              <w:spacing w:beforeLines="50" w:afterLines="50" w:line="240" w:lineRule="atLeast"/>
              <w:jc w:val="center"/>
              <w:rPr>
                <w:rFonts w:hint="eastAsia" w:ascii="宋体" w:hAnsi="宋体" w:eastAsia="宋体" w:cs="宋体"/>
                <w:spacing w:val="-6"/>
                <w:lang w:eastAsia="zh-CN"/>
              </w:rPr>
            </w:pPr>
            <w:r>
              <w:rPr>
                <w:rFonts w:hint="eastAsia" w:ascii="宋体" w:hAnsi="宋体" w:cs="宋体"/>
                <w:spacing w:val="-6"/>
                <w:lang w:val="en-US" w:eastAsia="zh-CN"/>
              </w:rPr>
              <w:t>6</w:t>
            </w:r>
          </w:p>
        </w:tc>
        <w:tc>
          <w:tcPr>
            <w:tcW w:w="7695" w:type="dxa"/>
            <w:vAlign w:val="center"/>
          </w:tcPr>
          <w:p>
            <w:pPr>
              <w:numPr>
                <w:ilvl w:val="0"/>
                <w:numId w:val="0"/>
              </w:numPr>
              <w:adjustRightInd w:val="0"/>
              <w:snapToGrid w:val="0"/>
              <w:spacing w:line="276" w:lineRule="auto"/>
              <w:rPr>
                <w:rFonts w:hint="eastAsia"/>
                <w:lang w:val="en-US" w:eastAsia="zh-CN"/>
              </w:rPr>
            </w:pPr>
            <w:r>
              <w:rPr>
                <w:rFonts w:hint="eastAsia"/>
                <w:lang w:val="en-US" w:eastAsia="zh-CN"/>
              </w:rPr>
              <w:t>1、产品内胆，水龙头，波纹管具有食品接触安全卫生检验（检测）报告，1项得1分，共3分（送检单位必须为投标设备的制造商，提供证书复印件，加盖投标人公章）；</w:t>
            </w:r>
          </w:p>
          <w:p>
            <w:pPr>
              <w:numPr>
                <w:ilvl w:val="0"/>
                <w:numId w:val="0"/>
              </w:numPr>
              <w:adjustRightInd w:val="0"/>
              <w:snapToGrid w:val="0"/>
              <w:spacing w:line="276" w:lineRule="auto"/>
              <w:rPr>
                <w:rFonts w:ascii="宋体" w:hAnsi="宋体" w:cs="宋体"/>
                <w:kern w:val="0"/>
              </w:rPr>
            </w:pPr>
            <w:r>
              <w:rPr>
                <w:rFonts w:hint="eastAsia"/>
                <w:lang w:val="en-US" w:eastAsia="zh-CN"/>
              </w:rPr>
              <w:t>2、直饮设备出水符合直饮水标准CJ－942005或《食品安全国家标准包装饮用水》(GB 19298-2014)水质，具有第三方检测机构出具检测报告。提供检测报告的得3分。(提供复印件，加盖投标人公章)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04" w:hRule="atLeast"/>
        </w:trPr>
        <w:tc>
          <w:tcPr>
            <w:tcW w:w="1485" w:type="dxa"/>
            <w:vAlign w:val="center"/>
          </w:tcPr>
          <w:p>
            <w:pPr>
              <w:autoSpaceDE w:val="0"/>
              <w:autoSpaceDN w:val="0"/>
              <w:adjustRightInd w:val="0"/>
              <w:spacing w:beforeLines="50" w:afterLines="50" w:line="240" w:lineRule="atLeast"/>
              <w:jc w:val="center"/>
              <w:rPr>
                <w:rFonts w:ascii="宋体"/>
                <w:kern w:val="0"/>
              </w:rPr>
            </w:pPr>
            <w:r>
              <w:rPr>
                <w:rFonts w:hint="eastAsia" w:ascii="宋体" w:hAnsi="宋体" w:cs="宋体"/>
                <w:kern w:val="0"/>
              </w:rPr>
              <w:t>合计</w:t>
            </w:r>
          </w:p>
        </w:tc>
        <w:tc>
          <w:tcPr>
            <w:tcW w:w="780" w:type="dxa"/>
            <w:vAlign w:val="center"/>
          </w:tcPr>
          <w:p>
            <w:pPr>
              <w:spacing w:beforeLines="50" w:afterLines="50" w:line="240" w:lineRule="atLeast"/>
              <w:jc w:val="center"/>
              <w:rPr>
                <w:rFonts w:ascii="宋体"/>
                <w:spacing w:val="-6"/>
              </w:rPr>
            </w:pPr>
            <w:r>
              <w:rPr>
                <w:rFonts w:ascii="宋体" w:hAnsi="宋体" w:cs="宋体"/>
                <w:spacing w:val="-6"/>
              </w:rPr>
              <w:t>100</w:t>
            </w:r>
          </w:p>
        </w:tc>
        <w:tc>
          <w:tcPr>
            <w:tcW w:w="7695" w:type="dxa"/>
            <w:vAlign w:val="center"/>
          </w:tcPr>
          <w:p>
            <w:pPr>
              <w:autoSpaceDE w:val="0"/>
              <w:autoSpaceDN w:val="0"/>
              <w:adjustRightInd w:val="0"/>
              <w:spacing w:beforeLines="50" w:afterLines="50" w:line="240" w:lineRule="atLeast"/>
              <w:jc w:val="left"/>
              <w:rPr>
                <w:rFonts w:ascii="宋体"/>
                <w:kern w:val="0"/>
              </w:rPr>
            </w:pPr>
            <w:r>
              <w:rPr>
                <w:rFonts w:hint="eastAsia" w:ascii="宋体" w:hAnsi="宋体" w:cs="宋体"/>
                <w:kern w:val="0"/>
              </w:rPr>
              <w:t>投标人最后得分保留两位小数</w:t>
            </w:r>
          </w:p>
        </w:tc>
      </w:tr>
    </w:tbl>
    <w:p>
      <w:pPr>
        <w:adjustRightInd w:val="0"/>
        <w:spacing w:line="360" w:lineRule="auto"/>
        <w:ind w:firstLine="482" w:firstLineChars="200"/>
        <w:rPr>
          <w:b/>
          <w:color w:val="000000" w:themeColor="text1"/>
          <w:sz w:val="24"/>
          <w14:textFill>
            <w14:solidFill>
              <w14:schemeClr w14:val="tx1"/>
            </w14:solidFill>
          </w14:textFill>
        </w:rPr>
      </w:pPr>
      <w:bookmarkStart w:id="13" w:name="_Toc15042570"/>
      <w:r>
        <w:rPr>
          <w:rFonts w:hint="eastAsia"/>
          <w:b/>
          <w:color w:val="000000" w:themeColor="text1"/>
          <w:sz w:val="24"/>
          <w14:textFill>
            <w14:solidFill>
              <w14:schemeClr w14:val="tx1"/>
            </w14:solidFill>
          </w14:textFill>
        </w:rPr>
        <w:t>注</w:t>
      </w:r>
      <w:r>
        <w:rPr>
          <w:b/>
          <w:color w:val="000000" w:themeColor="text1"/>
          <w:sz w:val="24"/>
          <w14:textFill>
            <w14:solidFill>
              <w14:schemeClr w14:val="tx1"/>
            </w14:solidFill>
          </w14:textFill>
        </w:rPr>
        <w:t>：</w:t>
      </w:r>
      <w:r>
        <w:rPr>
          <w:rFonts w:hint="eastAsia"/>
          <w:b/>
          <w:color w:val="000000" w:themeColor="text1"/>
          <w:sz w:val="24"/>
          <w14:textFill>
            <w14:solidFill>
              <w14:schemeClr w14:val="tx1"/>
            </w14:solidFill>
          </w14:textFill>
        </w:rPr>
        <w:t>1、为便于评分，请投标人按评分表样式，逐条列出证明材料所在页码，格式自定。</w:t>
      </w:r>
    </w:p>
    <w:p>
      <w:pPr>
        <w:adjustRightInd w:val="0"/>
        <w:spacing w:line="360" w:lineRule="auto"/>
        <w:ind w:firstLine="964" w:firstLineChars="400"/>
        <w:rPr>
          <w:rFonts w:hint="eastAsia"/>
          <w:b/>
          <w:color w:val="000000" w:themeColor="text1"/>
          <w:sz w:val="24"/>
          <w14:textFill>
            <w14:solidFill>
              <w14:schemeClr w14:val="tx1"/>
            </w14:solidFill>
          </w14:textFill>
        </w:rPr>
      </w:pPr>
      <w:r>
        <w:rPr>
          <w:rFonts w:hint="eastAsia"/>
          <w:b/>
          <w:color w:val="000000" w:themeColor="text1"/>
          <w:sz w:val="24"/>
          <w14:textFill>
            <w14:solidFill>
              <w14:schemeClr w14:val="tx1"/>
            </w14:solidFill>
          </w14:textFill>
        </w:rPr>
        <w:t>2、投标文档须提供投标人所投标产品的相关截图，以方便专家评判。</w:t>
      </w:r>
    </w:p>
    <w:p>
      <w:pPr>
        <w:adjustRightInd w:val="0"/>
        <w:spacing w:line="360" w:lineRule="auto"/>
        <w:ind w:firstLine="964" w:firstLineChars="400"/>
        <w:rPr>
          <w:rFonts w:hint="default"/>
          <w:b/>
          <w:color w:val="000000" w:themeColor="text1"/>
          <w:sz w:val="24"/>
          <w:lang w:val="en-US" w:eastAsia="zh-CN"/>
          <w14:textFill>
            <w14:solidFill>
              <w14:schemeClr w14:val="tx1"/>
            </w14:solidFill>
          </w14:textFill>
        </w:rPr>
      </w:pPr>
      <w:r>
        <w:rPr>
          <w:rFonts w:hint="eastAsia"/>
          <w:b/>
          <w:color w:val="000000" w:themeColor="text1"/>
          <w:sz w:val="24"/>
          <w:lang w:val="en-US" w:eastAsia="zh-CN"/>
          <w14:textFill>
            <w14:solidFill>
              <w14:schemeClr w14:val="tx1"/>
            </w14:solidFill>
          </w14:textFill>
        </w:rPr>
        <w:t>3、均提供复印件，加盖投标人公章。</w:t>
      </w:r>
    </w:p>
    <w:p>
      <w:pPr>
        <w:pStyle w:val="3"/>
        <w:rPr>
          <w:rFonts w:ascii="宋体" w:cs="Times New Roman"/>
          <w:b w:val="0"/>
          <w:bCs w:val="0"/>
          <w:color w:val="000000"/>
          <w:sz w:val="24"/>
          <w:szCs w:val="24"/>
        </w:rPr>
      </w:pPr>
      <w:r>
        <w:rPr>
          <w:rFonts w:hint="eastAsia" w:cs="宋体"/>
        </w:rPr>
        <w:t>八、定标</w:t>
      </w:r>
      <w:bookmarkEnd w:id="13"/>
    </w:p>
    <w:p>
      <w:pPr>
        <w:pStyle w:val="24"/>
        <w:spacing w:line="360" w:lineRule="auto"/>
        <w:ind w:firstLine="482" w:firstLineChars="200"/>
        <w:rPr>
          <w:rFonts w:ascii="宋体" w:hAnsi="宋体" w:cs="宋体"/>
          <w:b/>
          <w:bCs/>
          <w:color w:val="000000" w:themeColor="text1"/>
          <w14:textFill>
            <w14:solidFill>
              <w14:schemeClr w14:val="tx1"/>
            </w14:solidFill>
          </w14:textFill>
        </w:rPr>
      </w:pPr>
      <w:r>
        <w:rPr>
          <w:rFonts w:hint="eastAsia" w:ascii="Times New Roman" w:hAnsi="Times New Roman" w:cs="Times New Roman"/>
          <w:b/>
          <w:bCs/>
          <w:color w:val="000000" w:themeColor="text1"/>
          <w14:textFill>
            <w14:solidFill>
              <w14:schemeClr w14:val="tx1"/>
            </w14:solidFill>
          </w14:textFill>
        </w:rPr>
        <w:t>8</w:t>
      </w:r>
      <w:r>
        <w:rPr>
          <w:rFonts w:ascii="Times New Roman" w:hAnsi="Times New Roman" w:cs="Times New Roman"/>
          <w:b/>
          <w:bCs/>
          <w:color w:val="000000" w:themeColor="text1"/>
          <w14:textFill>
            <w14:solidFill>
              <w14:schemeClr w14:val="tx1"/>
            </w14:solidFill>
          </w14:textFill>
        </w:rPr>
        <w:t>.</w:t>
      </w:r>
      <w:r>
        <w:rPr>
          <w:rFonts w:hint="eastAsia" w:ascii="Times New Roman" w:hAnsi="Times New Roman" w:cs="Times New Roman"/>
          <w:b/>
          <w:bCs/>
          <w:color w:val="000000" w:themeColor="text1"/>
          <w14:textFill>
            <w14:solidFill>
              <w14:schemeClr w14:val="tx1"/>
            </w14:solidFill>
          </w14:textFill>
        </w:rPr>
        <w:t>1</w:t>
      </w:r>
      <w:r>
        <w:rPr>
          <w:rFonts w:ascii="Times New Roman" w:hAnsi="Times New Roman" w:cs="Times New Roman"/>
          <w:b/>
          <w:bCs/>
          <w:color w:val="000000" w:themeColor="text1"/>
          <w14:textFill>
            <w14:solidFill>
              <w14:schemeClr w14:val="tx1"/>
            </w14:solidFill>
          </w14:textFill>
        </w:rPr>
        <w:t>.</w:t>
      </w:r>
      <w:bookmarkStart w:id="14" w:name="_Toc15042571"/>
      <w:r>
        <w:rPr>
          <w:rFonts w:hint="eastAsia" w:ascii="宋体" w:hAnsi="宋体" w:cs="宋体"/>
          <w:b/>
          <w:bCs/>
          <w:color w:val="000000" w:themeColor="text1"/>
          <w14:textFill>
            <w14:solidFill>
              <w14:schemeClr w14:val="tx1"/>
            </w14:solidFill>
          </w14:textFill>
        </w:rPr>
        <w:t>投标人可分别投标段一或标段二，两个标段同时开评标，但每个投标人最多只能中一个标段。</w:t>
      </w:r>
    </w:p>
    <w:p>
      <w:pPr>
        <w:pStyle w:val="24"/>
        <w:spacing w:line="360" w:lineRule="auto"/>
        <w:ind w:firstLine="482" w:firstLineChars="200"/>
        <w:rPr>
          <w:rFonts w:ascii="宋体" w:hAnsi="宋体" w:cs="宋体"/>
          <w:b/>
          <w:bCs/>
          <w:color w:val="000000" w:themeColor="text1"/>
          <w14:textFill>
            <w14:solidFill>
              <w14:schemeClr w14:val="tx1"/>
            </w14:solidFill>
          </w14:textFill>
        </w:rPr>
      </w:pPr>
      <w:r>
        <w:rPr>
          <w:rFonts w:hint="eastAsia" w:ascii="宋体" w:hAnsi="宋体" w:cs="宋体"/>
          <w:b/>
          <w:bCs/>
          <w:color w:val="000000" w:themeColor="text1"/>
          <w14:textFill>
            <w14:solidFill>
              <w14:schemeClr w14:val="tx1"/>
            </w14:solidFill>
          </w14:textFill>
        </w:rPr>
        <w:t>同一标段得分相同者，按照先商务标后技术标得分来排序，排序第一的中标。</w:t>
      </w:r>
    </w:p>
    <w:p>
      <w:pPr>
        <w:pStyle w:val="24"/>
        <w:spacing w:line="360" w:lineRule="auto"/>
        <w:ind w:firstLine="482" w:firstLineChars="200"/>
        <w:rPr>
          <w:sz w:val="28"/>
          <w:szCs w:val="28"/>
        </w:rPr>
      </w:pPr>
      <w:r>
        <w:rPr>
          <w:rFonts w:hint="eastAsia" w:ascii="宋体" w:hAnsi="宋体" w:cs="宋体"/>
          <w:b/>
          <w:bCs/>
          <w:color w:val="000000" w:themeColor="text1"/>
          <w14:textFill>
            <w14:solidFill>
              <w14:schemeClr w14:val="tx1"/>
            </w14:solidFill>
          </w14:textFill>
        </w:rPr>
        <w:t>若一个单位同时入围两个标段的，由中标人选择其中一个标段中标，其余标段按得分高低依次确定中标人。</w:t>
      </w:r>
      <w:bookmarkEnd w:id="14"/>
    </w:p>
    <w:p>
      <w:pPr>
        <w:spacing w:line="360" w:lineRule="auto"/>
        <w:ind w:firstLine="482" w:firstLineChars="200"/>
        <w:rPr>
          <w:color w:val="000000" w:themeColor="text1"/>
          <w:sz w:val="24"/>
          <w14:textFill>
            <w14:solidFill>
              <w14:schemeClr w14:val="tx1"/>
            </w14:solidFill>
          </w14:textFill>
        </w:rPr>
      </w:pPr>
      <w:r>
        <w:rPr>
          <w:rFonts w:hint="eastAsia"/>
          <w:b/>
          <w:color w:val="000000" w:themeColor="text1"/>
          <w:sz w:val="24"/>
          <w14:textFill>
            <w14:solidFill>
              <w14:schemeClr w14:val="tx1"/>
            </w14:solidFill>
          </w14:textFill>
        </w:rPr>
        <w:t>8.2.</w:t>
      </w:r>
      <w:r>
        <w:rPr>
          <w:rFonts w:hint="eastAsia"/>
          <w:bCs/>
          <w:color w:val="000000" w:themeColor="text1"/>
          <w:sz w:val="24"/>
          <w14:textFill>
            <w14:solidFill>
              <w14:schemeClr w14:val="tx1"/>
            </w14:solidFill>
          </w14:textFill>
        </w:rPr>
        <w:t>磋商</w:t>
      </w:r>
      <w:r>
        <w:rPr>
          <w:rFonts w:hint="eastAsia"/>
          <w:color w:val="000000" w:themeColor="text1"/>
          <w:sz w:val="24"/>
          <w14:textFill>
            <w14:solidFill>
              <w14:schemeClr w14:val="tx1"/>
            </w14:solidFill>
          </w14:textFill>
        </w:rPr>
        <w:t>小组认为所有投标报价均不合理或所有投标方案均不能满足招标人要求时，有权否决所有投标，</w:t>
      </w:r>
      <w:r>
        <w:rPr>
          <w:rFonts w:hint="eastAsia"/>
          <w:bCs/>
          <w:color w:val="000000" w:themeColor="text1"/>
          <w:sz w:val="24"/>
          <w14:textFill>
            <w14:solidFill>
              <w14:schemeClr w14:val="tx1"/>
            </w14:solidFill>
          </w14:textFill>
        </w:rPr>
        <w:t>磋商</w:t>
      </w:r>
      <w:r>
        <w:rPr>
          <w:rFonts w:hint="eastAsia"/>
          <w:color w:val="000000" w:themeColor="text1"/>
          <w:sz w:val="24"/>
          <w14:textFill>
            <w14:solidFill>
              <w14:schemeClr w14:val="tx1"/>
            </w14:solidFill>
          </w14:textFill>
        </w:rPr>
        <w:t>小组也没有义务必须接受最低或最高报价的投标。</w:t>
      </w:r>
    </w:p>
    <w:p>
      <w:pPr>
        <w:spacing w:line="360" w:lineRule="auto"/>
        <w:ind w:firstLine="472" w:firstLineChars="196"/>
        <w:rPr>
          <w:rFonts w:ascii="宋体" w:cs="Arial"/>
          <w:color w:val="000000" w:themeColor="text1"/>
          <w:sz w:val="24"/>
          <w14:textFill>
            <w14:solidFill>
              <w14:schemeClr w14:val="tx1"/>
            </w14:solidFill>
          </w14:textFill>
        </w:rPr>
      </w:pPr>
      <w:r>
        <w:rPr>
          <w:rFonts w:hint="eastAsia"/>
          <w:b/>
          <w:color w:val="000000" w:themeColor="text1"/>
          <w:sz w:val="24"/>
          <w14:textFill>
            <w14:solidFill>
              <w14:schemeClr w14:val="tx1"/>
            </w14:solidFill>
          </w14:textFill>
        </w:rPr>
        <w:t>8</w:t>
      </w:r>
      <w:r>
        <w:rPr>
          <w:b/>
          <w:color w:val="000000" w:themeColor="text1"/>
          <w:sz w:val="24"/>
          <w14:textFill>
            <w14:solidFill>
              <w14:schemeClr w14:val="tx1"/>
            </w14:solidFill>
          </w14:textFill>
        </w:rPr>
        <w:t>.</w:t>
      </w:r>
      <w:r>
        <w:rPr>
          <w:rFonts w:hint="eastAsia"/>
          <w:b/>
          <w:color w:val="000000" w:themeColor="text1"/>
          <w:sz w:val="24"/>
          <w14:textFill>
            <w14:solidFill>
              <w14:schemeClr w14:val="tx1"/>
            </w14:solidFill>
          </w14:textFill>
        </w:rPr>
        <w:t>3</w:t>
      </w:r>
      <w:r>
        <w:rPr>
          <w:b/>
          <w:color w:val="000000" w:themeColor="text1"/>
          <w:sz w:val="24"/>
          <w14:textFill>
            <w14:solidFill>
              <w14:schemeClr w14:val="tx1"/>
            </w14:solidFill>
          </w14:textFill>
        </w:rPr>
        <w:t xml:space="preserve">. </w:t>
      </w:r>
      <w:r>
        <w:rPr>
          <w:rFonts w:hint="eastAsia" w:ascii="宋体" w:hAnsi="宋体" w:cs="Arial"/>
          <w:color w:val="000000" w:themeColor="text1"/>
          <w:sz w:val="24"/>
          <w14:textFill>
            <w14:solidFill>
              <w14:schemeClr w14:val="tx1"/>
            </w14:solidFill>
          </w14:textFill>
        </w:rPr>
        <w:t>出现下列情形之一的，招标人有权决定本次招标作废标处理：</w:t>
      </w:r>
    </w:p>
    <w:p>
      <w:pPr>
        <w:spacing w:line="360" w:lineRule="auto"/>
        <w:ind w:firstLine="560"/>
        <w:rPr>
          <w:rFonts w:ascii="宋体" w:cs="Arial"/>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1</w:t>
      </w:r>
      <w:r>
        <w:rPr>
          <w:rFonts w:hint="eastAsia"/>
          <w:color w:val="000000" w:themeColor="text1"/>
          <w:sz w:val="24"/>
          <w14:textFill>
            <w14:solidFill>
              <w14:schemeClr w14:val="tx1"/>
            </w14:solidFill>
          </w14:textFill>
        </w:rPr>
        <w:t>）</w:t>
      </w:r>
      <w:r>
        <w:rPr>
          <w:rFonts w:hint="eastAsia" w:ascii="宋体" w:hAnsi="宋体" w:cs="Arial"/>
          <w:color w:val="000000" w:themeColor="text1"/>
          <w:sz w:val="24"/>
          <w14:textFill>
            <w14:solidFill>
              <w14:schemeClr w14:val="tx1"/>
            </w14:solidFill>
          </w14:textFill>
        </w:rPr>
        <w:t>发生影响招标公平、公正的违法、违规行为的；</w:t>
      </w:r>
    </w:p>
    <w:p>
      <w:pPr>
        <w:spacing w:line="360" w:lineRule="auto"/>
        <w:ind w:firstLine="560"/>
        <w:rPr>
          <w:rFonts w:ascii="宋体" w:cs="Arial"/>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2</w:t>
      </w:r>
      <w:r>
        <w:rPr>
          <w:rFonts w:hint="eastAsia"/>
          <w:color w:val="000000" w:themeColor="text1"/>
          <w:sz w:val="24"/>
          <w14:textFill>
            <w14:solidFill>
              <w14:schemeClr w14:val="tx1"/>
            </w14:solidFill>
          </w14:textFill>
        </w:rPr>
        <w:t>）</w:t>
      </w:r>
      <w:r>
        <w:rPr>
          <w:rFonts w:hint="eastAsia" w:ascii="宋体" w:hAnsi="宋体" w:cs="宋体"/>
          <w:color w:val="000000"/>
          <w:sz w:val="24"/>
          <w:szCs w:val="24"/>
        </w:rPr>
        <w:t>投标人的最后投标报价均低于管理费最低标准；</w:t>
      </w:r>
    </w:p>
    <w:p>
      <w:pPr>
        <w:spacing w:line="360" w:lineRule="auto"/>
        <w:ind w:firstLine="560"/>
        <w:rPr>
          <w:rFonts w:ascii="宋体" w:cs="Arial"/>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3</w:t>
      </w:r>
      <w:r>
        <w:rPr>
          <w:rFonts w:hint="eastAsia"/>
          <w:color w:val="000000" w:themeColor="text1"/>
          <w:sz w:val="24"/>
          <w14:textFill>
            <w14:solidFill>
              <w14:schemeClr w14:val="tx1"/>
            </w14:solidFill>
          </w14:textFill>
        </w:rPr>
        <w:t>）</w:t>
      </w:r>
      <w:r>
        <w:rPr>
          <w:rFonts w:hint="eastAsia" w:ascii="宋体" w:hAnsi="宋体" w:cs="Arial"/>
          <w:color w:val="000000" w:themeColor="text1"/>
          <w:sz w:val="24"/>
          <w14:textFill>
            <w14:solidFill>
              <w14:schemeClr w14:val="tx1"/>
            </w14:solidFill>
          </w14:textFill>
        </w:rPr>
        <w:t>因重大变故，采购任务取消的。</w:t>
      </w:r>
    </w:p>
    <w:p>
      <w:pPr>
        <w:spacing w:line="360" w:lineRule="auto"/>
        <w:ind w:firstLine="472" w:firstLineChars="196"/>
        <w:rPr>
          <w:color w:val="000000" w:themeColor="text1"/>
          <w:sz w:val="24"/>
          <w14:textFill>
            <w14:solidFill>
              <w14:schemeClr w14:val="tx1"/>
            </w14:solidFill>
          </w14:textFill>
        </w:rPr>
      </w:pPr>
      <w:r>
        <w:rPr>
          <w:rFonts w:hint="eastAsia"/>
          <w:b/>
          <w:color w:val="000000" w:themeColor="text1"/>
          <w:sz w:val="24"/>
          <w14:textFill>
            <w14:solidFill>
              <w14:schemeClr w14:val="tx1"/>
            </w14:solidFill>
          </w14:textFill>
        </w:rPr>
        <w:t>8</w:t>
      </w:r>
      <w:r>
        <w:rPr>
          <w:b/>
          <w:color w:val="000000" w:themeColor="text1"/>
          <w:sz w:val="24"/>
          <w14:textFill>
            <w14:solidFill>
              <w14:schemeClr w14:val="tx1"/>
            </w14:solidFill>
          </w14:textFill>
        </w:rPr>
        <w:t>.</w:t>
      </w:r>
      <w:r>
        <w:rPr>
          <w:rFonts w:hint="eastAsia"/>
          <w:b/>
          <w:color w:val="000000" w:themeColor="text1"/>
          <w:sz w:val="24"/>
          <w14:textFill>
            <w14:solidFill>
              <w14:schemeClr w14:val="tx1"/>
            </w14:solidFill>
          </w14:textFill>
        </w:rPr>
        <w:t>4</w:t>
      </w:r>
      <w:r>
        <w:rPr>
          <w:b/>
          <w:color w:val="000000" w:themeColor="text1"/>
          <w:sz w:val="24"/>
          <w14:textFill>
            <w14:solidFill>
              <w14:schemeClr w14:val="tx1"/>
            </w14:solidFill>
          </w14:textFill>
        </w:rPr>
        <w:t xml:space="preserve">. </w:t>
      </w:r>
      <w:r>
        <w:rPr>
          <w:rFonts w:hint="eastAsia"/>
          <w:color w:val="000000" w:themeColor="text1"/>
          <w:sz w:val="24"/>
          <w14:textFill>
            <w14:solidFill>
              <w14:schemeClr w14:val="tx1"/>
            </w14:solidFill>
          </w14:textFill>
        </w:rPr>
        <w:t>对未中标的投标人，招标人不做未中标解释。</w:t>
      </w:r>
    </w:p>
    <w:p>
      <w:pPr>
        <w:pStyle w:val="3"/>
      </w:pPr>
      <w:r>
        <w:rPr>
          <w:rFonts w:hint="eastAsia" w:cs="宋体"/>
        </w:rPr>
        <w:t>九、合同的签订</w:t>
      </w:r>
    </w:p>
    <w:p>
      <w:pPr>
        <w:spacing w:line="360" w:lineRule="auto"/>
        <w:ind w:right="-4" w:rightChars="-2" w:firstLine="475" w:firstLineChars="197"/>
        <w:rPr>
          <w:b/>
          <w:bCs/>
          <w:color w:val="000000"/>
          <w:sz w:val="24"/>
          <w:szCs w:val="24"/>
        </w:rPr>
      </w:pPr>
      <w:r>
        <w:rPr>
          <w:rFonts w:hint="eastAsia"/>
          <w:b/>
          <w:bCs/>
          <w:color w:val="000000"/>
          <w:sz w:val="24"/>
          <w:szCs w:val="24"/>
        </w:rPr>
        <w:t>9</w:t>
      </w:r>
      <w:r>
        <w:rPr>
          <w:b/>
          <w:bCs/>
          <w:color w:val="000000"/>
          <w:sz w:val="24"/>
          <w:szCs w:val="24"/>
        </w:rPr>
        <w:t xml:space="preserve">.1. </w:t>
      </w:r>
      <w:r>
        <w:rPr>
          <w:rFonts w:hint="eastAsia" w:ascii="宋体" w:hAnsi="宋体" w:cs="宋体"/>
          <w:color w:val="000000"/>
          <w:kern w:val="0"/>
          <w:sz w:val="24"/>
          <w:szCs w:val="24"/>
        </w:rPr>
        <w:t>中标人确定后，中标人应在30日内与采购人签订采购合同，过期视为放弃中标。</w:t>
      </w:r>
    </w:p>
    <w:p>
      <w:pPr>
        <w:spacing w:line="360" w:lineRule="auto"/>
        <w:ind w:firstLine="482" w:firstLineChars="200"/>
        <w:rPr>
          <w:b/>
          <w:bCs/>
          <w:color w:val="000000"/>
          <w:sz w:val="24"/>
          <w:szCs w:val="24"/>
        </w:rPr>
      </w:pPr>
      <w:r>
        <w:rPr>
          <w:rFonts w:hint="eastAsia"/>
          <w:b/>
          <w:bCs/>
          <w:color w:val="000000"/>
          <w:sz w:val="24"/>
          <w:szCs w:val="24"/>
        </w:rPr>
        <w:t>9</w:t>
      </w:r>
      <w:r>
        <w:rPr>
          <w:b/>
          <w:bCs/>
          <w:color w:val="000000"/>
          <w:sz w:val="24"/>
          <w:szCs w:val="24"/>
        </w:rPr>
        <w:t xml:space="preserve">.2. </w:t>
      </w:r>
      <w:r>
        <w:rPr>
          <w:rFonts w:hint="eastAsia" w:ascii="宋体" w:hAnsi="宋体" w:cs="宋体"/>
          <w:color w:val="000000"/>
          <w:kern w:val="0"/>
          <w:sz w:val="24"/>
          <w:szCs w:val="24"/>
        </w:rPr>
        <w:t>本竞争性磋商文件和中标人的投标文件包括中标人所做出的各种书面承诺将作为采购人与中标人双方签订合同的依据，并作为合同的附件与合同具有同等法律效力。</w:t>
      </w:r>
    </w:p>
    <w:p>
      <w:pPr>
        <w:spacing w:line="360" w:lineRule="auto"/>
        <w:ind w:firstLine="482" w:firstLineChars="200"/>
        <w:jc w:val="left"/>
        <w:rPr>
          <w:sz w:val="24"/>
          <w:szCs w:val="24"/>
        </w:rPr>
      </w:pPr>
      <w:r>
        <w:rPr>
          <w:rFonts w:hint="eastAsia"/>
          <w:b/>
          <w:bCs/>
          <w:sz w:val="24"/>
          <w:szCs w:val="24"/>
        </w:rPr>
        <w:t>9</w:t>
      </w:r>
      <w:r>
        <w:rPr>
          <w:b/>
          <w:bCs/>
          <w:sz w:val="24"/>
          <w:szCs w:val="24"/>
        </w:rPr>
        <w:t xml:space="preserve">.3. </w:t>
      </w:r>
      <w:r>
        <w:rPr>
          <w:rFonts w:hint="eastAsia" w:cs="宋体"/>
          <w:sz w:val="24"/>
          <w:szCs w:val="24"/>
        </w:rPr>
        <w:t>如投标人中标</w:t>
      </w:r>
      <w:bookmarkStart w:id="15" w:name="_Toc15042572"/>
      <w:r>
        <w:rPr>
          <w:rFonts w:hint="eastAsia" w:cs="宋体"/>
          <w:sz w:val="24"/>
          <w:szCs w:val="24"/>
        </w:rPr>
        <w:t>后悔标，采购人将取消该投标人本次中标资格及今后三年内的投标资格。</w:t>
      </w:r>
    </w:p>
    <w:p>
      <w:pPr>
        <w:spacing w:line="360" w:lineRule="auto"/>
        <w:rPr>
          <w:rFonts w:cs="宋体"/>
          <w:b/>
          <w:bCs/>
          <w:sz w:val="32"/>
          <w:szCs w:val="32"/>
        </w:rPr>
      </w:pPr>
      <w:r>
        <w:rPr>
          <w:rFonts w:hint="eastAsia" w:ascii="宋体" w:hAnsi="宋体" w:cs="宋体"/>
          <w:b/>
          <w:bCs/>
          <w:sz w:val="32"/>
          <w:szCs w:val="32"/>
        </w:rPr>
        <w:t>十、其他</w:t>
      </w:r>
      <w:bookmarkEnd w:id="15"/>
      <w:r>
        <w:rPr>
          <w:rFonts w:hint="eastAsia" w:cs="宋体"/>
          <w:b/>
          <w:bCs/>
          <w:sz w:val="32"/>
          <w:szCs w:val="32"/>
        </w:rPr>
        <w:t>：</w:t>
      </w:r>
    </w:p>
    <w:p>
      <w:pPr>
        <w:spacing w:line="360" w:lineRule="auto"/>
        <w:ind w:firstLine="482" w:firstLineChars="200"/>
        <w:rPr>
          <w:rFonts w:cs="宋体"/>
          <w:sz w:val="24"/>
          <w:szCs w:val="24"/>
        </w:rPr>
      </w:pPr>
      <w:r>
        <w:rPr>
          <w:rFonts w:hint="eastAsia" w:ascii="黑体" w:eastAsia="黑体"/>
          <w:b/>
          <w:color w:val="000000" w:themeColor="text1"/>
          <w:sz w:val="24"/>
          <w14:textFill>
            <w14:solidFill>
              <w14:schemeClr w14:val="tx1"/>
            </w14:solidFill>
          </w14:textFill>
        </w:rPr>
        <w:t>10</w:t>
      </w:r>
      <w:r>
        <w:rPr>
          <w:rFonts w:ascii="黑体" w:eastAsia="黑体"/>
          <w:b/>
          <w:color w:val="000000" w:themeColor="text1"/>
          <w:sz w:val="24"/>
          <w14:textFill>
            <w14:solidFill>
              <w14:schemeClr w14:val="tx1"/>
            </w14:solidFill>
          </w14:textFill>
        </w:rPr>
        <w:t xml:space="preserve">.1. </w:t>
      </w:r>
      <w:r>
        <w:rPr>
          <w:rFonts w:hint="eastAsia" w:cs="宋体"/>
          <w:sz w:val="24"/>
          <w:szCs w:val="24"/>
        </w:rPr>
        <w:t>投标人无论中标与否，采购人不承担投标人参加投标的任何费用。</w:t>
      </w:r>
      <w:bookmarkStart w:id="16" w:name="_Toc15042573"/>
    </w:p>
    <w:p>
      <w:pPr>
        <w:spacing w:line="360" w:lineRule="auto"/>
        <w:ind w:firstLine="480" w:firstLineChars="200"/>
        <w:jc w:val="center"/>
        <w:rPr>
          <w:rFonts w:cs="宋体"/>
          <w:sz w:val="24"/>
          <w:szCs w:val="24"/>
        </w:rPr>
      </w:pPr>
    </w:p>
    <w:p>
      <w:pPr>
        <w:rPr>
          <w:rFonts w:cs="宋体"/>
          <w:b/>
          <w:bCs/>
          <w:sz w:val="40"/>
          <w:szCs w:val="40"/>
        </w:rPr>
      </w:pPr>
      <w:r>
        <w:rPr>
          <w:rFonts w:hint="eastAsia" w:cs="宋体"/>
          <w:b/>
          <w:bCs/>
          <w:sz w:val="40"/>
          <w:szCs w:val="40"/>
        </w:rPr>
        <w:br w:type="page"/>
      </w:r>
    </w:p>
    <w:p>
      <w:pPr>
        <w:spacing w:line="360" w:lineRule="auto"/>
        <w:jc w:val="center"/>
        <w:rPr>
          <w:rFonts w:eastAsia="黑体"/>
          <w:color w:val="000000"/>
          <w:sz w:val="24"/>
          <w:szCs w:val="24"/>
        </w:rPr>
      </w:pPr>
      <w:r>
        <w:rPr>
          <w:rFonts w:hint="eastAsia" w:cs="宋体"/>
          <w:b/>
          <w:bCs/>
          <w:sz w:val="40"/>
          <w:szCs w:val="40"/>
        </w:rPr>
        <w:t>第三部分 采购要求及相关说明</w:t>
      </w:r>
      <w:bookmarkEnd w:id="16"/>
    </w:p>
    <w:p>
      <w:pPr>
        <w:ind w:firstLine="562" w:firstLineChars="200"/>
        <w:rPr>
          <w:rFonts w:ascii="宋体"/>
          <w:b/>
          <w:bCs/>
          <w:sz w:val="28"/>
          <w:szCs w:val="28"/>
        </w:rPr>
      </w:pPr>
      <w:r>
        <w:rPr>
          <w:rFonts w:hint="eastAsia" w:cs="宋体"/>
          <w:b/>
          <w:bCs/>
          <w:sz w:val="28"/>
          <w:szCs w:val="28"/>
        </w:rPr>
        <w:t>一、需求及分布一览表</w:t>
      </w:r>
    </w:p>
    <w:tbl>
      <w:tblPr>
        <w:tblStyle w:val="17"/>
        <w:tblW w:w="949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87"/>
        <w:gridCol w:w="5418"/>
        <w:gridCol w:w="768"/>
        <w:gridCol w:w="1327"/>
        <w:gridCol w:w="99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3" w:hRule="atLeast"/>
          <w:jc w:val="center"/>
        </w:trPr>
        <w:tc>
          <w:tcPr>
            <w:tcW w:w="987" w:type="dxa"/>
            <w:vAlign w:val="center"/>
          </w:tcPr>
          <w:p>
            <w:pPr>
              <w:spacing w:line="288" w:lineRule="auto"/>
              <w:jc w:val="center"/>
              <w:rPr>
                <w:rFonts w:ascii="宋体"/>
                <w:b/>
                <w:bCs/>
                <w:color w:val="000000"/>
                <w:sz w:val="24"/>
                <w:szCs w:val="24"/>
              </w:rPr>
            </w:pPr>
            <w:r>
              <w:rPr>
                <w:rFonts w:hint="eastAsia" w:ascii="宋体" w:cs="宋体"/>
                <w:b/>
                <w:bCs/>
                <w:color w:val="000000"/>
                <w:sz w:val="24"/>
                <w:szCs w:val="24"/>
              </w:rPr>
              <w:t>序号</w:t>
            </w:r>
          </w:p>
        </w:tc>
        <w:tc>
          <w:tcPr>
            <w:tcW w:w="5418" w:type="dxa"/>
            <w:vAlign w:val="center"/>
          </w:tcPr>
          <w:p>
            <w:pPr>
              <w:spacing w:line="288" w:lineRule="auto"/>
              <w:jc w:val="center"/>
              <w:rPr>
                <w:rFonts w:ascii="宋体"/>
                <w:b/>
                <w:bCs/>
                <w:color w:val="000000"/>
                <w:sz w:val="24"/>
                <w:szCs w:val="24"/>
              </w:rPr>
            </w:pPr>
            <w:r>
              <w:rPr>
                <w:rFonts w:hint="eastAsia" w:ascii="宋体" w:hAnsi="宋体" w:cs="宋体"/>
                <w:b/>
                <w:bCs/>
                <w:color w:val="000000"/>
                <w:sz w:val="24"/>
                <w:szCs w:val="24"/>
              </w:rPr>
              <w:t>项目名称及基本情况</w:t>
            </w:r>
          </w:p>
        </w:tc>
        <w:tc>
          <w:tcPr>
            <w:tcW w:w="768" w:type="dxa"/>
            <w:vAlign w:val="center"/>
          </w:tcPr>
          <w:p>
            <w:pPr>
              <w:spacing w:line="288" w:lineRule="auto"/>
              <w:jc w:val="center"/>
              <w:rPr>
                <w:rFonts w:ascii="宋体"/>
                <w:b/>
                <w:bCs/>
                <w:color w:val="000000"/>
                <w:sz w:val="24"/>
                <w:szCs w:val="24"/>
              </w:rPr>
            </w:pPr>
            <w:r>
              <w:rPr>
                <w:rFonts w:hint="eastAsia" w:ascii="宋体" w:hAnsi="宋体" w:cs="宋体"/>
                <w:b/>
                <w:bCs/>
                <w:color w:val="000000"/>
                <w:sz w:val="24"/>
                <w:szCs w:val="24"/>
              </w:rPr>
              <w:t>数量</w:t>
            </w:r>
          </w:p>
        </w:tc>
        <w:tc>
          <w:tcPr>
            <w:tcW w:w="1327" w:type="dxa"/>
            <w:vAlign w:val="center"/>
          </w:tcPr>
          <w:p>
            <w:pPr>
              <w:spacing w:line="288" w:lineRule="auto"/>
              <w:jc w:val="center"/>
              <w:rPr>
                <w:rFonts w:ascii="宋体"/>
                <w:b/>
                <w:bCs/>
                <w:color w:val="000000"/>
                <w:sz w:val="24"/>
                <w:szCs w:val="24"/>
              </w:rPr>
            </w:pPr>
            <w:r>
              <w:rPr>
                <w:rFonts w:hint="eastAsia" w:ascii="宋体" w:hAnsi="宋体" w:cs="宋体"/>
                <w:b/>
                <w:bCs/>
                <w:color w:val="000000"/>
                <w:sz w:val="24"/>
                <w:szCs w:val="24"/>
              </w:rPr>
              <w:t>服务期</w:t>
            </w:r>
          </w:p>
        </w:tc>
        <w:tc>
          <w:tcPr>
            <w:tcW w:w="993" w:type="dxa"/>
            <w:vAlign w:val="center"/>
          </w:tcPr>
          <w:p>
            <w:pPr>
              <w:spacing w:line="288" w:lineRule="auto"/>
              <w:jc w:val="center"/>
              <w:rPr>
                <w:rFonts w:ascii="宋体"/>
                <w:b/>
                <w:bCs/>
                <w:color w:val="000000"/>
                <w:sz w:val="24"/>
                <w:szCs w:val="24"/>
              </w:rPr>
            </w:pPr>
            <w:r>
              <w:rPr>
                <w:rFonts w:hint="eastAsia" w:ascii="宋体" w:cs="宋体"/>
                <w:b/>
                <w:bCs/>
                <w:color w:val="000000"/>
                <w:sz w:val="24"/>
                <w:szCs w:val="24"/>
              </w:rPr>
              <w:t>入围数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18" w:hRule="atLeast"/>
          <w:jc w:val="center"/>
        </w:trPr>
        <w:tc>
          <w:tcPr>
            <w:tcW w:w="987" w:type="dxa"/>
            <w:vAlign w:val="center"/>
          </w:tcPr>
          <w:p>
            <w:pPr>
              <w:widowControl/>
              <w:spacing w:line="288" w:lineRule="auto"/>
              <w:jc w:val="center"/>
              <w:rPr>
                <w:rFonts w:ascii="宋体"/>
                <w:color w:val="000000"/>
                <w:sz w:val="22"/>
                <w:szCs w:val="22"/>
              </w:rPr>
            </w:pPr>
            <w:r>
              <w:rPr>
                <w:rFonts w:hint="eastAsia" w:ascii="宋体" w:cs="宋体"/>
                <w:color w:val="000000"/>
                <w:sz w:val="22"/>
                <w:szCs w:val="22"/>
              </w:rPr>
              <w:t>标段一</w:t>
            </w:r>
          </w:p>
        </w:tc>
        <w:tc>
          <w:tcPr>
            <w:tcW w:w="5418" w:type="dxa"/>
            <w:vAlign w:val="center"/>
          </w:tcPr>
          <w:p>
            <w:pPr>
              <w:widowControl/>
              <w:spacing w:line="288" w:lineRule="auto"/>
              <w:jc w:val="left"/>
              <w:rPr>
                <w:rFonts w:ascii="宋体" w:hAnsi="宋体" w:cs="宋体"/>
                <w:color w:val="000000"/>
                <w:sz w:val="22"/>
                <w:szCs w:val="22"/>
              </w:rPr>
            </w:pPr>
            <w:r>
              <w:rPr>
                <w:rFonts w:hint="eastAsia" w:ascii="宋体" w:hAnsi="宋体" w:cs="宋体"/>
                <w:color w:val="000000"/>
                <w:sz w:val="22"/>
                <w:szCs w:val="22"/>
              </w:rPr>
              <w:t>啬园校区及启秀校区公寓区计划铺放145台直饮机</w:t>
            </w:r>
          </w:p>
          <w:p>
            <w:pPr>
              <w:widowControl/>
              <w:spacing w:line="288" w:lineRule="auto"/>
              <w:jc w:val="left"/>
              <w:rPr>
                <w:rFonts w:ascii="宋体"/>
                <w:color w:val="000000"/>
                <w:sz w:val="22"/>
                <w:szCs w:val="22"/>
              </w:rPr>
            </w:pPr>
            <w:r>
              <w:rPr>
                <w:rFonts w:hint="eastAsia" w:ascii="宋体" w:hAnsi="宋体" w:cs="宋体"/>
                <w:color w:val="000000"/>
                <w:sz w:val="22"/>
                <w:szCs w:val="22"/>
              </w:rPr>
              <w:t>（三个出水口：普通开水、常温直饮水、高温直饮水）</w:t>
            </w:r>
          </w:p>
        </w:tc>
        <w:tc>
          <w:tcPr>
            <w:tcW w:w="768" w:type="dxa"/>
            <w:vAlign w:val="center"/>
          </w:tcPr>
          <w:p>
            <w:pPr>
              <w:widowControl/>
              <w:spacing w:line="288" w:lineRule="auto"/>
              <w:jc w:val="center"/>
              <w:rPr>
                <w:rFonts w:ascii="宋体"/>
                <w:color w:val="000000"/>
                <w:sz w:val="22"/>
                <w:szCs w:val="22"/>
              </w:rPr>
            </w:pPr>
            <w:r>
              <w:rPr>
                <w:rFonts w:ascii="宋体" w:hAnsi="宋体" w:cs="宋体"/>
                <w:color w:val="000000"/>
                <w:sz w:val="22"/>
                <w:szCs w:val="22"/>
              </w:rPr>
              <w:t>1</w:t>
            </w:r>
            <w:r>
              <w:rPr>
                <w:rFonts w:hint="eastAsia" w:ascii="宋体" w:hAnsi="宋体" w:cs="宋体"/>
                <w:color w:val="000000"/>
                <w:sz w:val="22"/>
                <w:szCs w:val="22"/>
              </w:rPr>
              <w:t>项</w:t>
            </w:r>
          </w:p>
        </w:tc>
        <w:tc>
          <w:tcPr>
            <w:tcW w:w="1327" w:type="dxa"/>
            <w:vAlign w:val="center"/>
          </w:tcPr>
          <w:p>
            <w:pPr>
              <w:widowControl/>
              <w:spacing w:line="288" w:lineRule="auto"/>
              <w:jc w:val="center"/>
              <w:rPr>
                <w:rFonts w:ascii="宋体"/>
                <w:color w:val="000000"/>
                <w:sz w:val="22"/>
                <w:szCs w:val="22"/>
              </w:rPr>
            </w:pPr>
            <w:r>
              <w:rPr>
                <w:rFonts w:hint="eastAsia" w:ascii="宋体" w:hAnsi="宋体" w:cs="宋体"/>
                <w:color w:val="000000"/>
                <w:sz w:val="22"/>
                <w:szCs w:val="22"/>
              </w:rPr>
              <w:t>合同签订之日起</w:t>
            </w:r>
            <w:r>
              <w:rPr>
                <w:rFonts w:ascii="宋体" w:hAnsi="宋体" w:cs="宋体"/>
                <w:color w:val="000000"/>
                <w:sz w:val="22"/>
                <w:szCs w:val="22"/>
              </w:rPr>
              <w:t>3</w:t>
            </w:r>
            <w:r>
              <w:rPr>
                <w:rFonts w:hint="eastAsia" w:ascii="宋体" w:hAnsi="宋体" w:cs="宋体"/>
                <w:color w:val="000000"/>
                <w:sz w:val="22"/>
                <w:szCs w:val="22"/>
              </w:rPr>
              <w:t>年</w:t>
            </w:r>
          </w:p>
        </w:tc>
        <w:tc>
          <w:tcPr>
            <w:tcW w:w="993" w:type="dxa"/>
            <w:vAlign w:val="center"/>
          </w:tcPr>
          <w:p>
            <w:pPr>
              <w:widowControl/>
              <w:spacing w:line="288" w:lineRule="auto"/>
              <w:jc w:val="center"/>
              <w:rPr>
                <w:rFonts w:ascii="宋体"/>
                <w:color w:val="000000"/>
                <w:sz w:val="22"/>
                <w:szCs w:val="22"/>
              </w:rPr>
            </w:pPr>
            <w:r>
              <w:rPr>
                <w:rFonts w:ascii="宋体" w:cs="宋体"/>
                <w:color w:val="000000"/>
                <w:sz w:val="22"/>
                <w:szCs w:val="22"/>
              </w:rPr>
              <w:t>1</w:t>
            </w:r>
            <w:r>
              <w:rPr>
                <w:rFonts w:hint="eastAsia" w:ascii="宋体" w:cs="宋体"/>
                <w:color w:val="000000"/>
                <w:sz w:val="22"/>
                <w:szCs w:val="22"/>
              </w:rPr>
              <w:t>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29" w:hRule="atLeast"/>
          <w:jc w:val="center"/>
        </w:trPr>
        <w:tc>
          <w:tcPr>
            <w:tcW w:w="987" w:type="dxa"/>
            <w:vAlign w:val="center"/>
          </w:tcPr>
          <w:p>
            <w:pPr>
              <w:widowControl/>
              <w:spacing w:line="288" w:lineRule="auto"/>
              <w:jc w:val="center"/>
              <w:rPr>
                <w:rFonts w:ascii="宋体"/>
                <w:color w:val="000000"/>
                <w:sz w:val="22"/>
                <w:szCs w:val="22"/>
              </w:rPr>
            </w:pPr>
            <w:r>
              <w:rPr>
                <w:rFonts w:hint="eastAsia" w:ascii="宋体" w:hAnsi="宋体" w:cs="宋体"/>
                <w:color w:val="000000"/>
                <w:sz w:val="22"/>
                <w:szCs w:val="22"/>
              </w:rPr>
              <w:t>标段二</w:t>
            </w:r>
          </w:p>
        </w:tc>
        <w:tc>
          <w:tcPr>
            <w:tcW w:w="5418" w:type="dxa"/>
            <w:vAlign w:val="center"/>
          </w:tcPr>
          <w:p>
            <w:pPr>
              <w:widowControl/>
              <w:spacing w:line="288" w:lineRule="auto"/>
              <w:rPr>
                <w:rFonts w:ascii="宋体" w:hAnsi="宋体" w:cs="宋体"/>
                <w:sz w:val="22"/>
                <w:szCs w:val="22"/>
              </w:rPr>
            </w:pPr>
            <w:r>
              <w:rPr>
                <w:rFonts w:hint="eastAsia" w:ascii="宋体" w:hAnsi="宋体" w:cs="宋体"/>
                <w:sz w:val="22"/>
                <w:szCs w:val="22"/>
              </w:rPr>
              <w:t>啬园校区及启秀校区教学区计划铺放32台直饮机</w:t>
            </w:r>
          </w:p>
          <w:p>
            <w:pPr>
              <w:widowControl/>
              <w:spacing w:line="288" w:lineRule="auto"/>
              <w:rPr>
                <w:rFonts w:ascii="宋体"/>
                <w:color w:val="000000"/>
                <w:sz w:val="22"/>
                <w:szCs w:val="22"/>
              </w:rPr>
            </w:pPr>
            <w:r>
              <w:rPr>
                <w:rFonts w:hint="eastAsia" w:ascii="宋体" w:hAnsi="宋体" w:cs="宋体"/>
                <w:sz w:val="22"/>
                <w:szCs w:val="22"/>
              </w:rPr>
              <w:t>（两个出水口：常温直饮水、高温直饮水）</w:t>
            </w:r>
          </w:p>
        </w:tc>
        <w:tc>
          <w:tcPr>
            <w:tcW w:w="768" w:type="dxa"/>
            <w:vAlign w:val="center"/>
          </w:tcPr>
          <w:p>
            <w:pPr>
              <w:widowControl/>
              <w:spacing w:line="288" w:lineRule="auto"/>
              <w:jc w:val="center"/>
              <w:rPr>
                <w:rFonts w:ascii="宋体"/>
                <w:color w:val="000000"/>
                <w:sz w:val="22"/>
                <w:szCs w:val="22"/>
              </w:rPr>
            </w:pPr>
            <w:r>
              <w:rPr>
                <w:rFonts w:ascii="宋体" w:hAnsi="宋体" w:cs="宋体"/>
                <w:color w:val="000000"/>
                <w:sz w:val="22"/>
                <w:szCs w:val="22"/>
              </w:rPr>
              <w:t>1</w:t>
            </w:r>
            <w:r>
              <w:rPr>
                <w:rFonts w:hint="eastAsia" w:ascii="宋体" w:hAnsi="宋体" w:cs="宋体"/>
                <w:color w:val="000000"/>
                <w:sz w:val="22"/>
                <w:szCs w:val="22"/>
              </w:rPr>
              <w:t>项</w:t>
            </w:r>
          </w:p>
        </w:tc>
        <w:tc>
          <w:tcPr>
            <w:tcW w:w="1327" w:type="dxa"/>
            <w:vAlign w:val="center"/>
          </w:tcPr>
          <w:p>
            <w:pPr>
              <w:widowControl/>
              <w:spacing w:line="288" w:lineRule="auto"/>
              <w:jc w:val="center"/>
              <w:rPr>
                <w:rFonts w:ascii="宋体"/>
                <w:color w:val="000000"/>
                <w:sz w:val="22"/>
                <w:szCs w:val="22"/>
              </w:rPr>
            </w:pPr>
            <w:r>
              <w:rPr>
                <w:rFonts w:hint="eastAsia" w:ascii="宋体" w:hAnsi="宋体" w:cs="宋体"/>
                <w:color w:val="000000"/>
                <w:sz w:val="22"/>
                <w:szCs w:val="22"/>
              </w:rPr>
              <w:t>合同签订之日起</w:t>
            </w:r>
            <w:r>
              <w:rPr>
                <w:rFonts w:ascii="宋体" w:hAnsi="宋体" w:cs="宋体"/>
                <w:color w:val="000000"/>
                <w:sz w:val="22"/>
                <w:szCs w:val="22"/>
              </w:rPr>
              <w:t>3</w:t>
            </w:r>
            <w:r>
              <w:rPr>
                <w:rFonts w:hint="eastAsia" w:ascii="宋体" w:hAnsi="宋体" w:cs="宋体"/>
                <w:color w:val="000000"/>
                <w:sz w:val="22"/>
                <w:szCs w:val="22"/>
              </w:rPr>
              <w:t>年</w:t>
            </w:r>
          </w:p>
        </w:tc>
        <w:tc>
          <w:tcPr>
            <w:tcW w:w="993" w:type="dxa"/>
            <w:vAlign w:val="center"/>
          </w:tcPr>
          <w:p>
            <w:pPr>
              <w:widowControl/>
              <w:spacing w:line="288" w:lineRule="auto"/>
              <w:jc w:val="center"/>
              <w:rPr>
                <w:rFonts w:ascii="宋体"/>
                <w:color w:val="000000"/>
                <w:sz w:val="22"/>
                <w:szCs w:val="22"/>
              </w:rPr>
            </w:pPr>
            <w:r>
              <w:rPr>
                <w:rFonts w:ascii="宋体" w:hAnsi="宋体" w:cs="宋体"/>
                <w:color w:val="000000"/>
                <w:sz w:val="22"/>
                <w:szCs w:val="22"/>
              </w:rPr>
              <w:t>1</w:t>
            </w:r>
            <w:r>
              <w:rPr>
                <w:rFonts w:hint="eastAsia" w:ascii="宋体" w:hAnsi="宋体" w:cs="宋体"/>
                <w:color w:val="000000"/>
                <w:sz w:val="22"/>
                <w:szCs w:val="22"/>
              </w:rPr>
              <w:t>家</w:t>
            </w:r>
          </w:p>
        </w:tc>
      </w:tr>
    </w:tbl>
    <w:p>
      <w:pPr>
        <w:spacing w:beforeLines="50" w:afterLines="50" w:line="500" w:lineRule="exact"/>
        <w:rPr>
          <w:rFonts w:ascii="宋体" w:cs="宋体"/>
          <w:b/>
          <w:color w:val="000000" w:themeColor="text1"/>
          <w:sz w:val="24"/>
          <w:szCs w:val="24"/>
          <w14:textFill>
            <w14:solidFill>
              <w14:schemeClr w14:val="tx1"/>
            </w14:solidFill>
          </w14:textFill>
        </w:rPr>
      </w:pPr>
      <w:r>
        <w:rPr>
          <w:rFonts w:hint="eastAsia" w:ascii="宋体" w:hAnsi="宋体" w:cs="宋体"/>
          <w:b/>
          <w:color w:val="000000" w:themeColor="text1"/>
          <w:sz w:val="24"/>
          <w:szCs w:val="24"/>
          <w14:textFill>
            <w14:solidFill>
              <w14:schemeClr w14:val="tx1"/>
            </w14:solidFill>
          </w14:textFill>
        </w:rPr>
        <w:t xml:space="preserve">    注：1、超出用电承载负荷带来的电增容以及所有水电改造施工、管道及线路铺设等，由中标人全额投资建设。</w:t>
      </w:r>
    </w:p>
    <w:p>
      <w:pPr>
        <w:rPr>
          <w:bCs/>
          <w:sz w:val="24"/>
          <w:szCs w:val="24"/>
        </w:rPr>
      </w:pPr>
      <w:r>
        <w:rPr>
          <w:rFonts w:hint="eastAsia"/>
          <w:bCs/>
          <w:sz w:val="24"/>
          <w:szCs w:val="24"/>
        </w:rPr>
        <w:t xml:space="preserve">    2、中标后放置数量及地点根据实际情况协商铺放。</w:t>
      </w:r>
    </w:p>
    <w:p>
      <w:pPr>
        <w:keepNext/>
        <w:numPr>
          <w:ilvl w:val="1"/>
          <w:numId w:val="0"/>
        </w:numPr>
        <w:adjustRightInd w:val="0"/>
        <w:snapToGrid w:val="0"/>
        <w:spacing w:beforeLines="50" w:afterLines="50" w:line="500" w:lineRule="exact"/>
        <w:ind w:firstLine="482" w:firstLineChars="200"/>
        <w:outlineLvl w:val="1"/>
        <w:rPr>
          <w:rFonts w:ascii="宋体" w:hAnsi="宋体" w:cs="宋体"/>
          <w:b/>
          <w:sz w:val="24"/>
          <w:szCs w:val="24"/>
        </w:rPr>
      </w:pPr>
      <w:r>
        <w:rPr>
          <w:rFonts w:hint="eastAsia" w:ascii="宋体" w:hAnsi="宋体" w:cs="宋体"/>
          <w:b/>
          <w:sz w:val="24"/>
          <w:szCs w:val="24"/>
        </w:rPr>
        <w:t>二、投标方所提供的直饮设备要求：</w:t>
      </w:r>
    </w:p>
    <w:p>
      <w:pPr>
        <w:adjustRightInd w:val="0"/>
        <w:snapToGrid w:val="0"/>
        <w:spacing w:line="500" w:lineRule="exact"/>
        <w:ind w:firstLine="480" w:firstLineChars="200"/>
        <w:rPr>
          <w:rFonts w:ascii="宋体" w:hAnsi="宋体" w:cs="宋体"/>
          <w:sz w:val="24"/>
          <w:szCs w:val="24"/>
        </w:rPr>
      </w:pPr>
      <w:r>
        <w:rPr>
          <w:rFonts w:hint="eastAsia" w:ascii="宋体" w:hAnsi="宋体" w:cs="宋体"/>
          <w:sz w:val="24"/>
          <w:szCs w:val="24"/>
        </w:rPr>
        <w:t>（1）产品整体符合QB/T4270-2011《商用电热开水器》、Q/GB4706.36-2014《家用和类似用途电器的安全商用电开水器和液体加热器的特殊要求》。</w:t>
      </w:r>
    </w:p>
    <w:p>
      <w:pPr>
        <w:adjustRightInd w:val="0"/>
        <w:snapToGrid w:val="0"/>
        <w:spacing w:line="500" w:lineRule="exact"/>
        <w:ind w:firstLine="480" w:firstLineChars="200"/>
        <w:rPr>
          <w:rFonts w:ascii="宋体" w:hAnsi="宋体" w:cs="宋体"/>
          <w:sz w:val="24"/>
          <w:szCs w:val="24"/>
        </w:rPr>
      </w:pPr>
      <w:r>
        <w:rPr>
          <w:rFonts w:hint="eastAsia" w:ascii="宋体" w:hAnsi="宋体" w:cs="宋体"/>
          <w:sz w:val="24"/>
          <w:szCs w:val="24"/>
        </w:rPr>
        <w:t>（2）CQC3133-2011《商用电热水器节能认证技术规范》要求。</w:t>
      </w:r>
    </w:p>
    <w:p>
      <w:pPr>
        <w:adjustRightInd w:val="0"/>
        <w:snapToGrid w:val="0"/>
        <w:spacing w:line="500" w:lineRule="exact"/>
        <w:ind w:firstLine="480" w:firstLineChars="200"/>
        <w:rPr>
          <w:rFonts w:ascii="宋体" w:hAnsi="宋体" w:cs="宋体"/>
          <w:sz w:val="24"/>
          <w:szCs w:val="24"/>
        </w:rPr>
      </w:pPr>
      <w:r>
        <w:rPr>
          <w:rFonts w:hint="eastAsia" w:ascii="宋体" w:hAnsi="宋体" w:cs="宋体"/>
          <w:sz w:val="24"/>
          <w:szCs w:val="24"/>
        </w:rPr>
        <w:t>（3）产品外观及结构标准符合QB/T4270-2011《商用电热开水器》5.3要求。</w:t>
      </w:r>
    </w:p>
    <w:p>
      <w:pPr>
        <w:adjustRightInd w:val="0"/>
        <w:snapToGrid w:val="0"/>
        <w:spacing w:line="500" w:lineRule="exact"/>
        <w:ind w:firstLine="480" w:firstLineChars="200"/>
        <w:rPr>
          <w:rFonts w:ascii="宋体" w:hAnsi="宋体" w:cs="宋体"/>
          <w:sz w:val="24"/>
          <w:szCs w:val="24"/>
        </w:rPr>
      </w:pPr>
      <w:r>
        <w:rPr>
          <w:rFonts w:hint="eastAsia" w:ascii="宋体" w:hAnsi="宋体" w:cs="宋体"/>
          <w:sz w:val="24"/>
          <w:szCs w:val="24"/>
        </w:rPr>
        <w:t>（4）水接触部件符合QB/T4270-2011《商用电热开水器》5.4要求。</w:t>
      </w:r>
    </w:p>
    <w:p>
      <w:pPr>
        <w:adjustRightInd w:val="0"/>
        <w:snapToGrid w:val="0"/>
        <w:spacing w:line="500" w:lineRule="exact"/>
        <w:ind w:firstLine="480" w:firstLineChars="200"/>
        <w:rPr>
          <w:rFonts w:ascii="宋体" w:hAnsi="宋体" w:cs="宋体"/>
          <w:sz w:val="24"/>
          <w:szCs w:val="24"/>
        </w:rPr>
      </w:pPr>
      <w:r>
        <w:rPr>
          <w:rFonts w:hint="eastAsia" w:ascii="宋体" w:hAnsi="宋体" w:cs="宋体"/>
          <w:sz w:val="24"/>
          <w:szCs w:val="24"/>
        </w:rPr>
        <w:t>（5）产品性能符合QB/T4270-2011《商用电热开水器》5.5要求。</w:t>
      </w:r>
    </w:p>
    <w:p>
      <w:pPr>
        <w:adjustRightInd w:val="0"/>
        <w:snapToGrid w:val="0"/>
        <w:spacing w:line="500" w:lineRule="exact"/>
        <w:ind w:firstLine="480" w:firstLineChars="200"/>
        <w:rPr>
          <w:rFonts w:ascii="宋体" w:hAnsi="宋体" w:cs="宋体"/>
          <w:sz w:val="24"/>
          <w:szCs w:val="24"/>
        </w:rPr>
      </w:pPr>
      <w:r>
        <w:rPr>
          <w:rFonts w:hint="eastAsia" w:ascii="宋体" w:hAnsi="宋体" w:cs="宋体"/>
          <w:sz w:val="24"/>
          <w:szCs w:val="24"/>
        </w:rPr>
        <w:t>（6）</w:t>
      </w:r>
      <w:bookmarkStart w:id="17" w:name="_Hlk6319291"/>
      <w:r>
        <w:rPr>
          <w:rFonts w:hint="eastAsia" w:ascii="宋体" w:hAnsi="宋体" w:cs="宋体"/>
          <w:sz w:val="24"/>
          <w:szCs w:val="24"/>
        </w:rPr>
        <w:t>净化处理要求：5级反渗透过滤（PP棉+活性炭+PP棉+反渗透膜+活性炭；所有设备需提供产品责任保险单、制造商必须具有本厂自有品牌反渗透膜元件水质处理器的涉及饮用水卫生安全产品卫生许可批件）</w:t>
      </w:r>
      <w:bookmarkEnd w:id="17"/>
      <w:r>
        <w:rPr>
          <w:rFonts w:hint="eastAsia" w:ascii="宋体" w:hAnsi="宋体" w:cs="宋体"/>
          <w:sz w:val="24"/>
          <w:szCs w:val="24"/>
        </w:rPr>
        <w:t>。</w:t>
      </w:r>
    </w:p>
    <w:p>
      <w:pPr>
        <w:adjustRightInd w:val="0"/>
        <w:snapToGrid w:val="0"/>
        <w:spacing w:line="500" w:lineRule="exact"/>
        <w:ind w:firstLine="480" w:firstLineChars="200"/>
        <w:rPr>
          <w:rFonts w:ascii="宋体" w:hAnsi="宋体" w:cs="宋体"/>
          <w:color w:val="000000" w:themeColor="text1"/>
          <w:sz w:val="24"/>
          <w:szCs w:val="24"/>
          <w14:textFill>
            <w14:solidFill>
              <w14:schemeClr w14:val="tx1"/>
            </w14:solidFill>
          </w14:textFill>
        </w:rPr>
      </w:pPr>
      <w:r>
        <w:rPr>
          <w:rFonts w:hint="eastAsia" w:ascii="宋体" w:hAnsi="宋体" w:cs="宋体"/>
          <w:sz w:val="24"/>
          <w:szCs w:val="24"/>
        </w:rPr>
        <w:t>（</w:t>
      </w:r>
      <w:r>
        <w:rPr>
          <w:rFonts w:hint="eastAsia" w:ascii="宋体" w:hAnsi="宋体" w:cs="宋体"/>
          <w:color w:val="000000" w:themeColor="text1"/>
          <w:sz w:val="24"/>
          <w:szCs w:val="24"/>
          <w14:textFill>
            <w14:solidFill>
              <w14:schemeClr w14:val="tx1"/>
            </w14:solidFill>
          </w14:textFill>
        </w:rPr>
        <w:t>7）出水配置UV紫外线杀菌系统。</w:t>
      </w:r>
    </w:p>
    <w:p>
      <w:pPr>
        <w:pStyle w:val="5"/>
        <w:spacing w:line="500" w:lineRule="exact"/>
        <w:ind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8）设备生产厂家需提供所投产品的整机带反渗透过滤器的涉及饮用水安全卫生许可批件、CQC认证、食品接触产品安全认证，所投产品的中国节能认证证书，所投产品的生产厂家的质量管理体系认证证书、环境管理体系认证证书。</w:t>
      </w:r>
    </w:p>
    <w:p>
      <w:pPr>
        <w:adjustRightInd w:val="0"/>
        <w:snapToGrid w:val="0"/>
        <w:spacing w:line="500" w:lineRule="exact"/>
        <w:ind w:firstLine="480" w:firstLineChars="200"/>
        <w:rPr>
          <w:color w:val="000000" w:themeColor="text1"/>
          <w:sz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（9）设备出水龙头开关使用触感模式，并安装过滤网供废弃茶叶等集中处理。</w:t>
      </w:r>
      <w:r>
        <w:rPr>
          <w:rFonts w:hint="eastAsia"/>
          <w:color w:val="000000" w:themeColor="text1"/>
          <w:sz w:val="24"/>
          <w14:textFill>
            <w14:solidFill>
              <w14:schemeClr w14:val="tx1"/>
            </w14:solidFill>
          </w14:textFill>
        </w:rPr>
        <w:t xml:space="preserve"> </w:t>
      </w:r>
    </w:p>
    <w:p>
      <w:pPr>
        <w:adjustRightInd w:val="0"/>
        <w:snapToGrid w:val="0"/>
        <w:spacing w:line="500" w:lineRule="exact"/>
        <w:ind w:firstLine="480" w:firstLineChars="200"/>
        <w:rPr>
          <w:rFonts w:ascii="宋体" w:hAnsi="宋体" w:cs="宋体"/>
          <w:sz w:val="24"/>
          <w:szCs w:val="24"/>
        </w:rPr>
      </w:pPr>
      <w:r>
        <w:rPr>
          <w:rFonts w:hint="eastAsia" w:ascii="宋体" w:hAnsi="宋体" w:cs="宋体"/>
          <w:sz w:val="24"/>
          <w:szCs w:val="24"/>
        </w:rPr>
        <w:t>（10）</w:t>
      </w:r>
      <w:bookmarkStart w:id="18" w:name="_Hlk6333075"/>
      <w:r>
        <w:rPr>
          <w:rFonts w:hint="eastAsia" w:ascii="宋体" w:hAnsi="宋体" w:cs="宋体"/>
          <w:sz w:val="24"/>
          <w:szCs w:val="24"/>
        </w:rPr>
        <w:t>设备有一定的扩展性，平台管理可</w:t>
      </w:r>
      <w:bookmarkEnd w:id="18"/>
      <w:r>
        <w:rPr>
          <w:rFonts w:hint="eastAsia" w:ascii="宋体" w:hAnsi="宋体" w:cs="宋体"/>
          <w:sz w:val="24"/>
          <w:szCs w:val="24"/>
        </w:rPr>
        <w:t>对接学校相关的公众号，实现实时监管。</w:t>
      </w:r>
    </w:p>
    <w:p>
      <w:pPr>
        <w:keepNext/>
        <w:numPr>
          <w:ilvl w:val="1"/>
          <w:numId w:val="0"/>
        </w:numPr>
        <w:adjustRightInd w:val="0"/>
        <w:snapToGrid w:val="0"/>
        <w:spacing w:beforeLines="50" w:afterLines="50" w:line="500" w:lineRule="exact"/>
        <w:ind w:firstLine="482" w:firstLineChars="200"/>
        <w:outlineLvl w:val="1"/>
        <w:rPr>
          <w:rFonts w:ascii="宋体" w:hAnsi="宋体" w:cs="宋体"/>
          <w:b/>
          <w:sz w:val="24"/>
          <w:szCs w:val="24"/>
        </w:rPr>
      </w:pPr>
      <w:r>
        <w:rPr>
          <w:rFonts w:hint="eastAsia" w:ascii="宋体" w:hAnsi="宋体" w:cs="宋体"/>
          <w:b/>
          <w:sz w:val="24"/>
          <w:szCs w:val="24"/>
        </w:rPr>
        <w:t>三、投标方所提供公用热饮水机设备的其他要求：</w:t>
      </w:r>
    </w:p>
    <w:p>
      <w:pPr>
        <w:adjustRightInd w:val="0"/>
        <w:snapToGrid w:val="0"/>
        <w:spacing w:line="500" w:lineRule="exact"/>
        <w:ind w:firstLine="480" w:firstLineChars="200"/>
        <w:rPr>
          <w:rFonts w:ascii="宋体" w:hAnsi="宋体" w:cs="宋体"/>
          <w:sz w:val="24"/>
          <w:szCs w:val="24"/>
        </w:rPr>
      </w:pPr>
      <w:r>
        <w:rPr>
          <w:rFonts w:hint="eastAsia" w:ascii="宋体" w:hAnsi="宋体" w:cs="宋体"/>
          <w:sz w:val="24"/>
          <w:szCs w:val="24"/>
        </w:rPr>
        <w:t>（1）产品使用寿命不低于3年。</w:t>
      </w:r>
    </w:p>
    <w:p>
      <w:pPr>
        <w:adjustRightInd w:val="0"/>
        <w:snapToGrid w:val="0"/>
        <w:spacing w:line="500" w:lineRule="exact"/>
        <w:ind w:firstLine="480" w:firstLineChars="200"/>
        <w:rPr>
          <w:rFonts w:ascii="宋体" w:hAnsi="宋体" w:cs="宋体"/>
          <w:sz w:val="24"/>
          <w:szCs w:val="24"/>
        </w:rPr>
      </w:pPr>
      <w:r>
        <w:rPr>
          <w:rFonts w:hint="eastAsia" w:ascii="宋体" w:hAnsi="宋体" w:cs="宋体"/>
          <w:sz w:val="24"/>
          <w:szCs w:val="24"/>
        </w:rPr>
        <w:t>（2）产品热效率达到2级（不低于90%），功率≥6KW。</w:t>
      </w:r>
    </w:p>
    <w:p>
      <w:pPr>
        <w:adjustRightInd w:val="0"/>
        <w:snapToGrid w:val="0"/>
        <w:spacing w:line="500" w:lineRule="exact"/>
        <w:ind w:firstLine="480" w:firstLineChars="200"/>
        <w:rPr>
          <w:rFonts w:ascii="宋体" w:hAnsi="宋体" w:cs="宋体"/>
          <w:sz w:val="24"/>
          <w:szCs w:val="24"/>
        </w:rPr>
      </w:pPr>
      <w:r>
        <w:rPr>
          <w:rFonts w:hint="eastAsia" w:ascii="宋体" w:hAnsi="宋体" w:cs="宋体"/>
          <w:sz w:val="24"/>
          <w:szCs w:val="24"/>
        </w:rPr>
        <w:t>（3）开水供应量，6KW不低于60L /H•台。</w:t>
      </w:r>
    </w:p>
    <w:p>
      <w:pPr>
        <w:adjustRightInd w:val="0"/>
        <w:snapToGrid w:val="0"/>
        <w:spacing w:line="500" w:lineRule="exact"/>
        <w:ind w:firstLine="480" w:firstLineChars="200"/>
        <w:rPr>
          <w:rFonts w:ascii="宋体" w:hAnsi="宋体" w:cs="宋体"/>
          <w:sz w:val="24"/>
          <w:szCs w:val="24"/>
        </w:rPr>
      </w:pPr>
      <w:r>
        <w:rPr>
          <w:rFonts w:hint="eastAsia" w:ascii="宋体" w:hAnsi="宋体" w:cs="宋体"/>
          <w:sz w:val="24"/>
          <w:szCs w:val="24"/>
        </w:rPr>
        <w:t>（4）直饮设备生产的开水温度达到沸水温度（95℃）及以上，热水温度显示应在显眼处且简单明了，未达到沸水温度（95℃）时提示用户尚不可饮用并反馈至系统严禁出水。</w:t>
      </w:r>
    </w:p>
    <w:p>
      <w:pPr>
        <w:adjustRightInd w:val="0"/>
        <w:snapToGrid w:val="0"/>
        <w:spacing w:line="500" w:lineRule="exact"/>
        <w:ind w:firstLine="480" w:firstLineChars="200"/>
        <w:rPr>
          <w:rFonts w:ascii="宋体" w:hAnsi="宋体" w:cs="宋体"/>
          <w:sz w:val="24"/>
          <w:szCs w:val="24"/>
        </w:rPr>
      </w:pPr>
      <w:r>
        <w:rPr>
          <w:rFonts w:hint="eastAsia" w:ascii="宋体" w:hAnsi="宋体" w:cs="宋体"/>
          <w:sz w:val="24"/>
          <w:szCs w:val="24"/>
        </w:rPr>
        <w:t>（5）直饮水机设备整机采用食品级不锈钢材质外表平整光滑，其易触及的零部件棱边和尖角应圆滑，保障人身安全；设备外壳和水胆分别采用不低于食品级SUS304不锈钢标准的材质。</w:t>
      </w:r>
    </w:p>
    <w:p>
      <w:pPr>
        <w:adjustRightInd w:val="0"/>
        <w:snapToGrid w:val="0"/>
        <w:spacing w:line="500" w:lineRule="exact"/>
        <w:ind w:firstLine="480" w:firstLineChars="200"/>
        <w:rPr>
          <w:rFonts w:ascii="宋体" w:hAnsi="宋体" w:cs="宋体"/>
          <w:sz w:val="24"/>
          <w:szCs w:val="24"/>
        </w:rPr>
      </w:pPr>
      <w:r>
        <w:rPr>
          <w:rFonts w:hint="eastAsia" w:ascii="宋体" w:hAnsi="宋体" w:cs="宋体"/>
          <w:sz w:val="24"/>
          <w:szCs w:val="24"/>
        </w:rPr>
        <w:t>（6）公用热饮水机设备内部排线：排线合理，采用排线槽，线缆与外壁之间具有绝缘措施；设备设有自动安全检测、防漏电保护装置，具有防干烧功能，过热自动切断总电源，保障使用安全。</w:t>
      </w:r>
    </w:p>
    <w:p>
      <w:pPr>
        <w:adjustRightInd w:val="0"/>
        <w:snapToGrid w:val="0"/>
        <w:spacing w:line="500" w:lineRule="exact"/>
        <w:ind w:firstLine="480" w:firstLineChars="200"/>
        <w:rPr>
          <w:rFonts w:ascii="宋体" w:hAnsi="宋体" w:cs="宋体"/>
          <w:sz w:val="24"/>
          <w:szCs w:val="24"/>
        </w:rPr>
      </w:pPr>
      <w:r>
        <w:rPr>
          <w:rFonts w:hint="eastAsia" w:ascii="宋体" w:hAnsi="宋体" w:cs="宋体"/>
          <w:sz w:val="24"/>
          <w:szCs w:val="24"/>
        </w:rPr>
        <w:t>（7）设备显示屏或管理平台可以实时显示水质监测数据、净化装置的剩余使用寿命。</w:t>
      </w:r>
    </w:p>
    <w:p>
      <w:pPr>
        <w:keepNext/>
        <w:numPr>
          <w:ilvl w:val="1"/>
          <w:numId w:val="0"/>
        </w:numPr>
        <w:adjustRightInd w:val="0"/>
        <w:snapToGrid w:val="0"/>
        <w:spacing w:beforeLines="50" w:afterLines="50" w:line="500" w:lineRule="exact"/>
        <w:ind w:firstLine="482" w:firstLineChars="200"/>
        <w:outlineLvl w:val="1"/>
        <w:rPr>
          <w:rFonts w:ascii="宋体" w:hAnsi="宋体" w:cs="宋体"/>
          <w:b/>
          <w:sz w:val="24"/>
          <w:szCs w:val="24"/>
        </w:rPr>
      </w:pPr>
      <w:r>
        <w:rPr>
          <w:rFonts w:hint="eastAsia" w:ascii="宋体" w:hAnsi="宋体" w:cs="宋体"/>
          <w:b/>
          <w:sz w:val="24"/>
          <w:szCs w:val="24"/>
        </w:rPr>
        <w:t>四、其他配件、耗材要求</w:t>
      </w:r>
    </w:p>
    <w:p>
      <w:pPr>
        <w:adjustRightInd w:val="0"/>
        <w:snapToGrid w:val="0"/>
        <w:spacing w:line="500" w:lineRule="exact"/>
        <w:ind w:firstLine="480" w:firstLineChars="200"/>
        <w:rPr>
          <w:rFonts w:ascii="宋体" w:hAnsi="宋体" w:cs="宋体"/>
          <w:sz w:val="24"/>
          <w:szCs w:val="24"/>
        </w:rPr>
      </w:pPr>
      <w:r>
        <w:rPr>
          <w:rFonts w:hint="eastAsia" w:ascii="宋体" w:hAnsi="宋体" w:cs="宋体"/>
          <w:sz w:val="24"/>
          <w:szCs w:val="24"/>
        </w:rPr>
        <w:t>其他所提供的配件、耗材应为知名品牌，具有质量合格证书及相关权威部门颁发的产品认证证书、产品卫生许可批件、产品合格检验报告</w:t>
      </w:r>
    </w:p>
    <w:p>
      <w:pPr>
        <w:keepNext/>
        <w:numPr>
          <w:ilvl w:val="1"/>
          <w:numId w:val="0"/>
        </w:numPr>
        <w:adjustRightInd w:val="0"/>
        <w:snapToGrid w:val="0"/>
        <w:spacing w:beforeLines="50" w:afterLines="50" w:line="500" w:lineRule="exact"/>
        <w:ind w:firstLine="482" w:firstLineChars="200"/>
        <w:outlineLvl w:val="1"/>
        <w:rPr>
          <w:rFonts w:ascii="宋体" w:hAnsi="宋体" w:cs="宋体"/>
          <w:b/>
          <w:sz w:val="24"/>
          <w:szCs w:val="24"/>
        </w:rPr>
      </w:pPr>
      <w:r>
        <w:rPr>
          <w:rFonts w:hint="eastAsia" w:ascii="宋体" w:hAnsi="宋体" w:cs="宋体"/>
          <w:b/>
          <w:sz w:val="24"/>
          <w:szCs w:val="24"/>
        </w:rPr>
        <w:t>五、支付平台管理及充值要求</w:t>
      </w:r>
    </w:p>
    <w:p>
      <w:pPr>
        <w:adjustRightInd w:val="0"/>
        <w:snapToGrid w:val="0"/>
        <w:spacing w:line="500" w:lineRule="exact"/>
        <w:ind w:firstLine="480" w:firstLineChars="200"/>
        <w:rPr>
          <w:rFonts w:ascii="宋体" w:hAnsi="宋体" w:cs="宋体"/>
          <w:b/>
          <w:bCs/>
          <w:sz w:val="24"/>
          <w:szCs w:val="24"/>
        </w:rPr>
      </w:pPr>
      <w:r>
        <w:rPr>
          <w:rFonts w:hint="eastAsia" w:ascii="宋体" w:hAnsi="宋体" w:cs="宋体"/>
          <w:sz w:val="24"/>
          <w:szCs w:val="24"/>
        </w:rPr>
        <w:t>满足微信或支付宝等快捷移动支付需求，需要有一定的扩展性，方便以后根据需求与校园卡、银行卡、公交卡兼容对接。学校能在管理平台实现在线监测充值，消费，设备运维的情况。</w:t>
      </w:r>
    </w:p>
    <w:p>
      <w:pPr>
        <w:pStyle w:val="42"/>
        <w:spacing w:beforeLines="50" w:afterLines="50" w:line="500" w:lineRule="exact"/>
        <w:ind w:firstLineChars="0"/>
        <w:rPr>
          <w:rFonts w:ascii="宋体" w:cs="宋体"/>
          <w:sz w:val="24"/>
          <w:szCs w:val="24"/>
        </w:rPr>
      </w:pPr>
    </w:p>
    <w:p>
      <w:bookmarkStart w:id="19" w:name="_Toc15042582"/>
      <w:r>
        <w:rPr>
          <w:rFonts w:hint="eastAsia"/>
        </w:rPr>
        <w:br w:type="page"/>
      </w:r>
    </w:p>
    <w:p>
      <w:pPr>
        <w:pStyle w:val="2"/>
        <w:numPr>
          <w:ilvl w:val="0"/>
          <w:numId w:val="5"/>
        </w:numPr>
        <w:spacing w:line="500" w:lineRule="exact"/>
        <w:jc w:val="center"/>
      </w:pPr>
      <w:r>
        <w:rPr>
          <w:rFonts w:hint="eastAsia"/>
        </w:rPr>
        <w:t>项目服务要求</w:t>
      </w:r>
    </w:p>
    <w:p>
      <w:pPr>
        <w:spacing w:line="500" w:lineRule="exact"/>
        <w:ind w:firstLine="482" w:firstLineChars="200"/>
        <w:rPr>
          <w:rFonts w:ascii="宋体" w:hAnsi="宋体" w:cs="宋体"/>
          <w:b/>
          <w:color w:val="000000"/>
          <w:sz w:val="24"/>
          <w:szCs w:val="24"/>
        </w:rPr>
      </w:pPr>
      <w:bookmarkStart w:id="20" w:name="_Toc13060564"/>
      <w:r>
        <w:rPr>
          <w:rFonts w:hint="eastAsia" w:ascii="宋体" w:hAnsi="宋体" w:cs="宋体"/>
          <w:b/>
          <w:color w:val="000000"/>
          <w:sz w:val="24"/>
          <w:szCs w:val="24"/>
        </w:rPr>
        <w:t>一、合作项目的名称、内容</w:t>
      </w:r>
    </w:p>
    <w:p>
      <w:pPr>
        <w:spacing w:line="500" w:lineRule="exact"/>
        <w:ind w:firstLine="480" w:firstLineChars="200"/>
        <w:rPr>
          <w:rFonts w:ascii="宋体" w:hAnsi="宋体" w:cs="宋体"/>
          <w:bCs/>
          <w:color w:val="000000"/>
          <w:sz w:val="24"/>
          <w:szCs w:val="24"/>
        </w:rPr>
      </w:pPr>
      <w:r>
        <w:rPr>
          <w:rFonts w:hint="eastAsia" w:ascii="宋体" w:hAnsi="宋体" w:cs="宋体"/>
          <w:bCs/>
          <w:color w:val="000000"/>
          <w:sz w:val="24"/>
          <w:szCs w:val="24"/>
        </w:rPr>
        <w:t>（1）项目内容：</w:t>
      </w:r>
    </w:p>
    <w:p>
      <w:pPr>
        <w:spacing w:line="500" w:lineRule="exact"/>
        <w:ind w:firstLine="480" w:firstLineChars="200"/>
        <w:rPr>
          <w:rFonts w:ascii="宋体" w:hAnsi="宋体" w:cs="宋体"/>
          <w:bCs/>
          <w:color w:val="000000"/>
          <w:sz w:val="24"/>
          <w:szCs w:val="24"/>
        </w:rPr>
      </w:pPr>
      <w:r>
        <w:rPr>
          <w:rFonts w:hint="eastAsia" w:ascii="宋体" w:hAnsi="宋体" w:cs="宋体"/>
          <w:bCs/>
          <w:color w:val="000000"/>
          <w:sz w:val="24"/>
          <w:szCs w:val="24"/>
        </w:rPr>
        <w:t>中标人出资建设本项目，由中标人全额投资：由中标人负责联系学校确定安装地点和方案设计、设备材料的采购、安装、调试、进行有偿服务，并在合同有效期内负责日常维修、维护、管理，保证满足供校内学生每天生活饮用水的供应（供应时段根据实际使用需求开放，最终由学校和中标方协商确定）。</w:t>
      </w:r>
    </w:p>
    <w:p>
      <w:pPr>
        <w:spacing w:line="500" w:lineRule="exact"/>
        <w:ind w:firstLine="480" w:firstLineChars="200"/>
        <w:rPr>
          <w:rFonts w:ascii="宋体" w:hAnsi="宋体" w:cs="宋体"/>
          <w:bCs/>
          <w:color w:val="000000"/>
          <w:sz w:val="24"/>
          <w:szCs w:val="24"/>
        </w:rPr>
      </w:pPr>
      <w:r>
        <w:rPr>
          <w:rFonts w:hint="eastAsia" w:ascii="宋体" w:hAnsi="宋体" w:cs="宋体"/>
          <w:bCs/>
          <w:color w:val="000000"/>
          <w:sz w:val="24"/>
          <w:szCs w:val="24"/>
        </w:rPr>
        <w:t>（2）项目要求：</w:t>
      </w:r>
    </w:p>
    <w:p>
      <w:pPr>
        <w:spacing w:line="500" w:lineRule="exact"/>
        <w:ind w:firstLine="480" w:firstLineChars="200"/>
        <w:rPr>
          <w:rFonts w:ascii="宋体" w:hAnsi="宋体" w:cs="宋体"/>
          <w:bCs/>
          <w:color w:val="000000"/>
          <w:sz w:val="24"/>
          <w:szCs w:val="24"/>
        </w:rPr>
      </w:pPr>
      <w:r>
        <w:rPr>
          <w:rFonts w:hint="eastAsia" w:ascii="宋体" w:hAnsi="宋体" w:cs="宋体"/>
          <w:bCs/>
          <w:color w:val="000000"/>
          <w:sz w:val="24"/>
          <w:szCs w:val="24"/>
        </w:rPr>
        <w:t>1.</w:t>
      </w:r>
      <w:r>
        <w:rPr>
          <w:rFonts w:ascii="宋体" w:hAnsi="宋体" w:cs="宋体"/>
          <w:bCs/>
          <w:color w:val="000000"/>
          <w:sz w:val="24"/>
          <w:szCs w:val="24"/>
        </w:rPr>
        <w:t>有意愿参加该项目投标的</w:t>
      </w:r>
      <w:r>
        <w:rPr>
          <w:rFonts w:hint="eastAsia" w:ascii="宋体" w:hAnsi="宋体" w:cs="宋体"/>
          <w:bCs/>
          <w:color w:val="000000"/>
          <w:sz w:val="24"/>
          <w:szCs w:val="24"/>
        </w:rPr>
        <w:t>供应商</w:t>
      </w:r>
      <w:r>
        <w:rPr>
          <w:rFonts w:ascii="宋体" w:hAnsi="宋体" w:cs="宋体"/>
          <w:bCs/>
          <w:color w:val="000000"/>
          <w:sz w:val="24"/>
          <w:szCs w:val="24"/>
        </w:rPr>
        <w:t>自行来我校实地勘察，在此基础上提出解决方案。要求在学校</w:t>
      </w:r>
      <w:r>
        <w:rPr>
          <w:rFonts w:hint="eastAsia" w:ascii="宋体" w:hAnsi="宋体" w:cs="宋体"/>
          <w:bCs/>
          <w:color w:val="000000"/>
          <w:sz w:val="24"/>
          <w:szCs w:val="24"/>
        </w:rPr>
        <w:t>内</w:t>
      </w:r>
      <w:r>
        <w:rPr>
          <w:rFonts w:ascii="宋体" w:hAnsi="宋体" w:cs="宋体"/>
          <w:bCs/>
          <w:color w:val="000000"/>
          <w:sz w:val="24"/>
          <w:szCs w:val="24"/>
        </w:rPr>
        <w:t>安装配备合理大小的直饮水</w:t>
      </w:r>
      <w:r>
        <w:rPr>
          <w:rFonts w:hint="eastAsia" w:ascii="宋体" w:hAnsi="宋体" w:cs="宋体"/>
          <w:bCs/>
          <w:color w:val="000000"/>
          <w:sz w:val="24"/>
          <w:szCs w:val="24"/>
        </w:rPr>
        <w:t>设备</w:t>
      </w:r>
      <w:r>
        <w:rPr>
          <w:rFonts w:ascii="宋体" w:hAnsi="宋体" w:cs="宋体"/>
          <w:bCs/>
          <w:color w:val="000000"/>
          <w:sz w:val="24"/>
          <w:szCs w:val="24"/>
        </w:rPr>
        <w:t>，</w:t>
      </w:r>
      <w:r>
        <w:rPr>
          <w:rFonts w:hint="eastAsia" w:ascii="宋体" w:hAnsi="宋体" w:cs="宋体"/>
          <w:bCs/>
          <w:color w:val="000000"/>
          <w:sz w:val="24"/>
          <w:szCs w:val="24"/>
        </w:rPr>
        <w:t>每台设备必须能与现有的校园卡兼容。</w:t>
      </w:r>
    </w:p>
    <w:p>
      <w:pPr>
        <w:spacing w:line="500" w:lineRule="exact"/>
        <w:ind w:firstLine="480" w:firstLineChars="200"/>
        <w:rPr>
          <w:rFonts w:ascii="宋体" w:hAnsi="宋体" w:cs="宋体"/>
          <w:b/>
          <w:color w:val="000000"/>
          <w:sz w:val="24"/>
          <w:szCs w:val="24"/>
        </w:rPr>
      </w:pPr>
      <w:r>
        <w:rPr>
          <w:rFonts w:hint="eastAsia" w:ascii="宋体" w:hAnsi="宋体" w:cs="宋体"/>
          <w:bCs/>
          <w:color w:val="000000"/>
          <w:sz w:val="24"/>
          <w:szCs w:val="24"/>
        </w:rPr>
        <w:t>2.</w:t>
      </w:r>
      <w:r>
        <w:rPr>
          <w:rFonts w:ascii="宋体" w:hAnsi="宋体" w:cs="宋体"/>
          <w:bCs/>
          <w:color w:val="000000"/>
          <w:sz w:val="24"/>
          <w:szCs w:val="24"/>
        </w:rPr>
        <w:t>根据学校实际情况安装足够容量的</w:t>
      </w:r>
      <w:r>
        <w:rPr>
          <w:rFonts w:hint="eastAsia" w:ascii="宋体" w:hAnsi="宋体" w:cs="宋体"/>
          <w:bCs/>
          <w:color w:val="000000"/>
          <w:sz w:val="24"/>
          <w:szCs w:val="24"/>
        </w:rPr>
        <w:t>直饮</w:t>
      </w:r>
      <w:r>
        <w:rPr>
          <w:rFonts w:ascii="宋体" w:hAnsi="宋体" w:cs="宋体"/>
          <w:bCs/>
          <w:color w:val="000000"/>
          <w:sz w:val="24"/>
          <w:szCs w:val="24"/>
        </w:rPr>
        <w:t>水设备，整套设备的投资（包括其他辅助材料，如：电缆、</w:t>
      </w:r>
      <w:r>
        <w:rPr>
          <w:rFonts w:hint="eastAsia" w:ascii="宋体" w:hAnsi="宋体" w:cs="宋体"/>
          <w:bCs/>
          <w:color w:val="000000"/>
          <w:sz w:val="24"/>
          <w:szCs w:val="24"/>
        </w:rPr>
        <w:t>内部</w:t>
      </w:r>
      <w:r>
        <w:rPr>
          <w:rFonts w:ascii="宋体" w:hAnsi="宋体" w:cs="宋体"/>
          <w:bCs/>
          <w:color w:val="000000"/>
          <w:sz w:val="24"/>
          <w:szCs w:val="24"/>
        </w:rPr>
        <w:t>电表、水表等）均由</w:t>
      </w:r>
      <w:r>
        <w:rPr>
          <w:rFonts w:hint="eastAsia" w:ascii="宋体" w:hAnsi="宋体" w:cs="宋体"/>
          <w:bCs/>
          <w:color w:val="000000"/>
          <w:sz w:val="24"/>
          <w:szCs w:val="24"/>
        </w:rPr>
        <w:t>供应商</w:t>
      </w:r>
      <w:r>
        <w:rPr>
          <w:rFonts w:ascii="宋体" w:hAnsi="宋体" w:cs="宋体"/>
          <w:bCs/>
          <w:color w:val="000000"/>
          <w:sz w:val="24"/>
          <w:szCs w:val="24"/>
        </w:rPr>
        <w:t>负责</w:t>
      </w:r>
      <w:r>
        <w:rPr>
          <w:rFonts w:hint="eastAsia" w:ascii="宋体" w:hAnsi="宋体" w:cs="宋体"/>
          <w:bCs/>
          <w:color w:val="000000"/>
          <w:sz w:val="24"/>
          <w:szCs w:val="24"/>
        </w:rPr>
        <w:t>。</w:t>
      </w:r>
    </w:p>
    <w:p>
      <w:pPr>
        <w:spacing w:line="500" w:lineRule="exact"/>
        <w:ind w:firstLine="480" w:firstLineChars="200"/>
        <w:rPr>
          <w:rFonts w:ascii="宋体" w:hAnsi="宋体" w:cs="宋体"/>
          <w:color w:val="000000"/>
          <w:sz w:val="24"/>
          <w:szCs w:val="24"/>
        </w:rPr>
      </w:pPr>
      <w:r>
        <w:rPr>
          <w:rFonts w:hint="eastAsia" w:ascii="宋体" w:hAnsi="宋体" w:cs="宋体"/>
          <w:color w:val="000000"/>
          <w:sz w:val="24"/>
          <w:szCs w:val="24"/>
        </w:rPr>
        <w:t>3.</w:t>
      </w:r>
      <w:r>
        <w:rPr>
          <w:rFonts w:ascii="宋体" w:hAnsi="宋体" w:cs="宋体"/>
          <w:color w:val="000000"/>
          <w:sz w:val="24"/>
          <w:szCs w:val="24"/>
        </w:rPr>
        <w:t>合同执行期间，如国家出台低于合同价相关收费政策，则必须执行国家相应的收费政策。如因政策性原因导致成本发生变动要求调整产品价格，双方均可根据实际情况向对方提出收费标准的变更申请，经双方协商达成一致认可后，方可调整收费标准。对一方提出的收费标准调整变更申请，另一方须在30个工作日内作出书面回复，否则，视为默认</w:t>
      </w:r>
      <w:r>
        <w:rPr>
          <w:rFonts w:hint="eastAsia" w:ascii="宋体" w:hAnsi="宋体" w:cs="宋体"/>
          <w:color w:val="000000"/>
          <w:sz w:val="24"/>
          <w:szCs w:val="24"/>
        </w:rPr>
        <w:t>。</w:t>
      </w:r>
    </w:p>
    <w:p>
      <w:pPr>
        <w:spacing w:line="500" w:lineRule="exact"/>
        <w:ind w:firstLine="480" w:firstLineChars="200"/>
        <w:rPr>
          <w:rFonts w:ascii="宋体" w:hAnsi="宋体"/>
          <w:color w:val="000000"/>
          <w:sz w:val="24"/>
          <w:szCs w:val="24"/>
        </w:rPr>
      </w:pPr>
      <w:r>
        <w:rPr>
          <w:rFonts w:hint="eastAsia" w:ascii="宋体" w:hAnsi="宋体"/>
          <w:color w:val="000000"/>
          <w:sz w:val="24"/>
          <w:szCs w:val="24"/>
        </w:rPr>
        <w:t>4.采用饮用水专用直饮机，简化了服务程序，并由供应商统一派专人维护，以保证直饮设备高新技术管理问题和收费准确合理的问题。</w:t>
      </w:r>
    </w:p>
    <w:p>
      <w:pPr>
        <w:spacing w:line="500" w:lineRule="exact"/>
        <w:ind w:firstLine="480" w:firstLineChars="200"/>
        <w:rPr>
          <w:rFonts w:ascii="宋体" w:hAnsi="宋体"/>
          <w:color w:val="000000"/>
          <w:sz w:val="24"/>
          <w:szCs w:val="24"/>
        </w:rPr>
      </w:pPr>
      <w:r>
        <w:rPr>
          <w:rFonts w:hint="eastAsia" w:ascii="宋体" w:hAnsi="宋体"/>
          <w:color w:val="000000"/>
          <w:sz w:val="24"/>
          <w:szCs w:val="24"/>
        </w:rPr>
        <w:t>5.供应商根据学校实有人数安装足够容量的直饮设备，整套设备的投资（包括直饮水设备、智能支付、管道和施工）均由供应商负责，学校无需投入任何费用；设备运行所需的水电费也由供应商负责。</w:t>
      </w:r>
    </w:p>
    <w:p>
      <w:pPr>
        <w:spacing w:line="500" w:lineRule="exact"/>
        <w:ind w:firstLine="482" w:firstLineChars="200"/>
        <w:rPr>
          <w:rFonts w:ascii="宋体" w:hAnsi="宋体" w:cs="宋体"/>
          <w:b/>
          <w:bCs/>
          <w:color w:val="000000"/>
          <w:sz w:val="24"/>
          <w:szCs w:val="24"/>
        </w:rPr>
      </w:pPr>
      <w:r>
        <w:rPr>
          <w:rFonts w:hint="eastAsia" w:ascii="宋体" w:hAnsi="宋体" w:cs="宋体"/>
          <w:b/>
          <w:bCs/>
          <w:color w:val="000000"/>
          <w:sz w:val="24"/>
          <w:szCs w:val="24"/>
        </w:rPr>
        <w:t>二、项目所有权</w:t>
      </w:r>
    </w:p>
    <w:p>
      <w:pPr>
        <w:spacing w:line="500" w:lineRule="exact"/>
        <w:ind w:firstLine="480" w:firstLineChars="200"/>
        <w:rPr>
          <w:rFonts w:ascii="宋体" w:hAnsi="宋体" w:cs="宋体"/>
          <w:bCs/>
          <w:color w:val="000000"/>
          <w:sz w:val="24"/>
          <w:szCs w:val="24"/>
        </w:rPr>
      </w:pPr>
      <w:r>
        <w:rPr>
          <w:rFonts w:hint="eastAsia" w:ascii="宋体" w:hAnsi="宋体" w:cs="宋体"/>
          <w:bCs/>
          <w:color w:val="000000"/>
          <w:sz w:val="24"/>
          <w:szCs w:val="24"/>
        </w:rPr>
        <w:t>合作期内中标人对本项目投资的设备、管道、配件、水控设施（包括硬件和后台管理软件等）设备设施等所有权属于中标人，合作期满后由中标人负责拆除，所有费用由中标人承担。</w:t>
      </w:r>
    </w:p>
    <w:p>
      <w:pPr>
        <w:spacing w:line="500" w:lineRule="exact"/>
        <w:ind w:firstLine="482" w:firstLineChars="200"/>
        <w:rPr>
          <w:rFonts w:ascii="宋体" w:hAnsi="宋体" w:cs="宋体"/>
          <w:b/>
          <w:bCs/>
          <w:sz w:val="24"/>
          <w:szCs w:val="24"/>
        </w:rPr>
      </w:pPr>
      <w:r>
        <w:rPr>
          <w:rFonts w:hint="eastAsia" w:ascii="宋体" w:hAnsi="宋体" w:cs="宋体"/>
          <w:b/>
          <w:bCs/>
          <w:color w:val="000000"/>
          <w:sz w:val="24"/>
          <w:szCs w:val="24"/>
        </w:rPr>
        <w:t>三、</w:t>
      </w:r>
      <w:r>
        <w:rPr>
          <w:rFonts w:hint="eastAsia" w:ascii="宋体" w:hAnsi="宋体" w:cs="宋体"/>
          <w:b/>
          <w:bCs/>
          <w:sz w:val="24"/>
          <w:szCs w:val="24"/>
        </w:rPr>
        <w:t>合作期限</w:t>
      </w:r>
    </w:p>
    <w:p>
      <w:pPr>
        <w:spacing w:line="500" w:lineRule="exact"/>
        <w:ind w:firstLine="480" w:firstLineChars="200"/>
        <w:rPr>
          <w:rFonts w:ascii="宋体" w:hAnsi="宋体" w:cs="宋体"/>
          <w:sz w:val="24"/>
          <w:szCs w:val="24"/>
        </w:rPr>
      </w:pPr>
      <w:r>
        <w:rPr>
          <w:rFonts w:hint="eastAsia" w:asciiTheme="minorEastAsia" w:hAnsiTheme="minorEastAsia" w:eastAsiaTheme="minorEastAsia"/>
          <w:bCs/>
          <w:sz w:val="24"/>
        </w:rPr>
        <w:t>服务期限为三年（具体时间以合同为准）</w:t>
      </w:r>
      <w:r>
        <w:rPr>
          <w:rFonts w:hint="eastAsia" w:ascii="宋体" w:hAnsi="宋体" w:cs="宋体"/>
          <w:bCs/>
          <w:sz w:val="24"/>
          <w:szCs w:val="24"/>
        </w:rPr>
        <w:t>。</w:t>
      </w:r>
      <w:r>
        <w:rPr>
          <w:rFonts w:hint="eastAsia" w:ascii="宋体" w:hAnsi="宋体" w:cs="宋体"/>
          <w:sz w:val="24"/>
          <w:szCs w:val="24"/>
        </w:rPr>
        <w:t>合作有效期内，乙方负责对设备维修和保养工作，确保设备长期安全运行。</w:t>
      </w:r>
      <w:r>
        <w:rPr>
          <w:rFonts w:hint="eastAsia" w:ascii="宋体" w:hAnsi="宋体"/>
          <w:sz w:val="24"/>
          <w:szCs w:val="24"/>
        </w:rPr>
        <w:t>合</w:t>
      </w:r>
      <w:r>
        <w:rPr>
          <w:rFonts w:hint="eastAsia" w:ascii="宋体" w:hAnsi="宋体" w:cs="宋体"/>
          <w:sz w:val="24"/>
          <w:szCs w:val="24"/>
        </w:rPr>
        <w:t>同履行期间,若因成交方提供的B</w:t>
      </w:r>
      <w:r>
        <w:rPr>
          <w:rFonts w:ascii="宋体" w:hAnsi="宋体" w:cs="宋体"/>
          <w:sz w:val="24"/>
          <w:szCs w:val="24"/>
        </w:rPr>
        <w:t>OT</w:t>
      </w:r>
      <w:r>
        <w:rPr>
          <w:rFonts w:hint="eastAsia" w:ascii="宋体" w:hAnsi="宋体" w:cs="宋体"/>
          <w:sz w:val="24"/>
          <w:szCs w:val="24"/>
        </w:rPr>
        <w:t>直饮水系统及其配套设施因质量等原因而无法正常供水</w:t>
      </w:r>
      <w:r>
        <w:rPr>
          <w:rFonts w:ascii="宋体" w:hAnsi="宋体" w:cs="宋体"/>
          <w:sz w:val="24"/>
          <w:szCs w:val="24"/>
        </w:rPr>
        <w:t>超过</w:t>
      </w:r>
      <w:r>
        <w:rPr>
          <w:rFonts w:hint="eastAsia" w:ascii="宋体" w:hAnsi="宋体" w:cs="宋体"/>
          <w:sz w:val="24"/>
          <w:szCs w:val="24"/>
        </w:rPr>
        <w:t>一周的，校方有权单方提前解除合同而重新选择合作商。</w:t>
      </w:r>
    </w:p>
    <w:p>
      <w:pPr>
        <w:spacing w:line="500" w:lineRule="exact"/>
        <w:ind w:firstLine="482" w:firstLineChars="200"/>
        <w:rPr>
          <w:rFonts w:ascii="宋体" w:hAnsi="宋体" w:cs="宋体"/>
          <w:b/>
          <w:bCs/>
          <w:color w:val="000000"/>
          <w:sz w:val="24"/>
          <w:szCs w:val="24"/>
        </w:rPr>
      </w:pPr>
      <w:r>
        <w:rPr>
          <w:rFonts w:hint="eastAsia" w:ascii="宋体" w:hAnsi="宋体" w:cs="宋体"/>
          <w:b/>
          <w:bCs/>
          <w:color w:val="000000"/>
          <w:sz w:val="24"/>
          <w:szCs w:val="24"/>
        </w:rPr>
        <w:t>四、相关费用结算</w:t>
      </w:r>
    </w:p>
    <w:p>
      <w:pPr>
        <w:spacing w:line="500" w:lineRule="exact"/>
        <w:ind w:firstLine="120" w:firstLineChars="50"/>
        <w:rPr>
          <w:rFonts w:ascii="宋体" w:hAnsi="宋体" w:cs="宋体"/>
          <w:bCs/>
          <w:color w:val="000000"/>
          <w:sz w:val="24"/>
          <w:szCs w:val="24"/>
        </w:rPr>
      </w:pPr>
      <w:r>
        <w:rPr>
          <w:rFonts w:ascii="宋体" w:hAnsi="宋体"/>
          <w:color w:val="000000"/>
          <w:sz w:val="24"/>
          <w:szCs w:val="24"/>
        </w:rPr>
        <w:t>▲</w:t>
      </w:r>
      <w:r>
        <w:rPr>
          <w:rFonts w:hint="eastAsia" w:ascii="宋体" w:hAnsi="宋体" w:cs="宋体"/>
          <w:bCs/>
          <w:color w:val="000000"/>
          <w:sz w:val="24"/>
          <w:szCs w:val="24"/>
        </w:rPr>
        <w:t>（1）安装期间，与总包单位的配合费、水费、电费由中标人自行承担。</w:t>
      </w:r>
    </w:p>
    <w:p>
      <w:pPr>
        <w:spacing w:line="500" w:lineRule="exact"/>
        <w:ind w:firstLine="120" w:firstLineChars="50"/>
        <w:rPr>
          <w:rFonts w:ascii="宋体" w:hAnsi="宋体" w:cs="宋体"/>
          <w:bCs/>
          <w:color w:val="000000"/>
          <w:sz w:val="24"/>
          <w:szCs w:val="24"/>
        </w:rPr>
      </w:pPr>
      <w:r>
        <w:rPr>
          <w:rFonts w:ascii="宋体" w:hAnsi="宋体"/>
          <w:color w:val="000000"/>
          <w:sz w:val="24"/>
          <w:szCs w:val="24"/>
        </w:rPr>
        <w:t>▲</w:t>
      </w:r>
      <w:r>
        <w:rPr>
          <w:rFonts w:hint="eastAsia" w:ascii="宋体" w:hAnsi="宋体" w:cs="宋体"/>
          <w:bCs/>
          <w:color w:val="000000"/>
          <w:sz w:val="24"/>
          <w:szCs w:val="24"/>
        </w:rPr>
        <w:t>（2）本项目运营期间的水、电费由中标人负责承担。</w:t>
      </w:r>
    </w:p>
    <w:p>
      <w:pPr>
        <w:spacing w:line="500" w:lineRule="exact"/>
        <w:ind w:firstLine="120" w:firstLineChars="50"/>
        <w:rPr>
          <w:rFonts w:ascii="宋体" w:hAnsi="宋体"/>
          <w:color w:val="000000"/>
          <w:sz w:val="24"/>
          <w:szCs w:val="24"/>
        </w:rPr>
      </w:pPr>
      <w:r>
        <w:rPr>
          <w:rFonts w:ascii="宋体" w:hAnsi="宋体"/>
          <w:color w:val="000000"/>
          <w:sz w:val="24"/>
          <w:szCs w:val="24"/>
        </w:rPr>
        <w:t>▲</w:t>
      </w:r>
      <w:r>
        <w:rPr>
          <w:rFonts w:hint="eastAsia" w:ascii="宋体" w:hAnsi="宋体" w:cs="宋体"/>
          <w:bCs/>
          <w:color w:val="000000"/>
          <w:sz w:val="24"/>
          <w:szCs w:val="24"/>
        </w:rPr>
        <w:t>（3）学生收费：按照中标价格结算。</w:t>
      </w:r>
    </w:p>
    <w:p>
      <w:pPr>
        <w:spacing w:line="500" w:lineRule="exact"/>
        <w:ind w:firstLine="120" w:firstLineChars="50"/>
        <w:rPr>
          <w:rFonts w:ascii="宋体" w:hAnsi="宋体"/>
          <w:sz w:val="24"/>
          <w:szCs w:val="24"/>
        </w:rPr>
      </w:pPr>
      <w:r>
        <w:rPr>
          <w:rFonts w:ascii="宋体" w:hAnsi="宋体"/>
          <w:sz w:val="24"/>
          <w:szCs w:val="24"/>
        </w:rPr>
        <w:t>▲</w:t>
      </w:r>
      <w:r>
        <w:rPr>
          <w:rFonts w:hint="eastAsia" w:ascii="宋体" w:hAnsi="宋体"/>
          <w:color w:val="000000"/>
          <w:sz w:val="24"/>
          <w:szCs w:val="24"/>
        </w:rPr>
        <w:t>（4）</w:t>
      </w:r>
      <w:r>
        <w:rPr>
          <w:rFonts w:hint="eastAsia" w:ascii="宋体" w:hAnsi="宋体"/>
          <w:b/>
          <w:color w:val="000000"/>
          <w:sz w:val="24"/>
          <w:szCs w:val="24"/>
        </w:rPr>
        <w:t>直</w:t>
      </w:r>
      <w:r>
        <w:rPr>
          <w:rFonts w:ascii="宋体" w:hAnsi="宋体"/>
          <w:b/>
          <w:color w:val="000000"/>
          <w:sz w:val="24"/>
          <w:szCs w:val="24"/>
        </w:rPr>
        <w:t>饮水</w:t>
      </w:r>
      <w:r>
        <w:rPr>
          <w:rFonts w:hint="eastAsia" w:ascii="宋体" w:hAnsi="宋体"/>
          <w:b/>
          <w:color w:val="000000"/>
          <w:sz w:val="24"/>
          <w:szCs w:val="24"/>
        </w:rPr>
        <w:t>系统消费必须采用移动支付，采用实时在线扣费模式，实时显示消费金额、消费时间、单价、水量等信息。如产生对接费用的由中标方负责</w:t>
      </w:r>
      <w:r>
        <w:rPr>
          <w:rFonts w:hint="eastAsia" w:ascii="宋体" w:hAnsi="宋体"/>
          <w:color w:val="000000"/>
          <w:sz w:val="24"/>
          <w:szCs w:val="24"/>
        </w:rPr>
        <w:t>。</w:t>
      </w:r>
    </w:p>
    <w:p>
      <w:pPr>
        <w:pStyle w:val="3"/>
        <w:spacing w:beforeLines="50" w:afterLines="50" w:line="500" w:lineRule="exact"/>
        <w:ind w:left="426"/>
        <w:rPr>
          <w:rFonts w:ascii="宋体" w:cs="宋体"/>
          <w:spacing w:val="-6"/>
          <w:sz w:val="24"/>
          <w:szCs w:val="24"/>
        </w:rPr>
      </w:pPr>
      <w:r>
        <w:rPr>
          <w:rFonts w:hint="eastAsia" w:ascii="宋体" w:hAnsi="宋体" w:cs="宋体"/>
          <w:spacing w:val="-6"/>
          <w:sz w:val="24"/>
          <w:szCs w:val="24"/>
        </w:rPr>
        <w:t>五、</w:t>
      </w:r>
      <w:bookmarkEnd w:id="20"/>
      <w:r>
        <w:rPr>
          <w:rFonts w:hint="eastAsia" w:ascii="宋体" w:hAnsi="宋体" w:cs="宋体"/>
          <w:sz w:val="24"/>
          <w:szCs w:val="24"/>
        </w:rPr>
        <w:t>付款期限及付款方式</w:t>
      </w:r>
    </w:p>
    <w:p>
      <w:pPr>
        <w:pStyle w:val="24"/>
        <w:spacing w:line="540" w:lineRule="exact"/>
        <w:ind w:firstLine="480"/>
        <w:rPr>
          <w:rFonts w:ascii="宋体" w:hAnsi="宋体" w:cs="宋体"/>
        </w:rPr>
      </w:pPr>
      <w:r>
        <w:rPr>
          <w:rFonts w:hint="eastAsia" w:ascii="宋体" w:hAnsi="宋体" w:cs="宋体"/>
        </w:rPr>
        <w:t>1、本项目不接受预付费式收费方式；</w:t>
      </w:r>
    </w:p>
    <w:p>
      <w:pPr>
        <w:pStyle w:val="24"/>
        <w:spacing w:line="540" w:lineRule="exact"/>
        <w:ind w:firstLine="480"/>
        <w:rPr>
          <w:rFonts w:ascii="宋体" w:hAnsi="宋体" w:cs="宋体"/>
        </w:rPr>
      </w:pPr>
      <w:r>
        <w:rPr>
          <w:rFonts w:hint="eastAsia" w:ascii="宋体" w:hAnsi="宋体" w:cs="宋体"/>
        </w:rPr>
        <w:t>2、水电费按实结算，单价为水2.9元/吨、电0.54元/度；</w:t>
      </w:r>
    </w:p>
    <w:p>
      <w:pPr>
        <w:pStyle w:val="24"/>
        <w:spacing w:line="540" w:lineRule="exact"/>
        <w:ind w:firstLine="480"/>
        <w:rPr>
          <w:rFonts w:ascii="宋体" w:hAnsi="宋体" w:cs="宋体"/>
        </w:rPr>
      </w:pPr>
      <w:r>
        <w:rPr>
          <w:rFonts w:hint="eastAsia" w:ascii="宋体" w:hAnsi="宋体" w:cs="宋体"/>
        </w:rPr>
        <w:t>3、付款方式：合同签订后预交半年的水电费、管理费，并交纳2万元保证金。</w:t>
      </w:r>
    </w:p>
    <w:p>
      <w:pPr>
        <w:pStyle w:val="24"/>
        <w:spacing w:line="540" w:lineRule="exact"/>
        <w:ind w:firstLine="480"/>
        <w:rPr>
          <w:rFonts w:ascii="宋体" w:hAnsi="宋体" w:cs="宋体"/>
          <w:b/>
          <w:bCs/>
        </w:rPr>
      </w:pPr>
      <w:r>
        <w:rPr>
          <w:rFonts w:hint="eastAsia" w:ascii="宋体" w:hAnsi="宋体" w:cs="宋体"/>
          <w:b/>
          <w:bCs/>
        </w:rPr>
        <w:t>六、其他约定</w:t>
      </w:r>
    </w:p>
    <w:p>
      <w:pPr>
        <w:pStyle w:val="24"/>
        <w:spacing w:line="540" w:lineRule="exact"/>
        <w:ind w:firstLine="480"/>
      </w:pPr>
      <w:r>
        <w:rPr>
          <w:rFonts w:hint="eastAsia"/>
        </w:rPr>
        <w:t>合同到期前15天，服务商必须结清所有管理费、水电费；若未结清所有费用，学校有权处理服务商设备。合同到期后，若未签订新的合同，服务商必须在10天内撤出全部设备，否则需缴纳资源占用费，学校有权拆除设备并做作无主物资处理。</w:t>
      </w:r>
    </w:p>
    <w:p>
      <w:pPr>
        <w:pStyle w:val="2"/>
        <w:spacing w:line="400" w:lineRule="exact"/>
        <w:jc w:val="center"/>
        <w:rPr>
          <w:rFonts w:ascii="宋体"/>
          <w:b w:val="0"/>
          <w:bCs w:val="0"/>
          <w:color w:val="000000"/>
          <w:spacing w:val="4"/>
        </w:rPr>
      </w:pPr>
      <w:bookmarkStart w:id="21" w:name="_Toc15042575"/>
      <w:r>
        <w:rPr>
          <w:rFonts w:ascii="宋体" w:cs="宋体"/>
        </w:rPr>
        <w:br w:type="page"/>
      </w:r>
      <w:r>
        <w:rPr>
          <w:rFonts w:hint="eastAsia" w:ascii="宋体" w:hAnsi="宋体" w:cs="宋体"/>
        </w:rPr>
        <w:t>第五部分 附件</w:t>
      </w:r>
      <w:bookmarkEnd w:id="21"/>
    </w:p>
    <w:p>
      <w:pPr>
        <w:spacing w:line="360" w:lineRule="auto"/>
        <w:rPr>
          <w:rFonts w:ascii="宋体"/>
          <w:color w:val="000000"/>
          <w:spacing w:val="4"/>
          <w:sz w:val="24"/>
          <w:szCs w:val="24"/>
        </w:rPr>
      </w:pPr>
      <w:r>
        <w:rPr>
          <w:rFonts w:hint="eastAsia" w:ascii="宋体" w:hAnsi="宋体" w:cs="宋体"/>
          <w:color w:val="000000"/>
          <w:spacing w:val="4"/>
          <w:sz w:val="24"/>
          <w:szCs w:val="24"/>
        </w:rPr>
        <w:t>附件</w:t>
      </w:r>
      <w:r>
        <w:rPr>
          <w:rFonts w:ascii="宋体" w:hAnsi="宋体" w:cs="宋体"/>
          <w:color w:val="000000"/>
          <w:spacing w:val="4"/>
          <w:sz w:val="24"/>
          <w:szCs w:val="24"/>
        </w:rPr>
        <w:t>1</w:t>
      </w:r>
      <w:r>
        <w:rPr>
          <w:rFonts w:hint="eastAsia" w:ascii="宋体" w:hAnsi="宋体" w:cs="宋体"/>
          <w:color w:val="000000"/>
          <w:spacing w:val="4"/>
          <w:sz w:val="24"/>
          <w:szCs w:val="24"/>
        </w:rPr>
        <w:t>：投标函</w:t>
      </w:r>
    </w:p>
    <w:p>
      <w:pPr>
        <w:spacing w:line="360" w:lineRule="auto"/>
        <w:rPr>
          <w:rFonts w:ascii="宋体" w:hAnsi="宋体" w:cs="宋体"/>
          <w:color w:val="000000"/>
          <w:spacing w:val="4"/>
          <w:sz w:val="24"/>
          <w:szCs w:val="24"/>
        </w:rPr>
      </w:pPr>
    </w:p>
    <w:p>
      <w:pPr>
        <w:spacing w:line="360" w:lineRule="auto"/>
        <w:rPr>
          <w:rFonts w:ascii="宋体" w:hAnsi="宋体"/>
          <w:spacing w:val="4"/>
          <w:sz w:val="24"/>
        </w:rPr>
      </w:pPr>
      <w:r>
        <w:rPr>
          <w:rFonts w:hint="eastAsia" w:ascii="宋体" w:hAnsi="宋体"/>
          <w:spacing w:val="4"/>
          <w:sz w:val="24"/>
        </w:rPr>
        <w:t>附件2：投标资料与页码对照表</w:t>
      </w:r>
    </w:p>
    <w:p>
      <w:pPr>
        <w:spacing w:line="360" w:lineRule="auto"/>
        <w:rPr>
          <w:rFonts w:ascii="宋体" w:hAnsi="宋体" w:cs="宋体"/>
          <w:color w:val="000000"/>
          <w:spacing w:val="4"/>
          <w:sz w:val="24"/>
          <w:szCs w:val="24"/>
        </w:rPr>
      </w:pPr>
    </w:p>
    <w:p>
      <w:pPr>
        <w:spacing w:line="360" w:lineRule="auto"/>
        <w:rPr>
          <w:rFonts w:ascii="宋体" w:hAnsi="宋体" w:cs="宋体"/>
          <w:color w:val="000000"/>
          <w:spacing w:val="4"/>
          <w:sz w:val="24"/>
          <w:szCs w:val="24"/>
        </w:rPr>
      </w:pPr>
      <w:r>
        <w:rPr>
          <w:rFonts w:hint="eastAsia" w:ascii="宋体" w:hAnsi="宋体" w:cs="宋体"/>
          <w:color w:val="000000"/>
          <w:spacing w:val="4"/>
          <w:sz w:val="24"/>
          <w:szCs w:val="24"/>
        </w:rPr>
        <w:t>附件3：服务业绩表</w:t>
      </w:r>
    </w:p>
    <w:p>
      <w:pPr>
        <w:spacing w:line="360" w:lineRule="auto"/>
        <w:rPr>
          <w:rFonts w:ascii="宋体"/>
          <w:color w:val="000000"/>
          <w:spacing w:val="4"/>
          <w:sz w:val="24"/>
          <w:szCs w:val="24"/>
        </w:rPr>
      </w:pPr>
      <w:r>
        <w:rPr>
          <w:rFonts w:hint="eastAsia" w:ascii="宋体" w:hAnsi="宋体" w:cs="宋体"/>
          <w:color w:val="000000"/>
          <w:spacing w:val="4"/>
          <w:sz w:val="24"/>
          <w:szCs w:val="24"/>
        </w:rPr>
        <w:br w:type="textWrapping"/>
      </w:r>
      <w:r>
        <w:rPr>
          <w:rFonts w:hint="eastAsia" w:ascii="宋体" w:hAnsi="宋体" w:cs="宋体"/>
          <w:color w:val="000000"/>
          <w:spacing w:val="4"/>
          <w:sz w:val="24"/>
          <w:szCs w:val="24"/>
        </w:rPr>
        <w:t>附件4：投标报价总表</w:t>
      </w:r>
    </w:p>
    <w:p>
      <w:pPr>
        <w:spacing w:line="360" w:lineRule="auto"/>
        <w:rPr>
          <w:rFonts w:ascii="宋体" w:hAnsi="宋体" w:cs="宋体"/>
          <w:color w:val="000000"/>
          <w:spacing w:val="4"/>
          <w:sz w:val="24"/>
          <w:szCs w:val="24"/>
        </w:rPr>
      </w:pPr>
    </w:p>
    <w:p>
      <w:pPr>
        <w:spacing w:line="360" w:lineRule="auto"/>
        <w:rPr>
          <w:color w:val="000000"/>
          <w:sz w:val="24"/>
          <w:szCs w:val="24"/>
        </w:rPr>
      </w:pPr>
      <w:r>
        <w:rPr>
          <w:rFonts w:hint="eastAsia" w:ascii="宋体" w:hAnsi="宋体" w:cs="宋体"/>
          <w:color w:val="000000"/>
          <w:spacing w:val="4"/>
          <w:sz w:val="24"/>
          <w:szCs w:val="24"/>
        </w:rPr>
        <w:t>附件5：</w:t>
      </w:r>
      <w:r>
        <w:rPr>
          <w:rFonts w:hint="eastAsia" w:cs="宋体"/>
          <w:color w:val="000000"/>
          <w:sz w:val="24"/>
          <w:szCs w:val="24"/>
        </w:rPr>
        <w:t>法定代表人资格证明</w:t>
      </w:r>
    </w:p>
    <w:p>
      <w:pPr>
        <w:spacing w:line="360" w:lineRule="auto"/>
        <w:rPr>
          <w:rFonts w:ascii="宋体" w:hAnsi="宋体" w:cs="宋体"/>
          <w:color w:val="000000"/>
          <w:spacing w:val="4"/>
          <w:sz w:val="24"/>
          <w:szCs w:val="24"/>
        </w:rPr>
      </w:pPr>
    </w:p>
    <w:p>
      <w:pPr>
        <w:spacing w:line="360" w:lineRule="auto"/>
        <w:rPr>
          <w:rFonts w:ascii="宋体" w:hAnsi="宋体" w:cs="宋体"/>
          <w:color w:val="000000"/>
          <w:spacing w:val="4"/>
          <w:sz w:val="24"/>
          <w:szCs w:val="24"/>
        </w:rPr>
      </w:pPr>
      <w:r>
        <w:rPr>
          <w:rFonts w:hint="eastAsia" w:ascii="宋体" w:hAnsi="宋体" w:cs="宋体"/>
          <w:color w:val="000000"/>
          <w:spacing w:val="4"/>
          <w:sz w:val="24"/>
          <w:szCs w:val="24"/>
        </w:rPr>
        <w:t>附件6：法定代表人授权书</w:t>
      </w:r>
    </w:p>
    <w:p>
      <w:pPr>
        <w:spacing w:line="360" w:lineRule="auto"/>
        <w:rPr>
          <w:rFonts w:ascii="宋体" w:hAnsi="宋体" w:cs="宋体"/>
          <w:color w:val="000000"/>
          <w:spacing w:val="4"/>
          <w:sz w:val="24"/>
          <w:szCs w:val="24"/>
        </w:rPr>
      </w:pPr>
    </w:p>
    <w:p>
      <w:pPr>
        <w:spacing w:line="360" w:lineRule="auto"/>
        <w:rPr>
          <w:rFonts w:ascii="宋体" w:hAnsi="宋体" w:cs="宋体"/>
          <w:color w:val="000000"/>
          <w:spacing w:val="4"/>
          <w:sz w:val="24"/>
          <w:szCs w:val="24"/>
        </w:rPr>
      </w:pPr>
      <w:r>
        <w:rPr>
          <w:rFonts w:hint="eastAsia" w:ascii="宋体" w:hAnsi="宋体" w:cs="宋体"/>
          <w:color w:val="000000"/>
          <w:spacing w:val="4"/>
          <w:sz w:val="24"/>
          <w:szCs w:val="24"/>
        </w:rPr>
        <w:t>附件7：南通大学采购谈判二次报价单</w:t>
      </w:r>
    </w:p>
    <w:p>
      <w:pPr>
        <w:spacing w:line="360" w:lineRule="auto"/>
        <w:rPr>
          <w:rFonts w:ascii="宋体" w:hAnsi="宋体" w:cs="宋体"/>
          <w:color w:val="000000"/>
          <w:spacing w:val="4"/>
          <w:sz w:val="24"/>
          <w:szCs w:val="24"/>
        </w:rPr>
      </w:pPr>
    </w:p>
    <w:p>
      <w:pPr>
        <w:spacing w:line="360" w:lineRule="auto"/>
        <w:rPr>
          <w:rFonts w:cs="宋体"/>
          <w:color w:val="000000"/>
          <w:sz w:val="24"/>
          <w:szCs w:val="24"/>
        </w:rPr>
      </w:pPr>
    </w:p>
    <w:p>
      <w:pPr>
        <w:pStyle w:val="24"/>
        <w:rPr>
          <w:rFonts w:cs="宋体"/>
        </w:rPr>
      </w:pPr>
    </w:p>
    <w:p>
      <w:pPr>
        <w:spacing w:line="360" w:lineRule="auto"/>
        <w:rPr>
          <w:color w:val="000000"/>
          <w:sz w:val="24"/>
          <w:szCs w:val="24"/>
        </w:rPr>
      </w:pPr>
    </w:p>
    <w:p>
      <w:pPr>
        <w:pStyle w:val="3"/>
        <w:rPr>
          <w:rFonts w:ascii="宋体" w:cs="Times New Roman"/>
          <w:sz w:val="21"/>
          <w:szCs w:val="21"/>
        </w:rPr>
      </w:pPr>
      <w:r>
        <w:rPr>
          <w:rFonts w:cs="Times New Roman"/>
          <w:sz w:val="24"/>
          <w:szCs w:val="24"/>
        </w:rPr>
        <w:br w:type="page"/>
      </w:r>
      <w:bookmarkStart w:id="22" w:name="_Toc15042576"/>
      <w:r>
        <w:rPr>
          <w:rFonts w:hint="eastAsia" w:ascii="宋体" w:hAnsi="宋体" w:cs="宋体"/>
          <w:b w:val="0"/>
          <w:bCs w:val="0"/>
          <w:sz w:val="21"/>
          <w:szCs w:val="21"/>
        </w:rPr>
        <w:t>附件</w:t>
      </w:r>
      <w:r>
        <w:rPr>
          <w:rFonts w:ascii="宋体" w:hAnsi="宋体" w:cs="宋体"/>
          <w:b w:val="0"/>
          <w:bCs w:val="0"/>
          <w:sz w:val="21"/>
          <w:szCs w:val="21"/>
        </w:rPr>
        <w:t>1</w:t>
      </w:r>
      <w:r>
        <w:rPr>
          <w:rFonts w:hint="eastAsia" w:ascii="宋体" w:hAnsi="宋体" w:cs="宋体"/>
          <w:b w:val="0"/>
          <w:bCs w:val="0"/>
          <w:sz w:val="21"/>
          <w:szCs w:val="21"/>
        </w:rPr>
        <w:t>：</w:t>
      </w:r>
      <w:bookmarkEnd w:id="22"/>
    </w:p>
    <w:p>
      <w:pPr>
        <w:jc w:val="center"/>
        <w:rPr>
          <w:rFonts w:ascii="宋体"/>
          <w:color w:val="000000" w:themeColor="text1"/>
          <w14:textFill>
            <w14:solidFill>
              <w14:schemeClr w14:val="tx1"/>
            </w14:solidFill>
          </w14:textFill>
        </w:rPr>
      </w:pPr>
      <w:bookmarkStart w:id="23" w:name="_Toc15042577"/>
      <w:r>
        <w:rPr>
          <w:rFonts w:hint="eastAsia" w:ascii="宋体" w:hAnsi="宋体"/>
          <w:b/>
          <w:bCs/>
          <w:color w:val="000000" w:themeColor="text1"/>
          <w:sz w:val="44"/>
          <w14:textFill>
            <w14:solidFill>
              <w14:schemeClr w14:val="tx1"/>
            </w14:solidFill>
          </w14:textFill>
        </w:rPr>
        <w:t>投标函</w:t>
      </w:r>
    </w:p>
    <w:p>
      <w:pPr>
        <w:spacing w:line="360" w:lineRule="auto"/>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南通大学招投标管理办公室：</w:t>
      </w:r>
    </w:p>
    <w:p>
      <w:pPr>
        <w:spacing w:line="360" w:lineRule="auto"/>
        <w:ind w:left="1" w:firstLine="564" w:firstLineChars="235"/>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我方经仔细阅读研究项目竞争性磋商文件（项目编号），已完全了解竞争性磋商文件中的所有条款及要求，决定参加投标，同时做出如下承诺：</w:t>
      </w:r>
    </w:p>
    <w:p>
      <w:pPr>
        <w:spacing w:line="360" w:lineRule="auto"/>
        <w:ind w:firstLine="480" w:firstLineChars="200"/>
        <w:rPr>
          <w:color w:val="000000" w:themeColor="text1"/>
          <w:sz w:val="24"/>
          <w14:textFill>
            <w14:solidFill>
              <w14:schemeClr w14:val="tx1"/>
            </w14:solidFill>
          </w14:textFill>
        </w:rPr>
      </w:pPr>
      <w:r>
        <w:rPr>
          <w:color w:val="000000" w:themeColor="text1"/>
          <w:sz w:val="24"/>
          <w14:textFill>
            <w14:solidFill>
              <w14:schemeClr w14:val="tx1"/>
            </w14:solidFill>
          </w14:textFill>
        </w:rPr>
        <w:t>1</w:t>
      </w:r>
      <w:r>
        <w:rPr>
          <w:rFonts w:hint="eastAsia"/>
          <w:color w:val="000000" w:themeColor="text1"/>
          <w:sz w:val="24"/>
          <w14:textFill>
            <w14:solidFill>
              <w14:schemeClr w14:val="tx1"/>
            </w14:solidFill>
          </w14:textFill>
        </w:rPr>
        <w:t>、我公司与本招标项目及该项目相关人员之间均不存在可能影响招标公正性的任何利害关系。</w:t>
      </w:r>
    </w:p>
    <w:p>
      <w:pPr>
        <w:spacing w:line="360" w:lineRule="auto"/>
        <w:ind w:firstLine="480" w:firstLineChars="200"/>
        <w:rPr>
          <w:color w:val="000000" w:themeColor="text1"/>
          <w:sz w:val="24"/>
          <w14:textFill>
            <w14:solidFill>
              <w14:schemeClr w14:val="tx1"/>
            </w14:solidFill>
          </w14:textFill>
        </w:rPr>
      </w:pPr>
      <w:r>
        <w:rPr>
          <w:color w:val="000000" w:themeColor="text1"/>
          <w:sz w:val="24"/>
          <w14:textFill>
            <w14:solidFill>
              <w14:schemeClr w14:val="tx1"/>
            </w14:solidFill>
          </w14:textFill>
        </w:rPr>
        <w:t>2</w:t>
      </w:r>
      <w:r>
        <w:rPr>
          <w:rFonts w:hint="eastAsia"/>
          <w:color w:val="000000" w:themeColor="text1"/>
          <w:sz w:val="24"/>
          <w14:textFill>
            <w14:solidFill>
              <w14:schemeClr w14:val="tx1"/>
            </w14:solidFill>
          </w14:textFill>
        </w:rPr>
        <w:t>、愿按竞争性磋商文件的要求提供货物和服务，投标货物及服务的投标总价为：</w:t>
      </w:r>
    </w:p>
    <w:p>
      <w:pPr>
        <w:spacing w:line="360" w:lineRule="auto"/>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（小写），（大写）。</w:t>
      </w:r>
    </w:p>
    <w:p>
      <w:pPr>
        <w:spacing w:line="360" w:lineRule="auto"/>
        <w:ind w:firstLine="480" w:firstLineChars="200"/>
        <w:rPr>
          <w:color w:val="000000" w:themeColor="text1"/>
          <w:sz w:val="24"/>
          <w14:textFill>
            <w14:solidFill>
              <w14:schemeClr w14:val="tx1"/>
            </w14:solidFill>
          </w14:textFill>
        </w:rPr>
      </w:pPr>
      <w:r>
        <w:rPr>
          <w:color w:val="000000" w:themeColor="text1"/>
          <w:sz w:val="24"/>
          <w14:textFill>
            <w14:solidFill>
              <w14:schemeClr w14:val="tx1"/>
            </w14:solidFill>
          </w14:textFill>
        </w:rPr>
        <w:t>3</w:t>
      </w:r>
      <w:r>
        <w:rPr>
          <w:rFonts w:hint="eastAsia"/>
          <w:color w:val="000000" w:themeColor="text1"/>
          <w:sz w:val="24"/>
          <w14:textFill>
            <w14:solidFill>
              <w14:schemeClr w14:val="tx1"/>
            </w14:solidFill>
          </w14:textFill>
        </w:rPr>
        <w:t>、接受竞争性磋商文件的所有条款、条件和</w:t>
      </w:r>
      <w:r>
        <w:rPr>
          <w:rFonts w:hint="eastAsia" w:ascii="宋体" w:hAnsi="宋体"/>
          <w:bCs/>
          <w:color w:val="000000" w:themeColor="text1"/>
          <w:sz w:val="24"/>
          <w14:textFill>
            <w14:solidFill>
              <w14:schemeClr w14:val="tx1"/>
            </w14:solidFill>
          </w14:textFill>
        </w:rPr>
        <w:t>规定</w:t>
      </w:r>
      <w:r>
        <w:rPr>
          <w:rFonts w:hint="eastAsia"/>
          <w:color w:val="000000" w:themeColor="text1"/>
          <w:sz w:val="24"/>
          <w14:textFill>
            <w14:solidFill>
              <w14:schemeClr w14:val="tx1"/>
            </w14:solidFill>
          </w14:textFill>
        </w:rPr>
        <w:t>，</w:t>
      </w:r>
      <w:r>
        <w:rPr>
          <w:rFonts w:hint="eastAsia" w:ascii="宋体" w:hAnsi="宋体"/>
          <w:bCs/>
          <w:color w:val="000000" w:themeColor="text1"/>
          <w:sz w:val="24"/>
          <w14:textFill>
            <w14:solidFill>
              <w14:schemeClr w14:val="tx1"/>
            </w14:solidFill>
          </w14:textFill>
        </w:rPr>
        <w:t>放弃对竞争性磋商文件提出质疑的权利。</w:t>
      </w:r>
    </w:p>
    <w:p>
      <w:pPr>
        <w:spacing w:line="360" w:lineRule="auto"/>
        <w:ind w:firstLine="480" w:firstLineChars="200"/>
        <w:rPr>
          <w:color w:val="000000" w:themeColor="text1"/>
          <w:sz w:val="24"/>
          <w14:textFill>
            <w14:solidFill>
              <w14:schemeClr w14:val="tx1"/>
            </w14:solidFill>
          </w14:textFill>
        </w:rPr>
      </w:pPr>
      <w:r>
        <w:rPr>
          <w:color w:val="000000" w:themeColor="text1"/>
          <w:sz w:val="24"/>
          <w14:textFill>
            <w14:solidFill>
              <w14:schemeClr w14:val="tx1"/>
            </w14:solidFill>
          </w14:textFill>
        </w:rPr>
        <w:t>4</w:t>
      </w:r>
      <w:r>
        <w:rPr>
          <w:rFonts w:hint="eastAsia"/>
          <w:color w:val="000000" w:themeColor="text1"/>
          <w:sz w:val="24"/>
          <w14:textFill>
            <w14:solidFill>
              <w14:schemeClr w14:val="tx1"/>
            </w14:solidFill>
          </w14:textFill>
        </w:rPr>
        <w:t>、同意按照竞争性磋商文件的要求提供所有资料、数据或信息。</w:t>
      </w:r>
    </w:p>
    <w:p>
      <w:pPr>
        <w:spacing w:line="360" w:lineRule="auto"/>
        <w:ind w:firstLine="480" w:firstLineChars="200"/>
        <w:rPr>
          <w:color w:val="000000" w:themeColor="text1"/>
          <w:sz w:val="24"/>
          <w14:textFill>
            <w14:solidFill>
              <w14:schemeClr w14:val="tx1"/>
            </w14:solidFill>
          </w14:textFill>
        </w:rPr>
      </w:pPr>
      <w:r>
        <w:rPr>
          <w:color w:val="000000" w:themeColor="text1"/>
          <w:sz w:val="24"/>
          <w14:textFill>
            <w14:solidFill>
              <w14:schemeClr w14:val="tx1"/>
            </w14:solidFill>
          </w14:textFill>
        </w:rPr>
        <w:t>5</w:t>
      </w:r>
      <w:r>
        <w:rPr>
          <w:rFonts w:hint="eastAsia"/>
          <w:color w:val="000000" w:themeColor="text1"/>
          <w:sz w:val="24"/>
          <w14:textFill>
            <w14:solidFill>
              <w14:schemeClr w14:val="tx1"/>
            </w14:solidFill>
          </w14:textFill>
        </w:rPr>
        <w:t>、</w:t>
      </w:r>
      <w:r>
        <w:rPr>
          <w:rFonts w:hint="eastAsia" w:ascii="宋体" w:hAnsi="宋体"/>
          <w:bCs/>
          <w:color w:val="000000" w:themeColor="text1"/>
          <w:sz w:val="24"/>
          <w14:textFill>
            <w14:solidFill>
              <w14:schemeClr w14:val="tx1"/>
            </w14:solidFill>
          </w14:textFill>
        </w:rPr>
        <w:t>认可</w:t>
      </w:r>
      <w:r>
        <w:rPr>
          <w:rFonts w:hint="eastAsia"/>
          <w:color w:val="000000" w:themeColor="text1"/>
          <w:sz w:val="24"/>
          <w14:textFill>
            <w14:solidFill>
              <w14:schemeClr w14:val="tx1"/>
            </w14:solidFill>
          </w14:textFill>
        </w:rPr>
        <w:t>贵方有权决定中标人或否决所有投标，并理解最低报价只是中标的重要条件，贵方没有义务必须接受最低报价的投标。</w:t>
      </w:r>
    </w:p>
    <w:p>
      <w:pPr>
        <w:spacing w:line="360" w:lineRule="auto"/>
        <w:ind w:firstLine="480" w:firstLineChars="200"/>
        <w:rPr>
          <w:color w:val="000000" w:themeColor="text1"/>
          <w:sz w:val="24"/>
          <w14:textFill>
            <w14:solidFill>
              <w14:schemeClr w14:val="tx1"/>
            </w14:solidFill>
          </w14:textFill>
        </w:rPr>
      </w:pPr>
      <w:r>
        <w:rPr>
          <w:color w:val="000000" w:themeColor="text1"/>
          <w:sz w:val="24"/>
          <w14:textFill>
            <w14:solidFill>
              <w14:schemeClr w14:val="tx1"/>
            </w14:solidFill>
          </w14:textFill>
        </w:rPr>
        <w:t>6</w:t>
      </w:r>
      <w:r>
        <w:rPr>
          <w:rFonts w:hint="eastAsia"/>
          <w:color w:val="000000" w:themeColor="text1"/>
          <w:sz w:val="24"/>
          <w14:textFill>
            <w14:solidFill>
              <w14:schemeClr w14:val="tx1"/>
            </w14:solidFill>
          </w14:textFill>
        </w:rPr>
        <w:t>、我方如中标，将保证遵守竞争性磋商文件对投标人的所有要求和规定，履行自己在投标文件中承诺的全部责任和义务。</w:t>
      </w:r>
    </w:p>
    <w:p>
      <w:pPr>
        <w:spacing w:line="360" w:lineRule="auto"/>
        <w:ind w:firstLine="480" w:firstLineChars="200"/>
        <w:rPr>
          <w:color w:val="000000" w:themeColor="text1"/>
          <w:sz w:val="24"/>
          <w14:textFill>
            <w14:solidFill>
              <w14:schemeClr w14:val="tx1"/>
            </w14:solidFill>
          </w14:textFill>
        </w:rPr>
      </w:pPr>
      <w:r>
        <w:rPr>
          <w:color w:val="000000" w:themeColor="text1"/>
          <w:sz w:val="24"/>
          <w14:textFill>
            <w14:solidFill>
              <w14:schemeClr w14:val="tx1"/>
            </w14:solidFill>
          </w14:textFill>
        </w:rPr>
        <w:t>7</w:t>
      </w:r>
      <w:r>
        <w:rPr>
          <w:rFonts w:hint="eastAsia"/>
          <w:color w:val="000000" w:themeColor="text1"/>
          <w:sz w:val="24"/>
          <w14:textFill>
            <w14:solidFill>
              <w14:schemeClr w14:val="tx1"/>
            </w14:solidFill>
          </w14:textFill>
        </w:rPr>
        <w:t>、本投标文件的有效期为投标截止日后</w:t>
      </w:r>
      <w:r>
        <w:rPr>
          <w:color w:val="000000" w:themeColor="text1"/>
          <w:sz w:val="24"/>
          <w14:textFill>
            <w14:solidFill>
              <w14:schemeClr w14:val="tx1"/>
            </w14:solidFill>
          </w14:textFill>
        </w:rPr>
        <w:t>90</w:t>
      </w:r>
      <w:r>
        <w:rPr>
          <w:rFonts w:hint="eastAsia"/>
          <w:color w:val="000000" w:themeColor="text1"/>
          <w:sz w:val="24"/>
          <w14:textFill>
            <w14:solidFill>
              <w14:schemeClr w14:val="tx1"/>
            </w14:solidFill>
          </w14:textFill>
        </w:rPr>
        <w:t>天内，如我方中标，有效期将延至合同有效期终止日为止。</w:t>
      </w:r>
    </w:p>
    <w:p>
      <w:pPr>
        <w:spacing w:line="360" w:lineRule="auto"/>
        <w:ind w:firstLine="480" w:firstLineChars="200"/>
        <w:rPr>
          <w:color w:val="000000" w:themeColor="text1"/>
          <w:sz w:val="24"/>
          <w14:textFill>
            <w14:solidFill>
              <w14:schemeClr w14:val="tx1"/>
            </w14:solidFill>
          </w14:textFill>
        </w:rPr>
      </w:pPr>
      <w:r>
        <w:rPr>
          <w:color w:val="000000" w:themeColor="text1"/>
          <w:sz w:val="24"/>
          <w14:textFill>
            <w14:solidFill>
              <w14:schemeClr w14:val="tx1"/>
            </w14:solidFill>
          </w14:textFill>
        </w:rPr>
        <w:t>8</w:t>
      </w:r>
      <w:r>
        <w:rPr>
          <w:rFonts w:hint="eastAsia"/>
          <w:color w:val="000000" w:themeColor="text1"/>
          <w:sz w:val="24"/>
          <w14:textFill>
            <w14:solidFill>
              <w14:schemeClr w14:val="tx1"/>
            </w14:solidFill>
          </w14:textFill>
        </w:rPr>
        <w:t>、与本次招投标有关的事宜请按以下信息联系：</w:t>
      </w:r>
    </w:p>
    <w:tbl>
      <w:tblPr>
        <w:tblStyle w:val="17"/>
        <w:tblW w:w="7054" w:type="dxa"/>
        <w:jc w:val="center"/>
        <w:tblLayout w:type="fixed"/>
        <w:tblCellMar>
          <w:top w:w="0" w:type="dxa"/>
          <w:left w:w="108" w:type="dxa"/>
          <w:bottom w:w="0" w:type="dxa"/>
          <w:right w:w="108" w:type="dxa"/>
        </w:tblCellMar>
      </w:tblPr>
      <w:tblGrid>
        <w:gridCol w:w="2376"/>
        <w:gridCol w:w="4678"/>
      </w:tblGrid>
      <w:tr>
        <w:tblPrEx>
          <w:tblCellMar>
            <w:top w:w="0" w:type="dxa"/>
            <w:left w:w="108" w:type="dxa"/>
            <w:bottom w:w="0" w:type="dxa"/>
            <w:right w:w="108" w:type="dxa"/>
          </w:tblCellMar>
        </w:tblPrEx>
        <w:trPr>
          <w:trHeight w:val="587" w:hRule="atLeast"/>
          <w:jc w:val="center"/>
        </w:trPr>
        <w:tc>
          <w:tcPr>
            <w:tcW w:w="2376" w:type="dxa"/>
            <w:shd w:val="clear" w:color="auto" w:fill="auto"/>
          </w:tcPr>
          <w:p>
            <w:pPr>
              <w:spacing w:line="480" w:lineRule="auto"/>
              <w:jc w:val="center"/>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投 标 人（公章）：</w:t>
            </w:r>
          </w:p>
        </w:tc>
        <w:tc>
          <w:tcPr>
            <w:tcW w:w="4678" w:type="dxa"/>
            <w:tcBorders>
              <w:bottom w:val="single" w:color="000000" w:sz="4" w:space="0"/>
            </w:tcBorders>
            <w:shd w:val="clear" w:color="auto" w:fill="auto"/>
          </w:tcPr>
          <w:p>
            <w:pPr>
              <w:spacing w:line="480" w:lineRule="auto"/>
              <w:rPr>
                <w:color w:val="000000" w:themeColor="text1"/>
                <w:sz w:val="24"/>
                <w14:textFill>
                  <w14:solidFill>
                    <w14:schemeClr w14:val="tx1"/>
                  </w14:solidFill>
                </w14:textFill>
              </w:rPr>
            </w:pPr>
          </w:p>
        </w:tc>
      </w:tr>
      <w:tr>
        <w:tblPrEx>
          <w:tblCellMar>
            <w:top w:w="0" w:type="dxa"/>
            <w:left w:w="108" w:type="dxa"/>
            <w:bottom w:w="0" w:type="dxa"/>
            <w:right w:w="108" w:type="dxa"/>
          </w:tblCellMar>
        </w:tblPrEx>
        <w:trPr>
          <w:jc w:val="center"/>
        </w:trPr>
        <w:tc>
          <w:tcPr>
            <w:tcW w:w="2376" w:type="dxa"/>
            <w:shd w:val="clear" w:color="auto" w:fill="auto"/>
          </w:tcPr>
          <w:p>
            <w:pPr>
              <w:spacing w:line="480" w:lineRule="auto"/>
              <w:jc w:val="center"/>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授权代表（签名）：</w:t>
            </w:r>
          </w:p>
        </w:tc>
        <w:tc>
          <w:tcPr>
            <w:tcW w:w="4678" w:type="dxa"/>
            <w:tcBorders>
              <w:top w:val="single" w:color="000000" w:sz="4" w:space="0"/>
              <w:bottom w:val="single" w:color="000000" w:sz="4" w:space="0"/>
            </w:tcBorders>
            <w:shd w:val="clear" w:color="auto" w:fill="auto"/>
          </w:tcPr>
          <w:p>
            <w:pPr>
              <w:spacing w:line="480" w:lineRule="auto"/>
              <w:rPr>
                <w:color w:val="000000" w:themeColor="text1"/>
                <w:sz w:val="24"/>
                <w14:textFill>
                  <w14:solidFill>
                    <w14:schemeClr w14:val="tx1"/>
                  </w14:solidFill>
                </w14:textFill>
              </w:rPr>
            </w:pPr>
          </w:p>
        </w:tc>
      </w:tr>
      <w:tr>
        <w:tblPrEx>
          <w:tblCellMar>
            <w:top w:w="0" w:type="dxa"/>
            <w:left w:w="108" w:type="dxa"/>
            <w:bottom w:w="0" w:type="dxa"/>
            <w:right w:w="108" w:type="dxa"/>
          </w:tblCellMar>
        </w:tblPrEx>
        <w:trPr>
          <w:jc w:val="center"/>
        </w:trPr>
        <w:tc>
          <w:tcPr>
            <w:tcW w:w="2376" w:type="dxa"/>
            <w:shd w:val="clear" w:color="auto" w:fill="auto"/>
          </w:tcPr>
          <w:p>
            <w:pPr>
              <w:spacing w:line="480" w:lineRule="auto"/>
              <w:jc w:val="center"/>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手机 ：</w:t>
            </w:r>
          </w:p>
        </w:tc>
        <w:tc>
          <w:tcPr>
            <w:tcW w:w="4678" w:type="dxa"/>
            <w:tcBorders>
              <w:top w:val="single" w:color="000000" w:sz="4" w:space="0"/>
              <w:bottom w:val="single" w:color="000000" w:sz="4" w:space="0"/>
            </w:tcBorders>
            <w:shd w:val="clear" w:color="auto" w:fill="auto"/>
          </w:tcPr>
          <w:p>
            <w:pPr>
              <w:spacing w:line="480" w:lineRule="auto"/>
              <w:rPr>
                <w:color w:val="000000" w:themeColor="text1"/>
                <w:sz w:val="24"/>
                <w14:textFill>
                  <w14:solidFill>
                    <w14:schemeClr w14:val="tx1"/>
                  </w14:solidFill>
                </w14:textFill>
              </w:rPr>
            </w:pPr>
          </w:p>
        </w:tc>
      </w:tr>
      <w:tr>
        <w:tblPrEx>
          <w:tblCellMar>
            <w:top w:w="0" w:type="dxa"/>
            <w:left w:w="108" w:type="dxa"/>
            <w:bottom w:w="0" w:type="dxa"/>
            <w:right w:w="108" w:type="dxa"/>
          </w:tblCellMar>
        </w:tblPrEx>
        <w:trPr>
          <w:jc w:val="center"/>
        </w:trPr>
        <w:tc>
          <w:tcPr>
            <w:tcW w:w="2376" w:type="dxa"/>
            <w:shd w:val="clear" w:color="auto" w:fill="auto"/>
          </w:tcPr>
          <w:p>
            <w:pPr>
              <w:spacing w:line="480" w:lineRule="auto"/>
              <w:jc w:val="center"/>
              <w:rPr>
                <w:color w:val="000000" w:themeColor="text1"/>
                <w:sz w:val="24"/>
                <w14:textFill>
                  <w14:solidFill>
                    <w14:schemeClr w14:val="tx1"/>
                  </w14:solidFill>
                </w14:textFill>
              </w:rPr>
            </w:pPr>
            <w:r>
              <w:rPr>
                <w:rFonts w:ascii="Adobe 黑体 Std R" w:hAnsi="Adobe 黑体 Std R" w:eastAsia="Adobe 黑体 Std R"/>
                <w:color w:val="000000" w:themeColor="text1"/>
                <w:sz w:val="24"/>
                <w14:textFill>
                  <w14:solidFill>
                    <w14:schemeClr w14:val="tx1"/>
                  </w14:solidFill>
                </w14:textFill>
              </w:rPr>
              <w:t>E  m  a  i  l</w:t>
            </w:r>
            <w:r>
              <w:rPr>
                <w:rFonts w:hint="eastAsia"/>
                <w:color w:val="000000" w:themeColor="text1"/>
                <w:sz w:val="24"/>
                <w14:textFill>
                  <w14:solidFill>
                    <w14:schemeClr w14:val="tx1"/>
                  </w14:solidFill>
                </w14:textFill>
              </w:rPr>
              <w:t xml:space="preserve">  ：</w:t>
            </w:r>
          </w:p>
        </w:tc>
        <w:tc>
          <w:tcPr>
            <w:tcW w:w="4678" w:type="dxa"/>
            <w:tcBorders>
              <w:top w:val="single" w:color="000000" w:sz="4" w:space="0"/>
              <w:bottom w:val="single" w:color="000000" w:sz="4" w:space="0"/>
            </w:tcBorders>
            <w:shd w:val="clear" w:color="auto" w:fill="auto"/>
          </w:tcPr>
          <w:p>
            <w:pPr>
              <w:spacing w:line="480" w:lineRule="auto"/>
              <w:rPr>
                <w:color w:val="000000" w:themeColor="text1"/>
                <w:sz w:val="24"/>
                <w14:textFill>
                  <w14:solidFill>
                    <w14:schemeClr w14:val="tx1"/>
                  </w14:solidFill>
                </w14:textFill>
              </w:rPr>
            </w:pPr>
          </w:p>
        </w:tc>
      </w:tr>
      <w:tr>
        <w:tblPrEx>
          <w:tblCellMar>
            <w:top w:w="0" w:type="dxa"/>
            <w:left w:w="108" w:type="dxa"/>
            <w:bottom w:w="0" w:type="dxa"/>
            <w:right w:w="108" w:type="dxa"/>
          </w:tblCellMar>
        </w:tblPrEx>
        <w:trPr>
          <w:jc w:val="center"/>
        </w:trPr>
        <w:tc>
          <w:tcPr>
            <w:tcW w:w="2376" w:type="dxa"/>
            <w:shd w:val="clear" w:color="auto" w:fill="auto"/>
          </w:tcPr>
          <w:p>
            <w:pPr>
              <w:spacing w:line="480" w:lineRule="auto"/>
              <w:jc w:val="center"/>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地址 ：</w:t>
            </w:r>
          </w:p>
        </w:tc>
        <w:tc>
          <w:tcPr>
            <w:tcW w:w="4678" w:type="dxa"/>
            <w:tcBorders>
              <w:top w:val="single" w:color="000000" w:sz="4" w:space="0"/>
              <w:bottom w:val="single" w:color="000000" w:sz="4" w:space="0"/>
            </w:tcBorders>
            <w:shd w:val="clear" w:color="auto" w:fill="auto"/>
          </w:tcPr>
          <w:p>
            <w:pPr>
              <w:spacing w:line="480" w:lineRule="auto"/>
              <w:rPr>
                <w:color w:val="000000" w:themeColor="text1"/>
                <w:sz w:val="24"/>
                <w14:textFill>
                  <w14:solidFill>
                    <w14:schemeClr w14:val="tx1"/>
                  </w14:solidFill>
                </w14:textFill>
              </w:rPr>
            </w:pPr>
          </w:p>
        </w:tc>
      </w:tr>
      <w:tr>
        <w:tblPrEx>
          <w:tblCellMar>
            <w:top w:w="0" w:type="dxa"/>
            <w:left w:w="108" w:type="dxa"/>
            <w:bottom w:w="0" w:type="dxa"/>
            <w:right w:w="108" w:type="dxa"/>
          </w:tblCellMar>
        </w:tblPrEx>
        <w:trPr>
          <w:jc w:val="center"/>
        </w:trPr>
        <w:tc>
          <w:tcPr>
            <w:tcW w:w="2376" w:type="dxa"/>
            <w:shd w:val="clear" w:color="auto" w:fill="auto"/>
          </w:tcPr>
          <w:p>
            <w:pPr>
              <w:spacing w:line="480" w:lineRule="auto"/>
              <w:jc w:val="center"/>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日期 ：</w:t>
            </w:r>
          </w:p>
        </w:tc>
        <w:tc>
          <w:tcPr>
            <w:tcW w:w="4678" w:type="dxa"/>
            <w:tcBorders>
              <w:top w:val="single" w:color="000000" w:sz="4" w:space="0"/>
              <w:bottom w:val="single" w:color="000000" w:sz="4" w:space="0"/>
            </w:tcBorders>
            <w:shd w:val="clear" w:color="auto" w:fill="auto"/>
          </w:tcPr>
          <w:p>
            <w:pPr>
              <w:spacing w:line="480" w:lineRule="auto"/>
              <w:rPr>
                <w:color w:val="000000" w:themeColor="text1"/>
                <w:sz w:val="24"/>
                <w14:textFill>
                  <w14:solidFill>
                    <w14:schemeClr w14:val="tx1"/>
                  </w14:solidFill>
                </w14:textFill>
              </w:rPr>
            </w:pPr>
          </w:p>
        </w:tc>
      </w:tr>
    </w:tbl>
    <w:p>
      <w:pPr>
        <w:pStyle w:val="3"/>
        <w:rPr>
          <w:b w:val="0"/>
          <w:color w:val="000000" w:themeColor="text1"/>
          <w:sz w:val="21"/>
          <w:szCs w:val="21"/>
          <w14:textFill>
            <w14:solidFill>
              <w14:schemeClr w14:val="tx1"/>
            </w14:solidFill>
          </w14:textFill>
        </w:rPr>
      </w:pPr>
      <w:bookmarkStart w:id="24" w:name="_Toc40968812"/>
      <w:bookmarkStart w:id="25" w:name="_Toc37838052"/>
      <w:r>
        <w:rPr>
          <w:rFonts w:hint="eastAsia"/>
          <w:b w:val="0"/>
          <w:color w:val="000000" w:themeColor="text1"/>
          <w:sz w:val="21"/>
          <w:szCs w:val="21"/>
          <w14:textFill>
            <w14:solidFill>
              <w14:schemeClr w14:val="tx1"/>
            </w14:solidFill>
          </w14:textFill>
        </w:rPr>
        <w:t>附件2：</w:t>
      </w:r>
      <w:bookmarkEnd w:id="24"/>
      <w:bookmarkEnd w:id="25"/>
    </w:p>
    <w:p/>
    <w:p>
      <w:pPr>
        <w:spacing w:beforeLines="100" w:afterLines="150"/>
        <w:jc w:val="center"/>
        <w:rPr>
          <w:b/>
          <w:color w:val="000000" w:themeColor="text1"/>
          <w:sz w:val="44"/>
          <w:szCs w:val="44"/>
          <w14:textFill>
            <w14:solidFill>
              <w14:schemeClr w14:val="tx1"/>
            </w14:solidFill>
          </w14:textFill>
        </w:rPr>
      </w:pPr>
      <w:r>
        <w:rPr>
          <w:rFonts w:hint="eastAsia"/>
          <w:b/>
          <w:color w:val="000000" w:themeColor="text1"/>
          <w:sz w:val="44"/>
          <w:szCs w:val="44"/>
          <w14:textFill>
            <w14:solidFill>
              <w14:schemeClr w14:val="tx1"/>
            </w14:solidFill>
          </w14:textFill>
        </w:rPr>
        <w:t>投标资料与页码对照表</w:t>
      </w:r>
    </w:p>
    <w:p>
      <w:pPr>
        <w:spacing w:line="360" w:lineRule="auto"/>
        <w:rPr>
          <w:color w:val="000000" w:themeColor="text1"/>
          <w:sz w:val="24"/>
          <w:u w:val="single"/>
          <w14:textFill>
            <w14:solidFill>
              <w14:schemeClr w14:val="tx1"/>
            </w14:solidFill>
          </w14:textFill>
        </w:rPr>
      </w:pPr>
      <w:r>
        <w:rPr>
          <w:rFonts w:hint="eastAsia"/>
          <w:color w:val="000000" w:themeColor="text1"/>
          <w:sz w:val="24"/>
          <w14:textFill>
            <w14:solidFill>
              <w14:schemeClr w14:val="tx1"/>
            </w14:solidFill>
          </w14:textFill>
        </w:rPr>
        <w:t>投标单位名称：                                    项目编号：</w:t>
      </w:r>
    </w:p>
    <w:tbl>
      <w:tblPr>
        <w:tblStyle w:val="17"/>
        <w:tblpPr w:leftFromText="180" w:rightFromText="180" w:vertAnchor="text" w:horzAnchor="page" w:tblpX="1225" w:tblpY="830"/>
        <w:tblOverlap w:val="never"/>
        <w:tblW w:w="9378" w:type="dxa"/>
        <w:tblInd w:w="0" w:type="dxa"/>
        <w:tblLayout w:type="fixed"/>
        <w:tblCellMar>
          <w:top w:w="0" w:type="dxa"/>
          <w:left w:w="108" w:type="dxa"/>
          <w:bottom w:w="0" w:type="dxa"/>
          <w:right w:w="108" w:type="dxa"/>
        </w:tblCellMar>
      </w:tblPr>
      <w:tblGrid>
        <w:gridCol w:w="3201"/>
        <w:gridCol w:w="991"/>
        <w:gridCol w:w="4094"/>
        <w:gridCol w:w="1092"/>
      </w:tblGrid>
      <w:tr>
        <w:tblPrEx>
          <w:tblCellMar>
            <w:top w:w="0" w:type="dxa"/>
            <w:left w:w="108" w:type="dxa"/>
            <w:bottom w:w="0" w:type="dxa"/>
            <w:right w:w="108" w:type="dxa"/>
          </w:tblCellMar>
        </w:tblPrEx>
        <w:trPr>
          <w:trHeight w:val="1300" w:hRule="exact"/>
        </w:trPr>
        <w:tc>
          <w:tcPr>
            <w:tcW w:w="3201" w:type="dxa"/>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center"/>
              <w:rPr>
                <w:b/>
                <w:bCs/>
                <w:color w:val="000000" w:themeColor="text1"/>
                <w:kern w:val="0"/>
                <w:sz w:val="24"/>
                <w14:textFill>
                  <w14:solidFill>
                    <w14:schemeClr w14:val="tx1"/>
                  </w14:solidFill>
                </w14:textFill>
              </w:rPr>
            </w:pPr>
            <w:bookmarkStart w:id="26" w:name="RANGE!A1:D25"/>
            <w:r>
              <w:rPr>
                <w:rFonts w:hint="eastAsia" w:ascii="宋体" w:hAnsi="宋体"/>
                <w:b/>
                <w:bCs/>
                <w:color w:val="000000" w:themeColor="text1"/>
                <w:kern w:val="0"/>
                <w:sz w:val="24"/>
                <w14:textFill>
                  <w14:solidFill>
                    <w14:schemeClr w14:val="tx1"/>
                  </w14:solidFill>
                </w14:textFill>
              </w:rPr>
              <w:t>评定内容</w:t>
            </w:r>
            <w:bookmarkEnd w:id="26"/>
          </w:p>
        </w:tc>
        <w:tc>
          <w:tcPr>
            <w:tcW w:w="991" w:type="dxa"/>
            <w:tcBorders>
              <w:top w:val="single" w:color="auto" w:sz="4" w:space="0"/>
              <w:left w:val="nil"/>
              <w:bottom w:val="single" w:color="auto" w:sz="4" w:space="0"/>
              <w:right w:val="single" w:color="auto" w:sz="4" w:space="0"/>
            </w:tcBorders>
            <w:shd w:val="clear" w:color="auto" w:fill="auto"/>
            <w:noWrap/>
            <w:vAlign w:val="center"/>
          </w:tcPr>
          <w:p>
            <w:pPr>
              <w:widowControl/>
              <w:jc w:val="center"/>
              <w:rPr>
                <w:b/>
                <w:bCs/>
                <w:color w:val="000000" w:themeColor="text1"/>
                <w:kern w:val="0"/>
                <w:sz w:val="24"/>
                <w14:textFill>
                  <w14:solidFill>
                    <w14:schemeClr w14:val="tx1"/>
                  </w14:solidFill>
                </w14:textFill>
              </w:rPr>
            </w:pPr>
            <w:r>
              <w:rPr>
                <w:rFonts w:hint="eastAsia" w:ascii="宋体" w:hAnsi="宋体"/>
                <w:b/>
                <w:bCs/>
                <w:color w:val="000000" w:themeColor="text1"/>
                <w:kern w:val="0"/>
                <w:sz w:val="24"/>
                <w14:textFill>
                  <w14:solidFill>
                    <w14:schemeClr w14:val="tx1"/>
                  </w14:solidFill>
                </w14:textFill>
              </w:rPr>
              <w:t>分值</w:t>
            </w:r>
          </w:p>
        </w:tc>
        <w:tc>
          <w:tcPr>
            <w:tcW w:w="4094" w:type="dxa"/>
            <w:tcBorders>
              <w:top w:val="single" w:color="auto" w:sz="4" w:space="0"/>
              <w:left w:val="nil"/>
              <w:bottom w:val="single" w:color="auto" w:sz="4" w:space="0"/>
              <w:right w:val="single" w:color="auto" w:sz="4" w:space="0"/>
            </w:tcBorders>
            <w:shd w:val="clear" w:color="auto" w:fill="auto"/>
            <w:noWrap/>
            <w:vAlign w:val="center"/>
          </w:tcPr>
          <w:p>
            <w:pPr>
              <w:widowControl/>
              <w:jc w:val="center"/>
              <w:rPr>
                <w:b/>
                <w:bCs/>
                <w:color w:val="000000" w:themeColor="text1"/>
                <w:kern w:val="0"/>
                <w:sz w:val="24"/>
                <w14:textFill>
                  <w14:solidFill>
                    <w14:schemeClr w14:val="tx1"/>
                  </w14:solidFill>
                </w14:textFill>
              </w:rPr>
            </w:pPr>
            <w:r>
              <w:rPr>
                <w:rFonts w:hint="eastAsia" w:ascii="宋体" w:hAnsi="宋体"/>
                <w:b/>
                <w:bCs/>
                <w:color w:val="000000" w:themeColor="text1"/>
                <w:kern w:val="0"/>
                <w:sz w:val="24"/>
                <w14:textFill>
                  <w14:solidFill>
                    <w14:schemeClr w14:val="tx1"/>
                  </w14:solidFill>
                </w14:textFill>
              </w:rPr>
              <w:t>投标资料</w:t>
            </w:r>
          </w:p>
        </w:tc>
        <w:tc>
          <w:tcPr>
            <w:tcW w:w="1092" w:type="dxa"/>
            <w:tcBorders>
              <w:top w:val="single" w:color="auto" w:sz="4" w:space="0"/>
              <w:left w:val="nil"/>
              <w:bottom w:val="single" w:color="auto" w:sz="4" w:space="0"/>
              <w:right w:val="single" w:color="auto" w:sz="4" w:space="0"/>
            </w:tcBorders>
            <w:shd w:val="clear" w:color="auto" w:fill="auto"/>
            <w:noWrap/>
            <w:vAlign w:val="center"/>
          </w:tcPr>
          <w:p>
            <w:pPr>
              <w:widowControl/>
              <w:jc w:val="center"/>
              <w:rPr>
                <w:b/>
                <w:bCs/>
                <w:color w:val="000000" w:themeColor="text1"/>
                <w:kern w:val="0"/>
                <w:sz w:val="24"/>
                <w14:textFill>
                  <w14:solidFill>
                    <w14:schemeClr w14:val="tx1"/>
                  </w14:solidFill>
                </w14:textFill>
              </w:rPr>
            </w:pPr>
            <w:r>
              <w:rPr>
                <w:rFonts w:hint="eastAsia" w:ascii="宋体" w:hAnsi="宋体"/>
                <w:b/>
                <w:bCs/>
                <w:color w:val="000000" w:themeColor="text1"/>
                <w:kern w:val="0"/>
                <w:sz w:val="24"/>
                <w14:textFill>
                  <w14:solidFill>
                    <w14:schemeClr w14:val="tx1"/>
                  </w14:solidFill>
                </w14:textFill>
              </w:rPr>
              <w:t>页码</w:t>
            </w:r>
          </w:p>
        </w:tc>
      </w:tr>
      <w:tr>
        <w:tblPrEx>
          <w:tblCellMar>
            <w:top w:w="0" w:type="dxa"/>
            <w:left w:w="108" w:type="dxa"/>
            <w:bottom w:w="0" w:type="dxa"/>
            <w:right w:w="108" w:type="dxa"/>
          </w:tblCellMar>
        </w:tblPrEx>
        <w:trPr>
          <w:trHeight w:val="776" w:hRule="atLeast"/>
        </w:trPr>
        <w:tc>
          <w:tcPr>
            <w:tcW w:w="3201" w:type="dxa"/>
            <w:tcBorders>
              <w:top w:val="nil"/>
              <w:left w:val="single" w:color="auto" w:sz="4" w:space="0"/>
              <w:bottom w:val="single" w:color="auto" w:sz="4" w:space="0"/>
              <w:right w:val="single" w:color="auto" w:sz="4" w:space="0"/>
            </w:tcBorders>
            <w:shd w:val="clear" w:color="auto" w:fill="auto"/>
            <w:noWrap/>
            <w:vAlign w:val="center"/>
          </w:tcPr>
          <w:p>
            <w:pPr>
              <w:widowControl/>
              <w:jc w:val="center"/>
              <w:rPr>
                <w:color w:val="000000" w:themeColor="text1"/>
                <w:kern w:val="0"/>
                <w:sz w:val="24"/>
                <w14:textFill>
                  <w14:solidFill>
                    <w14:schemeClr w14:val="tx1"/>
                  </w14:solidFill>
                </w14:textFill>
              </w:rPr>
            </w:pPr>
          </w:p>
        </w:tc>
        <w:tc>
          <w:tcPr>
            <w:tcW w:w="991" w:type="dxa"/>
            <w:tcBorders>
              <w:top w:val="nil"/>
              <w:left w:val="nil"/>
              <w:bottom w:val="single" w:color="auto" w:sz="4" w:space="0"/>
              <w:right w:val="single" w:color="auto" w:sz="4" w:space="0"/>
            </w:tcBorders>
            <w:shd w:val="clear" w:color="auto" w:fill="auto"/>
            <w:noWrap/>
            <w:vAlign w:val="center"/>
          </w:tcPr>
          <w:p>
            <w:pPr>
              <w:widowControl/>
              <w:jc w:val="center"/>
              <w:rPr>
                <w:color w:val="000000" w:themeColor="text1"/>
                <w:kern w:val="0"/>
                <w:sz w:val="24"/>
                <w14:textFill>
                  <w14:solidFill>
                    <w14:schemeClr w14:val="tx1"/>
                  </w14:solidFill>
                </w14:textFill>
              </w:rPr>
            </w:pPr>
          </w:p>
        </w:tc>
        <w:tc>
          <w:tcPr>
            <w:tcW w:w="4094" w:type="dxa"/>
            <w:tcBorders>
              <w:top w:val="nil"/>
              <w:left w:val="nil"/>
              <w:bottom w:val="single" w:color="auto" w:sz="4" w:space="0"/>
              <w:right w:val="single" w:color="auto" w:sz="4" w:space="0"/>
            </w:tcBorders>
            <w:shd w:val="clear" w:color="auto" w:fill="auto"/>
            <w:noWrap/>
            <w:vAlign w:val="center"/>
          </w:tcPr>
          <w:p>
            <w:pPr>
              <w:widowControl/>
              <w:jc w:val="center"/>
              <w:rPr>
                <w:color w:val="000000" w:themeColor="text1"/>
                <w:kern w:val="0"/>
                <w:sz w:val="24"/>
                <w14:textFill>
                  <w14:solidFill>
                    <w14:schemeClr w14:val="tx1"/>
                  </w14:solidFill>
                </w14:textFill>
              </w:rPr>
            </w:pPr>
          </w:p>
        </w:tc>
        <w:tc>
          <w:tcPr>
            <w:tcW w:w="1092" w:type="dxa"/>
            <w:tcBorders>
              <w:top w:val="nil"/>
              <w:left w:val="nil"/>
              <w:bottom w:val="single" w:color="auto" w:sz="4" w:space="0"/>
              <w:right w:val="single" w:color="auto" w:sz="4" w:space="0"/>
            </w:tcBorders>
            <w:shd w:val="clear" w:color="auto" w:fill="auto"/>
            <w:noWrap/>
            <w:vAlign w:val="center"/>
          </w:tcPr>
          <w:p>
            <w:pPr>
              <w:widowControl/>
              <w:jc w:val="center"/>
              <w:rPr>
                <w:color w:val="000000" w:themeColor="text1"/>
                <w:kern w:val="0"/>
                <w:sz w:val="24"/>
                <w14:textFill>
                  <w14:solidFill>
                    <w14:schemeClr w14:val="tx1"/>
                  </w14:solidFill>
                </w14:textFill>
              </w:rPr>
            </w:pPr>
            <w:r>
              <w:rPr>
                <w:color w:val="000000" w:themeColor="text1"/>
                <w:kern w:val="0"/>
                <w:sz w:val="24"/>
                <w14:textFill>
                  <w14:solidFill>
                    <w14:schemeClr w14:val="tx1"/>
                  </w14:solidFill>
                </w14:textFill>
              </w:rPr>
              <w:t>　</w:t>
            </w:r>
          </w:p>
        </w:tc>
      </w:tr>
      <w:tr>
        <w:tblPrEx>
          <w:tblCellMar>
            <w:top w:w="0" w:type="dxa"/>
            <w:left w:w="108" w:type="dxa"/>
            <w:bottom w:w="0" w:type="dxa"/>
            <w:right w:w="108" w:type="dxa"/>
          </w:tblCellMar>
        </w:tblPrEx>
        <w:trPr>
          <w:trHeight w:val="776" w:hRule="atLeast"/>
        </w:trPr>
        <w:tc>
          <w:tcPr>
            <w:tcW w:w="3201" w:type="dxa"/>
            <w:tcBorders>
              <w:top w:val="nil"/>
              <w:left w:val="single" w:color="auto" w:sz="4" w:space="0"/>
              <w:bottom w:val="single" w:color="auto" w:sz="4" w:space="0"/>
              <w:right w:val="single" w:color="auto" w:sz="4" w:space="0"/>
            </w:tcBorders>
            <w:shd w:val="clear" w:color="auto" w:fill="auto"/>
            <w:noWrap/>
            <w:vAlign w:val="center"/>
          </w:tcPr>
          <w:p>
            <w:pPr>
              <w:widowControl/>
              <w:jc w:val="center"/>
              <w:rPr>
                <w:color w:val="000000" w:themeColor="text1"/>
                <w:kern w:val="0"/>
                <w:sz w:val="24"/>
                <w14:textFill>
                  <w14:solidFill>
                    <w14:schemeClr w14:val="tx1"/>
                  </w14:solidFill>
                </w14:textFill>
              </w:rPr>
            </w:pPr>
          </w:p>
        </w:tc>
        <w:tc>
          <w:tcPr>
            <w:tcW w:w="991" w:type="dxa"/>
            <w:tcBorders>
              <w:top w:val="nil"/>
              <w:left w:val="nil"/>
              <w:bottom w:val="single" w:color="auto" w:sz="4" w:space="0"/>
              <w:right w:val="single" w:color="auto" w:sz="4" w:space="0"/>
            </w:tcBorders>
            <w:shd w:val="clear" w:color="auto" w:fill="auto"/>
            <w:noWrap/>
            <w:vAlign w:val="center"/>
          </w:tcPr>
          <w:p>
            <w:pPr>
              <w:widowControl/>
              <w:jc w:val="center"/>
              <w:rPr>
                <w:color w:val="000000" w:themeColor="text1"/>
                <w:kern w:val="0"/>
                <w:sz w:val="24"/>
                <w14:textFill>
                  <w14:solidFill>
                    <w14:schemeClr w14:val="tx1"/>
                  </w14:solidFill>
                </w14:textFill>
              </w:rPr>
            </w:pPr>
          </w:p>
        </w:tc>
        <w:tc>
          <w:tcPr>
            <w:tcW w:w="4094" w:type="dxa"/>
            <w:tcBorders>
              <w:top w:val="nil"/>
              <w:left w:val="nil"/>
              <w:bottom w:val="single" w:color="auto" w:sz="4" w:space="0"/>
              <w:right w:val="single" w:color="auto" w:sz="4" w:space="0"/>
            </w:tcBorders>
            <w:shd w:val="clear" w:color="auto" w:fill="auto"/>
            <w:noWrap/>
            <w:vAlign w:val="center"/>
          </w:tcPr>
          <w:p>
            <w:pPr>
              <w:widowControl/>
              <w:jc w:val="center"/>
              <w:rPr>
                <w:color w:val="000000" w:themeColor="text1"/>
                <w:kern w:val="0"/>
                <w:sz w:val="24"/>
                <w14:textFill>
                  <w14:solidFill>
                    <w14:schemeClr w14:val="tx1"/>
                  </w14:solidFill>
                </w14:textFill>
              </w:rPr>
            </w:pPr>
          </w:p>
        </w:tc>
        <w:tc>
          <w:tcPr>
            <w:tcW w:w="1092" w:type="dxa"/>
            <w:tcBorders>
              <w:top w:val="nil"/>
              <w:left w:val="nil"/>
              <w:bottom w:val="single" w:color="auto" w:sz="4" w:space="0"/>
              <w:right w:val="single" w:color="auto" w:sz="4" w:space="0"/>
            </w:tcBorders>
            <w:shd w:val="clear" w:color="auto" w:fill="auto"/>
            <w:noWrap/>
            <w:vAlign w:val="center"/>
          </w:tcPr>
          <w:p>
            <w:pPr>
              <w:widowControl/>
              <w:jc w:val="center"/>
              <w:rPr>
                <w:color w:val="000000" w:themeColor="text1"/>
                <w:kern w:val="0"/>
                <w:sz w:val="24"/>
                <w14:textFill>
                  <w14:solidFill>
                    <w14:schemeClr w14:val="tx1"/>
                  </w14:solidFill>
                </w14:textFill>
              </w:rPr>
            </w:pPr>
          </w:p>
        </w:tc>
      </w:tr>
      <w:tr>
        <w:tblPrEx>
          <w:tblCellMar>
            <w:top w:w="0" w:type="dxa"/>
            <w:left w:w="108" w:type="dxa"/>
            <w:bottom w:w="0" w:type="dxa"/>
            <w:right w:w="108" w:type="dxa"/>
          </w:tblCellMar>
        </w:tblPrEx>
        <w:trPr>
          <w:trHeight w:val="776" w:hRule="atLeast"/>
        </w:trPr>
        <w:tc>
          <w:tcPr>
            <w:tcW w:w="3201" w:type="dxa"/>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center"/>
              <w:rPr>
                <w:color w:val="000000" w:themeColor="text1"/>
                <w:kern w:val="0"/>
                <w:sz w:val="24"/>
                <w14:textFill>
                  <w14:solidFill>
                    <w14:schemeClr w14:val="tx1"/>
                  </w14:solidFill>
                </w14:textFill>
              </w:rPr>
            </w:pPr>
          </w:p>
        </w:tc>
        <w:tc>
          <w:tcPr>
            <w:tcW w:w="991" w:type="dxa"/>
            <w:tcBorders>
              <w:top w:val="single" w:color="auto" w:sz="4" w:space="0"/>
              <w:left w:val="nil"/>
              <w:bottom w:val="single" w:color="auto" w:sz="4" w:space="0"/>
              <w:right w:val="single" w:color="auto" w:sz="4" w:space="0"/>
            </w:tcBorders>
            <w:shd w:val="clear" w:color="auto" w:fill="auto"/>
            <w:noWrap/>
            <w:vAlign w:val="center"/>
          </w:tcPr>
          <w:p>
            <w:pPr>
              <w:widowControl/>
              <w:jc w:val="center"/>
              <w:rPr>
                <w:color w:val="000000" w:themeColor="text1"/>
                <w:kern w:val="0"/>
                <w:sz w:val="24"/>
                <w14:textFill>
                  <w14:solidFill>
                    <w14:schemeClr w14:val="tx1"/>
                  </w14:solidFill>
                </w14:textFill>
              </w:rPr>
            </w:pPr>
          </w:p>
        </w:tc>
        <w:tc>
          <w:tcPr>
            <w:tcW w:w="4094" w:type="dxa"/>
            <w:tcBorders>
              <w:top w:val="single" w:color="auto" w:sz="4" w:space="0"/>
              <w:left w:val="nil"/>
              <w:bottom w:val="single" w:color="auto" w:sz="4" w:space="0"/>
              <w:right w:val="single" w:color="auto" w:sz="4" w:space="0"/>
            </w:tcBorders>
            <w:shd w:val="clear" w:color="auto" w:fill="auto"/>
            <w:noWrap/>
            <w:vAlign w:val="center"/>
          </w:tcPr>
          <w:p>
            <w:pPr>
              <w:widowControl/>
              <w:jc w:val="center"/>
              <w:rPr>
                <w:color w:val="000000" w:themeColor="text1"/>
                <w:kern w:val="0"/>
                <w:sz w:val="24"/>
                <w14:textFill>
                  <w14:solidFill>
                    <w14:schemeClr w14:val="tx1"/>
                  </w14:solidFill>
                </w14:textFill>
              </w:rPr>
            </w:pPr>
          </w:p>
        </w:tc>
        <w:tc>
          <w:tcPr>
            <w:tcW w:w="1092" w:type="dxa"/>
            <w:tcBorders>
              <w:top w:val="single" w:color="auto" w:sz="4" w:space="0"/>
              <w:left w:val="nil"/>
              <w:bottom w:val="single" w:color="auto" w:sz="4" w:space="0"/>
              <w:right w:val="single" w:color="auto" w:sz="4" w:space="0"/>
            </w:tcBorders>
            <w:shd w:val="clear" w:color="auto" w:fill="auto"/>
            <w:noWrap/>
            <w:vAlign w:val="center"/>
          </w:tcPr>
          <w:p>
            <w:pPr>
              <w:widowControl/>
              <w:jc w:val="center"/>
              <w:rPr>
                <w:color w:val="000000" w:themeColor="text1"/>
                <w:kern w:val="0"/>
                <w:sz w:val="24"/>
                <w14:textFill>
                  <w14:solidFill>
                    <w14:schemeClr w14:val="tx1"/>
                  </w14:solidFill>
                </w14:textFill>
              </w:rPr>
            </w:pPr>
          </w:p>
        </w:tc>
      </w:tr>
      <w:tr>
        <w:tblPrEx>
          <w:tblCellMar>
            <w:top w:w="0" w:type="dxa"/>
            <w:left w:w="108" w:type="dxa"/>
            <w:bottom w:w="0" w:type="dxa"/>
            <w:right w:w="108" w:type="dxa"/>
          </w:tblCellMar>
        </w:tblPrEx>
        <w:trPr>
          <w:trHeight w:val="776" w:hRule="atLeast"/>
        </w:trPr>
        <w:tc>
          <w:tcPr>
            <w:tcW w:w="3201" w:type="dxa"/>
            <w:tcBorders>
              <w:top w:val="nil"/>
              <w:left w:val="single" w:color="auto" w:sz="4" w:space="0"/>
              <w:bottom w:val="single" w:color="auto" w:sz="4" w:space="0"/>
              <w:right w:val="single" w:color="auto" w:sz="4" w:space="0"/>
            </w:tcBorders>
            <w:shd w:val="clear" w:color="auto" w:fill="auto"/>
            <w:noWrap/>
            <w:vAlign w:val="center"/>
          </w:tcPr>
          <w:p>
            <w:pPr>
              <w:widowControl/>
              <w:jc w:val="center"/>
              <w:rPr>
                <w:color w:val="000000" w:themeColor="text1"/>
                <w:kern w:val="0"/>
                <w:sz w:val="24"/>
                <w14:textFill>
                  <w14:solidFill>
                    <w14:schemeClr w14:val="tx1"/>
                  </w14:solidFill>
                </w14:textFill>
              </w:rPr>
            </w:pPr>
          </w:p>
        </w:tc>
        <w:tc>
          <w:tcPr>
            <w:tcW w:w="991" w:type="dxa"/>
            <w:tcBorders>
              <w:top w:val="nil"/>
              <w:left w:val="nil"/>
              <w:bottom w:val="single" w:color="auto" w:sz="4" w:space="0"/>
              <w:right w:val="single" w:color="auto" w:sz="4" w:space="0"/>
            </w:tcBorders>
            <w:shd w:val="clear" w:color="auto" w:fill="auto"/>
            <w:noWrap/>
            <w:vAlign w:val="center"/>
          </w:tcPr>
          <w:p>
            <w:pPr>
              <w:widowControl/>
              <w:jc w:val="center"/>
              <w:rPr>
                <w:color w:val="000000" w:themeColor="text1"/>
                <w:kern w:val="0"/>
                <w:sz w:val="24"/>
                <w14:textFill>
                  <w14:solidFill>
                    <w14:schemeClr w14:val="tx1"/>
                  </w14:solidFill>
                </w14:textFill>
              </w:rPr>
            </w:pPr>
          </w:p>
        </w:tc>
        <w:tc>
          <w:tcPr>
            <w:tcW w:w="4094" w:type="dxa"/>
            <w:tcBorders>
              <w:top w:val="nil"/>
              <w:left w:val="nil"/>
              <w:bottom w:val="single" w:color="auto" w:sz="4" w:space="0"/>
              <w:right w:val="single" w:color="auto" w:sz="4" w:space="0"/>
            </w:tcBorders>
            <w:shd w:val="clear" w:color="auto" w:fill="auto"/>
            <w:noWrap/>
            <w:vAlign w:val="center"/>
          </w:tcPr>
          <w:p>
            <w:pPr>
              <w:widowControl/>
              <w:jc w:val="center"/>
              <w:rPr>
                <w:color w:val="000000" w:themeColor="text1"/>
                <w:kern w:val="0"/>
                <w:sz w:val="24"/>
                <w14:textFill>
                  <w14:solidFill>
                    <w14:schemeClr w14:val="tx1"/>
                  </w14:solidFill>
                </w14:textFill>
              </w:rPr>
            </w:pPr>
          </w:p>
        </w:tc>
        <w:tc>
          <w:tcPr>
            <w:tcW w:w="1092" w:type="dxa"/>
            <w:tcBorders>
              <w:top w:val="nil"/>
              <w:left w:val="nil"/>
              <w:bottom w:val="single" w:color="auto" w:sz="4" w:space="0"/>
              <w:right w:val="single" w:color="auto" w:sz="4" w:space="0"/>
            </w:tcBorders>
            <w:shd w:val="clear" w:color="auto" w:fill="auto"/>
            <w:noWrap/>
            <w:vAlign w:val="center"/>
          </w:tcPr>
          <w:p>
            <w:pPr>
              <w:widowControl/>
              <w:jc w:val="center"/>
              <w:rPr>
                <w:color w:val="000000" w:themeColor="text1"/>
                <w:kern w:val="0"/>
                <w:sz w:val="24"/>
                <w14:textFill>
                  <w14:solidFill>
                    <w14:schemeClr w14:val="tx1"/>
                  </w14:solidFill>
                </w14:textFill>
              </w:rPr>
            </w:pPr>
          </w:p>
        </w:tc>
      </w:tr>
      <w:tr>
        <w:tblPrEx>
          <w:tblCellMar>
            <w:top w:w="0" w:type="dxa"/>
            <w:left w:w="108" w:type="dxa"/>
            <w:bottom w:w="0" w:type="dxa"/>
            <w:right w:w="108" w:type="dxa"/>
          </w:tblCellMar>
        </w:tblPrEx>
        <w:trPr>
          <w:trHeight w:val="776" w:hRule="atLeast"/>
        </w:trPr>
        <w:tc>
          <w:tcPr>
            <w:tcW w:w="3201" w:type="dxa"/>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center"/>
              <w:rPr>
                <w:color w:val="000000" w:themeColor="text1"/>
                <w:kern w:val="0"/>
                <w:sz w:val="24"/>
                <w14:textFill>
                  <w14:solidFill>
                    <w14:schemeClr w14:val="tx1"/>
                  </w14:solidFill>
                </w14:textFill>
              </w:rPr>
            </w:pPr>
          </w:p>
        </w:tc>
        <w:tc>
          <w:tcPr>
            <w:tcW w:w="991" w:type="dxa"/>
            <w:tcBorders>
              <w:top w:val="single" w:color="auto" w:sz="4" w:space="0"/>
              <w:left w:val="nil"/>
              <w:bottom w:val="single" w:color="auto" w:sz="4" w:space="0"/>
              <w:right w:val="single" w:color="auto" w:sz="4" w:space="0"/>
            </w:tcBorders>
            <w:shd w:val="clear" w:color="auto" w:fill="auto"/>
            <w:noWrap/>
            <w:vAlign w:val="center"/>
          </w:tcPr>
          <w:p>
            <w:pPr>
              <w:widowControl/>
              <w:jc w:val="center"/>
              <w:rPr>
                <w:color w:val="000000" w:themeColor="text1"/>
                <w:kern w:val="0"/>
                <w:sz w:val="24"/>
                <w14:textFill>
                  <w14:solidFill>
                    <w14:schemeClr w14:val="tx1"/>
                  </w14:solidFill>
                </w14:textFill>
              </w:rPr>
            </w:pPr>
          </w:p>
        </w:tc>
        <w:tc>
          <w:tcPr>
            <w:tcW w:w="4094" w:type="dxa"/>
            <w:tcBorders>
              <w:top w:val="single" w:color="auto" w:sz="4" w:space="0"/>
              <w:left w:val="nil"/>
              <w:bottom w:val="single" w:color="auto" w:sz="4" w:space="0"/>
              <w:right w:val="single" w:color="auto" w:sz="4" w:space="0"/>
            </w:tcBorders>
            <w:shd w:val="clear" w:color="auto" w:fill="auto"/>
            <w:noWrap/>
            <w:vAlign w:val="center"/>
          </w:tcPr>
          <w:p>
            <w:pPr>
              <w:widowControl/>
              <w:jc w:val="center"/>
              <w:rPr>
                <w:color w:val="000000" w:themeColor="text1"/>
                <w:kern w:val="0"/>
                <w:sz w:val="24"/>
                <w14:textFill>
                  <w14:solidFill>
                    <w14:schemeClr w14:val="tx1"/>
                  </w14:solidFill>
                </w14:textFill>
              </w:rPr>
            </w:pPr>
          </w:p>
        </w:tc>
        <w:tc>
          <w:tcPr>
            <w:tcW w:w="1092" w:type="dxa"/>
            <w:tcBorders>
              <w:top w:val="single" w:color="auto" w:sz="4" w:space="0"/>
              <w:left w:val="nil"/>
              <w:bottom w:val="single" w:color="auto" w:sz="4" w:space="0"/>
              <w:right w:val="single" w:color="auto" w:sz="4" w:space="0"/>
            </w:tcBorders>
            <w:shd w:val="clear" w:color="auto" w:fill="auto"/>
            <w:noWrap/>
            <w:vAlign w:val="center"/>
          </w:tcPr>
          <w:p>
            <w:pPr>
              <w:widowControl/>
              <w:jc w:val="center"/>
              <w:rPr>
                <w:color w:val="000000" w:themeColor="text1"/>
                <w:kern w:val="0"/>
                <w:sz w:val="24"/>
                <w14:textFill>
                  <w14:solidFill>
                    <w14:schemeClr w14:val="tx1"/>
                  </w14:solidFill>
                </w14:textFill>
              </w:rPr>
            </w:pPr>
          </w:p>
        </w:tc>
      </w:tr>
    </w:tbl>
    <w:p>
      <w:pPr>
        <w:spacing w:afterLines="50"/>
        <w:jc w:val="center"/>
        <w:rPr>
          <w:rFonts w:eastAsia="黑体"/>
          <w:bCs/>
          <w:color w:val="000000" w:themeColor="text1"/>
          <w:sz w:val="44"/>
          <w14:textFill>
            <w14:solidFill>
              <w14:schemeClr w14:val="tx1"/>
            </w14:solidFill>
          </w14:textFill>
        </w:rPr>
      </w:pPr>
    </w:p>
    <w:p>
      <w:pPr>
        <w:spacing w:afterLines="50"/>
        <w:jc w:val="center"/>
        <w:rPr>
          <w:rFonts w:eastAsia="黑体"/>
          <w:bCs/>
          <w:color w:val="000000" w:themeColor="text1"/>
          <w:sz w:val="44"/>
          <w14:textFill>
            <w14:solidFill>
              <w14:schemeClr w14:val="tx1"/>
            </w14:solidFill>
          </w14:textFill>
        </w:rPr>
      </w:pPr>
    </w:p>
    <w:p>
      <w:pPr>
        <w:spacing w:afterLines="50"/>
        <w:rPr>
          <w:rFonts w:eastAsia="黑体"/>
          <w:bCs/>
          <w:color w:val="000000" w:themeColor="text1"/>
          <w:sz w:val="44"/>
          <w14:textFill>
            <w14:solidFill>
              <w14:schemeClr w14:val="tx1"/>
            </w14:solidFill>
          </w14:textFill>
        </w:rPr>
      </w:pPr>
    </w:p>
    <w:p>
      <w:pPr>
        <w:spacing w:afterLines="50"/>
        <w:jc w:val="center"/>
        <w:rPr>
          <w:rFonts w:eastAsia="黑体"/>
          <w:bCs/>
          <w:color w:val="000000" w:themeColor="text1"/>
          <w:sz w:val="44"/>
          <w14:textFill>
            <w14:solidFill>
              <w14:schemeClr w14:val="tx1"/>
            </w14:solidFill>
          </w14:textFill>
        </w:rPr>
      </w:pPr>
    </w:p>
    <w:p>
      <w:pPr>
        <w:rPr>
          <w:color w:val="000000" w:themeColor="text1"/>
          <w:sz w:val="28"/>
          <w:szCs w:val="28"/>
          <w14:textFill>
            <w14:solidFill>
              <w14:schemeClr w14:val="tx1"/>
            </w14:solidFill>
          </w14:textFill>
        </w:rPr>
      </w:pPr>
    </w:p>
    <w:p>
      <w:pPr>
        <w:rPr>
          <w:color w:val="000000" w:themeColor="text1"/>
          <w:sz w:val="28"/>
          <w:szCs w:val="28"/>
          <w14:textFill>
            <w14:solidFill>
              <w14:schemeClr w14:val="tx1"/>
            </w14:solidFill>
          </w14:textFill>
        </w:rPr>
      </w:pPr>
    </w:p>
    <w:p>
      <w:pPr>
        <w:rPr>
          <w:color w:val="000000" w:themeColor="text1"/>
          <w14:textFill>
            <w14:solidFill>
              <w14:schemeClr w14:val="tx1"/>
            </w14:solidFill>
          </w14:textFill>
        </w:rPr>
      </w:pPr>
      <w:bookmarkStart w:id="27" w:name="_Toc40968813"/>
      <w:bookmarkStart w:id="28" w:name="_Toc37838053"/>
    </w:p>
    <w:p>
      <w:pPr>
        <w:pStyle w:val="3"/>
        <w:rPr>
          <w:b w:val="0"/>
          <w:color w:val="000000" w:themeColor="text1"/>
          <w:sz w:val="21"/>
          <w:szCs w:val="21"/>
          <w14:textFill>
            <w14:solidFill>
              <w14:schemeClr w14:val="tx1"/>
            </w14:solidFill>
          </w14:textFill>
        </w:rPr>
      </w:pPr>
      <w:r>
        <w:rPr>
          <w:rFonts w:hint="eastAsia"/>
          <w:b w:val="0"/>
          <w:color w:val="000000" w:themeColor="text1"/>
          <w:sz w:val="21"/>
          <w:szCs w:val="21"/>
          <w14:textFill>
            <w14:solidFill>
              <w14:schemeClr w14:val="tx1"/>
            </w14:solidFill>
          </w14:textFill>
        </w:rPr>
        <w:t>附件3：</w:t>
      </w:r>
      <w:bookmarkEnd w:id="27"/>
      <w:bookmarkEnd w:id="28"/>
    </w:p>
    <w:p>
      <w:pPr>
        <w:spacing w:beforeLines="100" w:afterLines="150"/>
        <w:jc w:val="center"/>
        <w:rPr>
          <w:b/>
          <w:color w:val="000000" w:themeColor="text1"/>
          <w:sz w:val="44"/>
          <w:szCs w:val="44"/>
          <w14:textFill>
            <w14:solidFill>
              <w14:schemeClr w14:val="tx1"/>
            </w14:solidFill>
          </w14:textFill>
        </w:rPr>
      </w:pPr>
      <w:r>
        <w:rPr>
          <w:rFonts w:hint="eastAsia"/>
          <w:b/>
          <w:color w:val="000000" w:themeColor="text1"/>
          <w:sz w:val="44"/>
          <w:szCs w:val="44"/>
          <w14:textFill>
            <w14:solidFill>
              <w14:schemeClr w14:val="tx1"/>
            </w14:solidFill>
          </w14:textFill>
        </w:rPr>
        <w:t>服务业绩表</w:t>
      </w:r>
    </w:p>
    <w:p>
      <w:pPr>
        <w:spacing w:line="360" w:lineRule="auto"/>
        <w:rPr>
          <w:color w:val="000000" w:themeColor="text1"/>
          <w:sz w:val="24"/>
          <w:u w:val="single"/>
          <w14:textFill>
            <w14:solidFill>
              <w14:schemeClr w14:val="tx1"/>
            </w14:solidFill>
          </w14:textFill>
        </w:rPr>
      </w:pPr>
      <w:r>
        <w:rPr>
          <w:rFonts w:hint="eastAsia"/>
          <w:color w:val="000000" w:themeColor="text1"/>
          <w:sz w:val="24"/>
          <w14:textFill>
            <w14:solidFill>
              <w14:schemeClr w14:val="tx1"/>
            </w14:solidFill>
          </w14:textFill>
        </w:rPr>
        <w:t>投标单位名称：                                  项目编号：</w:t>
      </w:r>
    </w:p>
    <w:p>
      <w:pPr>
        <w:rPr>
          <w:rFonts w:ascii="宋体" w:hAnsi="宋体"/>
          <w:b/>
          <w:bCs/>
          <w:color w:val="000000" w:themeColor="text1"/>
          <w:sz w:val="28"/>
          <w:szCs w:val="28"/>
          <w14:textFill>
            <w14:solidFill>
              <w14:schemeClr w14:val="tx1"/>
            </w14:solidFill>
          </w14:textFill>
        </w:rPr>
      </w:pPr>
      <w:r>
        <w:rPr>
          <w:rFonts w:hint="eastAsia" w:ascii="宋体" w:hAnsi="宋体"/>
          <w:b/>
          <w:bCs/>
          <w:color w:val="000000" w:themeColor="text1"/>
          <w:sz w:val="28"/>
          <w:szCs w:val="28"/>
          <w14:textFill>
            <w14:solidFill>
              <w14:schemeClr w14:val="tx1"/>
            </w14:solidFill>
          </w14:textFill>
        </w:rPr>
        <w:t>投标人按年度列出2017年1月至今与本次采购项目类似的服务业绩（合同原件携带备查）</w:t>
      </w:r>
    </w:p>
    <w:tbl>
      <w:tblPr>
        <w:tblStyle w:val="17"/>
        <w:tblW w:w="977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44"/>
        <w:gridCol w:w="1436"/>
        <w:gridCol w:w="2258"/>
        <w:gridCol w:w="2053"/>
        <w:gridCol w:w="308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8" w:hRule="exact"/>
        </w:trPr>
        <w:tc>
          <w:tcPr>
            <w:tcW w:w="944" w:type="dxa"/>
            <w:vAlign w:val="center"/>
          </w:tcPr>
          <w:p>
            <w:pPr>
              <w:jc w:val="center"/>
              <w:rPr>
                <w:rFonts w:ascii="宋体" w:hAnsi="宋体"/>
                <w:b/>
                <w:bCs/>
                <w:color w:val="000000" w:themeColor="text1"/>
                <w14:textFill>
                  <w14:solidFill>
                    <w14:schemeClr w14:val="tx1"/>
                  </w14:solidFill>
                </w14:textFill>
              </w:rPr>
            </w:pPr>
            <w:r>
              <w:rPr>
                <w:rFonts w:hint="eastAsia" w:ascii="宋体" w:hAnsi="宋体"/>
                <w:b/>
                <w:bCs/>
                <w:color w:val="000000" w:themeColor="text1"/>
                <w14:textFill>
                  <w14:solidFill>
                    <w14:schemeClr w14:val="tx1"/>
                  </w14:solidFill>
                </w14:textFill>
              </w:rPr>
              <w:t>序号</w:t>
            </w:r>
          </w:p>
        </w:tc>
        <w:tc>
          <w:tcPr>
            <w:tcW w:w="1436" w:type="dxa"/>
            <w:vAlign w:val="center"/>
          </w:tcPr>
          <w:p>
            <w:pPr>
              <w:jc w:val="center"/>
              <w:rPr>
                <w:rFonts w:ascii="宋体" w:hAnsi="宋体"/>
                <w:b/>
                <w:bCs/>
                <w:color w:val="000000" w:themeColor="text1"/>
                <w14:textFill>
                  <w14:solidFill>
                    <w14:schemeClr w14:val="tx1"/>
                  </w14:solidFill>
                </w14:textFill>
              </w:rPr>
            </w:pPr>
            <w:r>
              <w:rPr>
                <w:rFonts w:hint="eastAsia" w:ascii="宋体" w:hAnsi="宋体"/>
                <w:b/>
                <w:bCs/>
                <w:color w:val="000000" w:themeColor="text1"/>
                <w14:textFill>
                  <w14:solidFill>
                    <w14:schemeClr w14:val="tx1"/>
                  </w14:solidFill>
                </w14:textFill>
              </w:rPr>
              <w:t>服务时间</w:t>
            </w:r>
          </w:p>
        </w:tc>
        <w:tc>
          <w:tcPr>
            <w:tcW w:w="2258" w:type="dxa"/>
            <w:vAlign w:val="center"/>
          </w:tcPr>
          <w:p>
            <w:pPr>
              <w:jc w:val="center"/>
              <w:rPr>
                <w:rFonts w:ascii="宋体" w:hAnsi="宋体"/>
                <w:b/>
                <w:bCs/>
                <w:color w:val="000000" w:themeColor="text1"/>
                <w14:textFill>
                  <w14:solidFill>
                    <w14:schemeClr w14:val="tx1"/>
                  </w14:solidFill>
                </w14:textFill>
              </w:rPr>
            </w:pPr>
            <w:r>
              <w:rPr>
                <w:rFonts w:hint="eastAsia" w:ascii="宋体" w:hAnsi="宋体"/>
                <w:b/>
                <w:bCs/>
                <w:color w:val="000000" w:themeColor="text1"/>
                <w14:textFill>
                  <w14:solidFill>
                    <w14:schemeClr w14:val="tx1"/>
                  </w14:solidFill>
                </w14:textFill>
              </w:rPr>
              <w:t>单位名称</w:t>
            </w:r>
          </w:p>
        </w:tc>
        <w:tc>
          <w:tcPr>
            <w:tcW w:w="2053" w:type="dxa"/>
            <w:vAlign w:val="center"/>
          </w:tcPr>
          <w:p>
            <w:pPr>
              <w:jc w:val="center"/>
              <w:rPr>
                <w:rFonts w:ascii="宋体" w:hAnsi="宋体"/>
                <w:b/>
                <w:bCs/>
                <w:color w:val="000000" w:themeColor="text1"/>
                <w14:textFill>
                  <w14:solidFill>
                    <w14:schemeClr w14:val="tx1"/>
                  </w14:solidFill>
                </w14:textFill>
              </w:rPr>
            </w:pPr>
            <w:r>
              <w:rPr>
                <w:rFonts w:hint="eastAsia" w:ascii="宋体" w:hAnsi="宋体"/>
                <w:b/>
                <w:bCs/>
                <w:color w:val="000000" w:themeColor="text1"/>
                <w14:textFill>
                  <w14:solidFill>
                    <w14:schemeClr w14:val="tx1"/>
                  </w14:solidFill>
                </w14:textFill>
              </w:rPr>
              <w:t>联系人</w:t>
            </w:r>
          </w:p>
        </w:tc>
        <w:tc>
          <w:tcPr>
            <w:tcW w:w="3088" w:type="dxa"/>
            <w:vAlign w:val="center"/>
          </w:tcPr>
          <w:p>
            <w:pPr>
              <w:jc w:val="center"/>
              <w:rPr>
                <w:rFonts w:ascii="宋体" w:hAnsi="宋体"/>
                <w:b/>
                <w:bCs/>
                <w:color w:val="000000" w:themeColor="text1"/>
                <w14:textFill>
                  <w14:solidFill>
                    <w14:schemeClr w14:val="tx1"/>
                  </w14:solidFill>
                </w14:textFill>
              </w:rPr>
            </w:pPr>
            <w:r>
              <w:rPr>
                <w:rFonts w:hint="eastAsia" w:ascii="宋体" w:hAnsi="宋体"/>
                <w:b/>
                <w:bCs/>
                <w:color w:val="000000" w:themeColor="text1"/>
                <w14:textFill>
                  <w14:solidFill>
                    <w14:schemeClr w14:val="tx1"/>
                  </w14:solidFill>
                </w14:textFill>
              </w:rPr>
              <w:t>联系方式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8" w:hRule="exact"/>
        </w:trPr>
        <w:tc>
          <w:tcPr>
            <w:tcW w:w="944" w:type="dxa"/>
            <w:vAlign w:val="center"/>
          </w:tcPr>
          <w:p>
            <w:pPr>
              <w:jc w:val="center"/>
              <w:rPr>
                <w:rFonts w:ascii="宋体" w:hAnsi="宋体"/>
                <w:b/>
                <w:bCs/>
                <w:color w:val="000000" w:themeColor="text1"/>
                <w14:textFill>
                  <w14:solidFill>
                    <w14:schemeClr w14:val="tx1"/>
                  </w14:solidFill>
                </w14:textFill>
              </w:rPr>
            </w:pPr>
          </w:p>
        </w:tc>
        <w:tc>
          <w:tcPr>
            <w:tcW w:w="1436" w:type="dxa"/>
            <w:vAlign w:val="center"/>
          </w:tcPr>
          <w:p>
            <w:pPr>
              <w:jc w:val="center"/>
              <w:rPr>
                <w:rFonts w:ascii="宋体" w:hAnsi="宋体"/>
                <w:b/>
                <w:bCs/>
                <w:color w:val="000000" w:themeColor="text1"/>
                <w14:textFill>
                  <w14:solidFill>
                    <w14:schemeClr w14:val="tx1"/>
                  </w14:solidFill>
                </w14:textFill>
              </w:rPr>
            </w:pPr>
          </w:p>
        </w:tc>
        <w:tc>
          <w:tcPr>
            <w:tcW w:w="2258" w:type="dxa"/>
            <w:vAlign w:val="center"/>
          </w:tcPr>
          <w:p>
            <w:pPr>
              <w:jc w:val="center"/>
              <w:rPr>
                <w:rFonts w:ascii="宋体" w:hAnsi="宋体"/>
                <w:b/>
                <w:bCs/>
                <w:color w:val="000000" w:themeColor="text1"/>
                <w14:textFill>
                  <w14:solidFill>
                    <w14:schemeClr w14:val="tx1"/>
                  </w14:solidFill>
                </w14:textFill>
              </w:rPr>
            </w:pPr>
          </w:p>
        </w:tc>
        <w:tc>
          <w:tcPr>
            <w:tcW w:w="2053" w:type="dxa"/>
            <w:vAlign w:val="center"/>
          </w:tcPr>
          <w:p>
            <w:pPr>
              <w:jc w:val="center"/>
              <w:rPr>
                <w:rFonts w:ascii="宋体" w:hAnsi="宋体"/>
                <w:b/>
                <w:bCs/>
                <w:color w:val="000000" w:themeColor="text1"/>
                <w14:textFill>
                  <w14:solidFill>
                    <w14:schemeClr w14:val="tx1"/>
                  </w14:solidFill>
                </w14:textFill>
              </w:rPr>
            </w:pPr>
          </w:p>
        </w:tc>
        <w:tc>
          <w:tcPr>
            <w:tcW w:w="3088" w:type="dxa"/>
            <w:vAlign w:val="center"/>
          </w:tcPr>
          <w:p>
            <w:pPr>
              <w:jc w:val="center"/>
              <w:rPr>
                <w:rFonts w:ascii="宋体" w:hAnsi="宋体"/>
                <w:b/>
                <w:bCs/>
                <w:color w:val="000000" w:themeColor="text1"/>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8" w:hRule="exact"/>
        </w:trPr>
        <w:tc>
          <w:tcPr>
            <w:tcW w:w="944" w:type="dxa"/>
            <w:vAlign w:val="center"/>
          </w:tcPr>
          <w:p>
            <w:pPr>
              <w:jc w:val="center"/>
              <w:rPr>
                <w:rFonts w:ascii="宋体" w:hAnsi="宋体"/>
                <w:b/>
                <w:bCs/>
                <w:color w:val="000000" w:themeColor="text1"/>
                <w14:textFill>
                  <w14:solidFill>
                    <w14:schemeClr w14:val="tx1"/>
                  </w14:solidFill>
                </w14:textFill>
              </w:rPr>
            </w:pPr>
          </w:p>
        </w:tc>
        <w:tc>
          <w:tcPr>
            <w:tcW w:w="1436" w:type="dxa"/>
            <w:vAlign w:val="center"/>
          </w:tcPr>
          <w:p>
            <w:pPr>
              <w:jc w:val="center"/>
              <w:rPr>
                <w:rFonts w:ascii="宋体" w:hAnsi="宋体"/>
                <w:b/>
                <w:bCs/>
                <w:color w:val="000000" w:themeColor="text1"/>
                <w14:textFill>
                  <w14:solidFill>
                    <w14:schemeClr w14:val="tx1"/>
                  </w14:solidFill>
                </w14:textFill>
              </w:rPr>
            </w:pPr>
          </w:p>
        </w:tc>
        <w:tc>
          <w:tcPr>
            <w:tcW w:w="2258" w:type="dxa"/>
            <w:vAlign w:val="center"/>
          </w:tcPr>
          <w:p>
            <w:pPr>
              <w:jc w:val="center"/>
              <w:rPr>
                <w:rFonts w:ascii="宋体" w:hAnsi="宋体"/>
                <w:b/>
                <w:bCs/>
                <w:color w:val="000000" w:themeColor="text1"/>
                <w14:textFill>
                  <w14:solidFill>
                    <w14:schemeClr w14:val="tx1"/>
                  </w14:solidFill>
                </w14:textFill>
              </w:rPr>
            </w:pPr>
          </w:p>
        </w:tc>
        <w:tc>
          <w:tcPr>
            <w:tcW w:w="2053" w:type="dxa"/>
            <w:vAlign w:val="center"/>
          </w:tcPr>
          <w:p>
            <w:pPr>
              <w:jc w:val="center"/>
              <w:rPr>
                <w:rFonts w:ascii="宋体" w:hAnsi="宋体"/>
                <w:b/>
                <w:bCs/>
                <w:color w:val="000000" w:themeColor="text1"/>
                <w14:textFill>
                  <w14:solidFill>
                    <w14:schemeClr w14:val="tx1"/>
                  </w14:solidFill>
                </w14:textFill>
              </w:rPr>
            </w:pPr>
          </w:p>
        </w:tc>
        <w:tc>
          <w:tcPr>
            <w:tcW w:w="3088" w:type="dxa"/>
            <w:vAlign w:val="center"/>
          </w:tcPr>
          <w:p>
            <w:pPr>
              <w:jc w:val="center"/>
              <w:rPr>
                <w:rFonts w:ascii="宋体" w:hAnsi="宋体"/>
                <w:b/>
                <w:bCs/>
                <w:color w:val="000000" w:themeColor="text1"/>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8" w:hRule="exact"/>
        </w:trPr>
        <w:tc>
          <w:tcPr>
            <w:tcW w:w="944" w:type="dxa"/>
            <w:vAlign w:val="center"/>
          </w:tcPr>
          <w:p>
            <w:pPr>
              <w:jc w:val="center"/>
              <w:rPr>
                <w:rFonts w:ascii="宋体" w:hAnsi="宋体"/>
                <w:b/>
                <w:bCs/>
                <w:color w:val="000000" w:themeColor="text1"/>
                <w14:textFill>
                  <w14:solidFill>
                    <w14:schemeClr w14:val="tx1"/>
                  </w14:solidFill>
                </w14:textFill>
              </w:rPr>
            </w:pPr>
          </w:p>
        </w:tc>
        <w:tc>
          <w:tcPr>
            <w:tcW w:w="1436" w:type="dxa"/>
            <w:vAlign w:val="center"/>
          </w:tcPr>
          <w:p>
            <w:pPr>
              <w:jc w:val="center"/>
              <w:rPr>
                <w:rFonts w:ascii="宋体" w:hAnsi="宋体"/>
                <w:b/>
                <w:bCs/>
                <w:color w:val="000000" w:themeColor="text1"/>
                <w14:textFill>
                  <w14:solidFill>
                    <w14:schemeClr w14:val="tx1"/>
                  </w14:solidFill>
                </w14:textFill>
              </w:rPr>
            </w:pPr>
          </w:p>
        </w:tc>
        <w:tc>
          <w:tcPr>
            <w:tcW w:w="2258" w:type="dxa"/>
            <w:vAlign w:val="center"/>
          </w:tcPr>
          <w:p>
            <w:pPr>
              <w:jc w:val="center"/>
              <w:rPr>
                <w:rFonts w:ascii="宋体" w:hAnsi="宋体"/>
                <w:b/>
                <w:bCs/>
                <w:color w:val="000000" w:themeColor="text1"/>
                <w14:textFill>
                  <w14:solidFill>
                    <w14:schemeClr w14:val="tx1"/>
                  </w14:solidFill>
                </w14:textFill>
              </w:rPr>
            </w:pPr>
          </w:p>
        </w:tc>
        <w:tc>
          <w:tcPr>
            <w:tcW w:w="2053" w:type="dxa"/>
            <w:vAlign w:val="center"/>
          </w:tcPr>
          <w:p>
            <w:pPr>
              <w:jc w:val="center"/>
              <w:rPr>
                <w:rFonts w:ascii="宋体" w:hAnsi="宋体"/>
                <w:b/>
                <w:bCs/>
                <w:color w:val="000000" w:themeColor="text1"/>
                <w14:textFill>
                  <w14:solidFill>
                    <w14:schemeClr w14:val="tx1"/>
                  </w14:solidFill>
                </w14:textFill>
              </w:rPr>
            </w:pPr>
          </w:p>
        </w:tc>
        <w:tc>
          <w:tcPr>
            <w:tcW w:w="3088" w:type="dxa"/>
            <w:vAlign w:val="center"/>
          </w:tcPr>
          <w:p>
            <w:pPr>
              <w:jc w:val="center"/>
              <w:rPr>
                <w:rFonts w:ascii="宋体" w:hAnsi="宋体"/>
                <w:b/>
                <w:bCs/>
                <w:color w:val="000000" w:themeColor="text1"/>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8" w:hRule="exact"/>
        </w:trPr>
        <w:tc>
          <w:tcPr>
            <w:tcW w:w="944" w:type="dxa"/>
            <w:vAlign w:val="center"/>
          </w:tcPr>
          <w:p>
            <w:pPr>
              <w:jc w:val="center"/>
              <w:rPr>
                <w:rFonts w:ascii="宋体" w:hAnsi="宋体"/>
                <w:b/>
                <w:bCs/>
                <w:color w:val="000000" w:themeColor="text1"/>
                <w14:textFill>
                  <w14:solidFill>
                    <w14:schemeClr w14:val="tx1"/>
                  </w14:solidFill>
                </w14:textFill>
              </w:rPr>
            </w:pPr>
          </w:p>
        </w:tc>
        <w:tc>
          <w:tcPr>
            <w:tcW w:w="1436" w:type="dxa"/>
            <w:vAlign w:val="center"/>
          </w:tcPr>
          <w:p>
            <w:pPr>
              <w:jc w:val="center"/>
              <w:rPr>
                <w:rFonts w:ascii="宋体" w:hAnsi="宋体"/>
                <w:b/>
                <w:bCs/>
                <w:color w:val="000000" w:themeColor="text1"/>
                <w14:textFill>
                  <w14:solidFill>
                    <w14:schemeClr w14:val="tx1"/>
                  </w14:solidFill>
                </w14:textFill>
              </w:rPr>
            </w:pPr>
          </w:p>
        </w:tc>
        <w:tc>
          <w:tcPr>
            <w:tcW w:w="2258" w:type="dxa"/>
            <w:vAlign w:val="center"/>
          </w:tcPr>
          <w:p>
            <w:pPr>
              <w:jc w:val="center"/>
              <w:rPr>
                <w:rFonts w:ascii="宋体" w:hAnsi="宋体"/>
                <w:b/>
                <w:bCs/>
                <w:color w:val="000000" w:themeColor="text1"/>
                <w14:textFill>
                  <w14:solidFill>
                    <w14:schemeClr w14:val="tx1"/>
                  </w14:solidFill>
                </w14:textFill>
              </w:rPr>
            </w:pPr>
          </w:p>
        </w:tc>
        <w:tc>
          <w:tcPr>
            <w:tcW w:w="2053" w:type="dxa"/>
            <w:vAlign w:val="center"/>
          </w:tcPr>
          <w:p>
            <w:pPr>
              <w:jc w:val="center"/>
              <w:rPr>
                <w:rFonts w:ascii="宋体" w:hAnsi="宋体"/>
                <w:b/>
                <w:bCs/>
                <w:color w:val="000000" w:themeColor="text1"/>
                <w14:textFill>
                  <w14:solidFill>
                    <w14:schemeClr w14:val="tx1"/>
                  </w14:solidFill>
                </w14:textFill>
              </w:rPr>
            </w:pPr>
          </w:p>
        </w:tc>
        <w:tc>
          <w:tcPr>
            <w:tcW w:w="3088" w:type="dxa"/>
            <w:vAlign w:val="center"/>
          </w:tcPr>
          <w:p>
            <w:pPr>
              <w:jc w:val="center"/>
              <w:rPr>
                <w:rFonts w:ascii="宋体" w:hAnsi="宋体"/>
                <w:b/>
                <w:bCs/>
                <w:color w:val="000000" w:themeColor="text1"/>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8" w:hRule="exact"/>
        </w:trPr>
        <w:tc>
          <w:tcPr>
            <w:tcW w:w="944" w:type="dxa"/>
            <w:vAlign w:val="center"/>
          </w:tcPr>
          <w:p>
            <w:pPr>
              <w:jc w:val="center"/>
              <w:rPr>
                <w:rFonts w:ascii="宋体" w:hAnsi="宋体"/>
                <w:b/>
                <w:bCs/>
                <w:color w:val="000000" w:themeColor="text1"/>
                <w14:textFill>
                  <w14:solidFill>
                    <w14:schemeClr w14:val="tx1"/>
                  </w14:solidFill>
                </w14:textFill>
              </w:rPr>
            </w:pPr>
          </w:p>
        </w:tc>
        <w:tc>
          <w:tcPr>
            <w:tcW w:w="1436" w:type="dxa"/>
            <w:vAlign w:val="center"/>
          </w:tcPr>
          <w:p>
            <w:pPr>
              <w:jc w:val="center"/>
              <w:rPr>
                <w:rFonts w:ascii="宋体" w:hAnsi="宋体"/>
                <w:b/>
                <w:bCs/>
                <w:color w:val="000000" w:themeColor="text1"/>
                <w14:textFill>
                  <w14:solidFill>
                    <w14:schemeClr w14:val="tx1"/>
                  </w14:solidFill>
                </w14:textFill>
              </w:rPr>
            </w:pPr>
          </w:p>
        </w:tc>
        <w:tc>
          <w:tcPr>
            <w:tcW w:w="2258" w:type="dxa"/>
            <w:vAlign w:val="center"/>
          </w:tcPr>
          <w:p>
            <w:pPr>
              <w:jc w:val="center"/>
              <w:rPr>
                <w:rFonts w:ascii="宋体" w:hAnsi="宋体"/>
                <w:b/>
                <w:bCs/>
                <w:color w:val="000000" w:themeColor="text1"/>
                <w14:textFill>
                  <w14:solidFill>
                    <w14:schemeClr w14:val="tx1"/>
                  </w14:solidFill>
                </w14:textFill>
              </w:rPr>
            </w:pPr>
          </w:p>
        </w:tc>
        <w:tc>
          <w:tcPr>
            <w:tcW w:w="2053" w:type="dxa"/>
            <w:vAlign w:val="center"/>
          </w:tcPr>
          <w:p>
            <w:pPr>
              <w:jc w:val="center"/>
              <w:rPr>
                <w:rFonts w:ascii="宋体" w:hAnsi="宋体"/>
                <w:b/>
                <w:bCs/>
                <w:color w:val="000000" w:themeColor="text1"/>
                <w14:textFill>
                  <w14:solidFill>
                    <w14:schemeClr w14:val="tx1"/>
                  </w14:solidFill>
                </w14:textFill>
              </w:rPr>
            </w:pPr>
          </w:p>
        </w:tc>
        <w:tc>
          <w:tcPr>
            <w:tcW w:w="3088" w:type="dxa"/>
            <w:vAlign w:val="center"/>
          </w:tcPr>
          <w:p>
            <w:pPr>
              <w:jc w:val="center"/>
              <w:rPr>
                <w:rFonts w:ascii="宋体" w:hAnsi="宋体"/>
                <w:b/>
                <w:bCs/>
                <w:color w:val="000000" w:themeColor="text1"/>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8" w:hRule="exact"/>
        </w:trPr>
        <w:tc>
          <w:tcPr>
            <w:tcW w:w="944" w:type="dxa"/>
            <w:vAlign w:val="center"/>
          </w:tcPr>
          <w:p>
            <w:pPr>
              <w:jc w:val="center"/>
              <w:rPr>
                <w:rFonts w:ascii="宋体" w:hAnsi="宋体"/>
                <w:b/>
                <w:bCs/>
                <w:color w:val="000000" w:themeColor="text1"/>
                <w14:textFill>
                  <w14:solidFill>
                    <w14:schemeClr w14:val="tx1"/>
                  </w14:solidFill>
                </w14:textFill>
              </w:rPr>
            </w:pPr>
          </w:p>
        </w:tc>
        <w:tc>
          <w:tcPr>
            <w:tcW w:w="1436" w:type="dxa"/>
            <w:vAlign w:val="center"/>
          </w:tcPr>
          <w:p>
            <w:pPr>
              <w:jc w:val="center"/>
              <w:rPr>
                <w:rFonts w:ascii="宋体" w:hAnsi="宋体"/>
                <w:b/>
                <w:bCs/>
                <w:color w:val="000000" w:themeColor="text1"/>
                <w14:textFill>
                  <w14:solidFill>
                    <w14:schemeClr w14:val="tx1"/>
                  </w14:solidFill>
                </w14:textFill>
              </w:rPr>
            </w:pPr>
          </w:p>
        </w:tc>
        <w:tc>
          <w:tcPr>
            <w:tcW w:w="2258" w:type="dxa"/>
            <w:vAlign w:val="center"/>
          </w:tcPr>
          <w:p>
            <w:pPr>
              <w:jc w:val="center"/>
              <w:rPr>
                <w:rFonts w:ascii="宋体" w:hAnsi="宋体"/>
                <w:b/>
                <w:bCs/>
                <w:color w:val="000000" w:themeColor="text1"/>
                <w14:textFill>
                  <w14:solidFill>
                    <w14:schemeClr w14:val="tx1"/>
                  </w14:solidFill>
                </w14:textFill>
              </w:rPr>
            </w:pPr>
          </w:p>
        </w:tc>
        <w:tc>
          <w:tcPr>
            <w:tcW w:w="2053" w:type="dxa"/>
            <w:vAlign w:val="center"/>
          </w:tcPr>
          <w:p>
            <w:pPr>
              <w:jc w:val="center"/>
              <w:rPr>
                <w:rFonts w:ascii="宋体" w:hAnsi="宋体"/>
                <w:b/>
                <w:bCs/>
                <w:color w:val="000000" w:themeColor="text1"/>
                <w14:textFill>
                  <w14:solidFill>
                    <w14:schemeClr w14:val="tx1"/>
                  </w14:solidFill>
                </w14:textFill>
              </w:rPr>
            </w:pPr>
          </w:p>
        </w:tc>
        <w:tc>
          <w:tcPr>
            <w:tcW w:w="3088" w:type="dxa"/>
            <w:vAlign w:val="center"/>
          </w:tcPr>
          <w:p>
            <w:pPr>
              <w:jc w:val="center"/>
              <w:rPr>
                <w:rFonts w:ascii="宋体" w:hAnsi="宋体"/>
                <w:b/>
                <w:bCs/>
                <w:color w:val="000000" w:themeColor="text1"/>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8" w:hRule="exact"/>
        </w:trPr>
        <w:tc>
          <w:tcPr>
            <w:tcW w:w="944" w:type="dxa"/>
            <w:vAlign w:val="center"/>
          </w:tcPr>
          <w:p>
            <w:pPr>
              <w:jc w:val="center"/>
              <w:rPr>
                <w:rFonts w:ascii="宋体" w:hAnsi="宋体"/>
                <w:b/>
                <w:bCs/>
                <w:color w:val="000000" w:themeColor="text1"/>
                <w14:textFill>
                  <w14:solidFill>
                    <w14:schemeClr w14:val="tx1"/>
                  </w14:solidFill>
                </w14:textFill>
              </w:rPr>
            </w:pPr>
          </w:p>
        </w:tc>
        <w:tc>
          <w:tcPr>
            <w:tcW w:w="1436" w:type="dxa"/>
            <w:vAlign w:val="center"/>
          </w:tcPr>
          <w:p>
            <w:pPr>
              <w:jc w:val="center"/>
              <w:rPr>
                <w:rFonts w:ascii="宋体" w:hAnsi="宋体"/>
                <w:b/>
                <w:bCs/>
                <w:color w:val="000000" w:themeColor="text1"/>
                <w14:textFill>
                  <w14:solidFill>
                    <w14:schemeClr w14:val="tx1"/>
                  </w14:solidFill>
                </w14:textFill>
              </w:rPr>
            </w:pPr>
          </w:p>
        </w:tc>
        <w:tc>
          <w:tcPr>
            <w:tcW w:w="2258" w:type="dxa"/>
            <w:vAlign w:val="center"/>
          </w:tcPr>
          <w:p>
            <w:pPr>
              <w:jc w:val="center"/>
              <w:rPr>
                <w:rFonts w:ascii="宋体" w:hAnsi="宋体"/>
                <w:b/>
                <w:bCs/>
                <w:color w:val="000000" w:themeColor="text1"/>
                <w14:textFill>
                  <w14:solidFill>
                    <w14:schemeClr w14:val="tx1"/>
                  </w14:solidFill>
                </w14:textFill>
              </w:rPr>
            </w:pPr>
          </w:p>
        </w:tc>
        <w:tc>
          <w:tcPr>
            <w:tcW w:w="2053" w:type="dxa"/>
            <w:vAlign w:val="center"/>
          </w:tcPr>
          <w:p>
            <w:pPr>
              <w:jc w:val="center"/>
              <w:rPr>
                <w:rFonts w:ascii="宋体" w:hAnsi="宋体"/>
                <w:b/>
                <w:bCs/>
                <w:color w:val="000000" w:themeColor="text1"/>
                <w14:textFill>
                  <w14:solidFill>
                    <w14:schemeClr w14:val="tx1"/>
                  </w14:solidFill>
                </w14:textFill>
              </w:rPr>
            </w:pPr>
          </w:p>
        </w:tc>
        <w:tc>
          <w:tcPr>
            <w:tcW w:w="3088" w:type="dxa"/>
            <w:vAlign w:val="center"/>
          </w:tcPr>
          <w:p>
            <w:pPr>
              <w:jc w:val="center"/>
              <w:rPr>
                <w:rFonts w:ascii="宋体" w:hAnsi="宋体"/>
                <w:b/>
                <w:bCs/>
                <w:color w:val="000000" w:themeColor="text1"/>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8" w:hRule="exact"/>
        </w:trPr>
        <w:tc>
          <w:tcPr>
            <w:tcW w:w="944" w:type="dxa"/>
            <w:vAlign w:val="center"/>
          </w:tcPr>
          <w:p>
            <w:pPr>
              <w:jc w:val="center"/>
              <w:rPr>
                <w:rFonts w:ascii="宋体" w:hAnsi="宋体"/>
                <w:b/>
                <w:bCs/>
                <w:color w:val="000000" w:themeColor="text1"/>
                <w14:textFill>
                  <w14:solidFill>
                    <w14:schemeClr w14:val="tx1"/>
                  </w14:solidFill>
                </w14:textFill>
              </w:rPr>
            </w:pPr>
          </w:p>
        </w:tc>
        <w:tc>
          <w:tcPr>
            <w:tcW w:w="1436" w:type="dxa"/>
            <w:vAlign w:val="center"/>
          </w:tcPr>
          <w:p>
            <w:pPr>
              <w:jc w:val="center"/>
              <w:rPr>
                <w:rFonts w:ascii="宋体" w:hAnsi="宋体"/>
                <w:b/>
                <w:bCs/>
                <w:color w:val="000000" w:themeColor="text1"/>
                <w14:textFill>
                  <w14:solidFill>
                    <w14:schemeClr w14:val="tx1"/>
                  </w14:solidFill>
                </w14:textFill>
              </w:rPr>
            </w:pPr>
          </w:p>
        </w:tc>
        <w:tc>
          <w:tcPr>
            <w:tcW w:w="2258" w:type="dxa"/>
            <w:vAlign w:val="center"/>
          </w:tcPr>
          <w:p>
            <w:pPr>
              <w:jc w:val="center"/>
              <w:rPr>
                <w:rFonts w:ascii="宋体" w:hAnsi="宋体"/>
                <w:b/>
                <w:bCs/>
                <w:color w:val="000000" w:themeColor="text1"/>
                <w14:textFill>
                  <w14:solidFill>
                    <w14:schemeClr w14:val="tx1"/>
                  </w14:solidFill>
                </w14:textFill>
              </w:rPr>
            </w:pPr>
          </w:p>
        </w:tc>
        <w:tc>
          <w:tcPr>
            <w:tcW w:w="2053" w:type="dxa"/>
            <w:vAlign w:val="center"/>
          </w:tcPr>
          <w:p>
            <w:pPr>
              <w:jc w:val="center"/>
              <w:rPr>
                <w:rFonts w:ascii="宋体" w:hAnsi="宋体"/>
                <w:b/>
                <w:bCs/>
                <w:color w:val="000000" w:themeColor="text1"/>
                <w14:textFill>
                  <w14:solidFill>
                    <w14:schemeClr w14:val="tx1"/>
                  </w14:solidFill>
                </w14:textFill>
              </w:rPr>
            </w:pPr>
          </w:p>
        </w:tc>
        <w:tc>
          <w:tcPr>
            <w:tcW w:w="3088" w:type="dxa"/>
            <w:vAlign w:val="center"/>
          </w:tcPr>
          <w:p>
            <w:pPr>
              <w:jc w:val="center"/>
              <w:rPr>
                <w:rFonts w:ascii="宋体" w:hAnsi="宋体"/>
                <w:b/>
                <w:bCs/>
                <w:color w:val="000000" w:themeColor="text1"/>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8" w:hRule="exact"/>
        </w:trPr>
        <w:tc>
          <w:tcPr>
            <w:tcW w:w="944" w:type="dxa"/>
            <w:vAlign w:val="center"/>
          </w:tcPr>
          <w:p>
            <w:pPr>
              <w:jc w:val="center"/>
              <w:rPr>
                <w:rFonts w:ascii="宋体" w:hAnsi="宋体"/>
                <w:b/>
                <w:bCs/>
                <w:color w:val="000000" w:themeColor="text1"/>
                <w14:textFill>
                  <w14:solidFill>
                    <w14:schemeClr w14:val="tx1"/>
                  </w14:solidFill>
                </w14:textFill>
              </w:rPr>
            </w:pPr>
          </w:p>
        </w:tc>
        <w:tc>
          <w:tcPr>
            <w:tcW w:w="1436" w:type="dxa"/>
            <w:vAlign w:val="center"/>
          </w:tcPr>
          <w:p>
            <w:pPr>
              <w:jc w:val="center"/>
              <w:rPr>
                <w:rFonts w:ascii="宋体" w:hAnsi="宋体"/>
                <w:b/>
                <w:bCs/>
                <w:color w:val="000000" w:themeColor="text1"/>
                <w14:textFill>
                  <w14:solidFill>
                    <w14:schemeClr w14:val="tx1"/>
                  </w14:solidFill>
                </w14:textFill>
              </w:rPr>
            </w:pPr>
          </w:p>
        </w:tc>
        <w:tc>
          <w:tcPr>
            <w:tcW w:w="2258" w:type="dxa"/>
            <w:vAlign w:val="center"/>
          </w:tcPr>
          <w:p>
            <w:pPr>
              <w:jc w:val="center"/>
              <w:rPr>
                <w:rFonts w:ascii="宋体" w:hAnsi="宋体"/>
                <w:b/>
                <w:bCs/>
                <w:color w:val="000000" w:themeColor="text1"/>
                <w14:textFill>
                  <w14:solidFill>
                    <w14:schemeClr w14:val="tx1"/>
                  </w14:solidFill>
                </w14:textFill>
              </w:rPr>
            </w:pPr>
          </w:p>
        </w:tc>
        <w:tc>
          <w:tcPr>
            <w:tcW w:w="2053" w:type="dxa"/>
            <w:vAlign w:val="center"/>
          </w:tcPr>
          <w:p>
            <w:pPr>
              <w:jc w:val="center"/>
              <w:rPr>
                <w:rFonts w:ascii="宋体" w:hAnsi="宋体"/>
                <w:b/>
                <w:bCs/>
                <w:color w:val="000000" w:themeColor="text1"/>
                <w14:textFill>
                  <w14:solidFill>
                    <w14:schemeClr w14:val="tx1"/>
                  </w14:solidFill>
                </w14:textFill>
              </w:rPr>
            </w:pPr>
          </w:p>
        </w:tc>
        <w:tc>
          <w:tcPr>
            <w:tcW w:w="3088" w:type="dxa"/>
            <w:vAlign w:val="center"/>
          </w:tcPr>
          <w:p>
            <w:pPr>
              <w:jc w:val="center"/>
              <w:rPr>
                <w:rFonts w:ascii="宋体" w:hAnsi="宋体"/>
                <w:b/>
                <w:bCs/>
                <w:color w:val="000000" w:themeColor="text1"/>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8" w:hRule="exact"/>
        </w:trPr>
        <w:tc>
          <w:tcPr>
            <w:tcW w:w="944" w:type="dxa"/>
            <w:vAlign w:val="center"/>
          </w:tcPr>
          <w:p>
            <w:pPr>
              <w:jc w:val="center"/>
              <w:rPr>
                <w:rFonts w:ascii="宋体" w:hAnsi="宋体"/>
                <w:b/>
                <w:bCs/>
                <w:color w:val="000000" w:themeColor="text1"/>
                <w14:textFill>
                  <w14:solidFill>
                    <w14:schemeClr w14:val="tx1"/>
                  </w14:solidFill>
                </w14:textFill>
              </w:rPr>
            </w:pPr>
          </w:p>
        </w:tc>
        <w:tc>
          <w:tcPr>
            <w:tcW w:w="1436" w:type="dxa"/>
            <w:vAlign w:val="center"/>
          </w:tcPr>
          <w:p>
            <w:pPr>
              <w:jc w:val="center"/>
              <w:rPr>
                <w:rFonts w:ascii="宋体" w:hAnsi="宋体"/>
                <w:b/>
                <w:bCs/>
                <w:color w:val="000000" w:themeColor="text1"/>
                <w14:textFill>
                  <w14:solidFill>
                    <w14:schemeClr w14:val="tx1"/>
                  </w14:solidFill>
                </w14:textFill>
              </w:rPr>
            </w:pPr>
          </w:p>
        </w:tc>
        <w:tc>
          <w:tcPr>
            <w:tcW w:w="2258" w:type="dxa"/>
            <w:vAlign w:val="center"/>
          </w:tcPr>
          <w:p>
            <w:pPr>
              <w:jc w:val="center"/>
              <w:rPr>
                <w:rFonts w:ascii="宋体" w:hAnsi="宋体"/>
                <w:b/>
                <w:bCs/>
                <w:color w:val="000000" w:themeColor="text1"/>
                <w14:textFill>
                  <w14:solidFill>
                    <w14:schemeClr w14:val="tx1"/>
                  </w14:solidFill>
                </w14:textFill>
              </w:rPr>
            </w:pPr>
          </w:p>
        </w:tc>
        <w:tc>
          <w:tcPr>
            <w:tcW w:w="2053" w:type="dxa"/>
            <w:vAlign w:val="center"/>
          </w:tcPr>
          <w:p>
            <w:pPr>
              <w:jc w:val="center"/>
              <w:rPr>
                <w:rFonts w:ascii="宋体" w:hAnsi="宋体"/>
                <w:b/>
                <w:bCs/>
                <w:color w:val="000000" w:themeColor="text1"/>
                <w14:textFill>
                  <w14:solidFill>
                    <w14:schemeClr w14:val="tx1"/>
                  </w14:solidFill>
                </w14:textFill>
              </w:rPr>
            </w:pPr>
          </w:p>
        </w:tc>
        <w:tc>
          <w:tcPr>
            <w:tcW w:w="3088" w:type="dxa"/>
            <w:vAlign w:val="center"/>
          </w:tcPr>
          <w:p>
            <w:pPr>
              <w:jc w:val="center"/>
              <w:rPr>
                <w:rFonts w:ascii="宋体" w:hAnsi="宋体"/>
                <w:b/>
                <w:bCs/>
                <w:color w:val="000000" w:themeColor="text1"/>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8" w:hRule="exact"/>
        </w:trPr>
        <w:tc>
          <w:tcPr>
            <w:tcW w:w="944" w:type="dxa"/>
            <w:vAlign w:val="center"/>
          </w:tcPr>
          <w:p>
            <w:pPr>
              <w:jc w:val="center"/>
              <w:rPr>
                <w:rFonts w:ascii="宋体" w:hAnsi="宋体"/>
                <w:b/>
                <w:bCs/>
                <w:color w:val="000000" w:themeColor="text1"/>
                <w14:textFill>
                  <w14:solidFill>
                    <w14:schemeClr w14:val="tx1"/>
                  </w14:solidFill>
                </w14:textFill>
              </w:rPr>
            </w:pPr>
          </w:p>
        </w:tc>
        <w:tc>
          <w:tcPr>
            <w:tcW w:w="1436" w:type="dxa"/>
            <w:vAlign w:val="center"/>
          </w:tcPr>
          <w:p>
            <w:pPr>
              <w:jc w:val="center"/>
              <w:rPr>
                <w:rFonts w:ascii="宋体" w:hAnsi="宋体"/>
                <w:b/>
                <w:bCs/>
                <w:color w:val="000000" w:themeColor="text1"/>
                <w14:textFill>
                  <w14:solidFill>
                    <w14:schemeClr w14:val="tx1"/>
                  </w14:solidFill>
                </w14:textFill>
              </w:rPr>
            </w:pPr>
          </w:p>
        </w:tc>
        <w:tc>
          <w:tcPr>
            <w:tcW w:w="2258" w:type="dxa"/>
            <w:vAlign w:val="center"/>
          </w:tcPr>
          <w:p>
            <w:pPr>
              <w:jc w:val="center"/>
              <w:rPr>
                <w:rFonts w:ascii="宋体" w:hAnsi="宋体"/>
                <w:b/>
                <w:bCs/>
                <w:color w:val="000000" w:themeColor="text1"/>
                <w14:textFill>
                  <w14:solidFill>
                    <w14:schemeClr w14:val="tx1"/>
                  </w14:solidFill>
                </w14:textFill>
              </w:rPr>
            </w:pPr>
          </w:p>
        </w:tc>
        <w:tc>
          <w:tcPr>
            <w:tcW w:w="2053" w:type="dxa"/>
            <w:vAlign w:val="center"/>
          </w:tcPr>
          <w:p>
            <w:pPr>
              <w:jc w:val="center"/>
              <w:rPr>
                <w:rFonts w:ascii="宋体" w:hAnsi="宋体"/>
                <w:b/>
                <w:bCs/>
                <w:color w:val="000000" w:themeColor="text1"/>
                <w14:textFill>
                  <w14:solidFill>
                    <w14:schemeClr w14:val="tx1"/>
                  </w14:solidFill>
                </w14:textFill>
              </w:rPr>
            </w:pPr>
          </w:p>
        </w:tc>
        <w:tc>
          <w:tcPr>
            <w:tcW w:w="3088" w:type="dxa"/>
            <w:vAlign w:val="center"/>
          </w:tcPr>
          <w:p>
            <w:pPr>
              <w:jc w:val="center"/>
              <w:rPr>
                <w:rFonts w:ascii="宋体" w:hAnsi="宋体"/>
                <w:b/>
                <w:bCs/>
                <w:color w:val="000000" w:themeColor="text1"/>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8" w:hRule="exact"/>
        </w:trPr>
        <w:tc>
          <w:tcPr>
            <w:tcW w:w="944" w:type="dxa"/>
            <w:vAlign w:val="center"/>
          </w:tcPr>
          <w:p>
            <w:pPr>
              <w:jc w:val="center"/>
              <w:rPr>
                <w:rFonts w:ascii="宋体" w:hAnsi="宋体"/>
                <w:b/>
                <w:bCs/>
                <w:color w:val="000000" w:themeColor="text1"/>
                <w14:textFill>
                  <w14:solidFill>
                    <w14:schemeClr w14:val="tx1"/>
                  </w14:solidFill>
                </w14:textFill>
              </w:rPr>
            </w:pPr>
          </w:p>
        </w:tc>
        <w:tc>
          <w:tcPr>
            <w:tcW w:w="1436" w:type="dxa"/>
            <w:vAlign w:val="center"/>
          </w:tcPr>
          <w:p>
            <w:pPr>
              <w:jc w:val="center"/>
              <w:rPr>
                <w:rFonts w:ascii="宋体" w:hAnsi="宋体"/>
                <w:b/>
                <w:bCs/>
                <w:color w:val="000000" w:themeColor="text1"/>
                <w14:textFill>
                  <w14:solidFill>
                    <w14:schemeClr w14:val="tx1"/>
                  </w14:solidFill>
                </w14:textFill>
              </w:rPr>
            </w:pPr>
          </w:p>
        </w:tc>
        <w:tc>
          <w:tcPr>
            <w:tcW w:w="2258" w:type="dxa"/>
            <w:vAlign w:val="center"/>
          </w:tcPr>
          <w:p>
            <w:pPr>
              <w:jc w:val="center"/>
              <w:rPr>
                <w:rFonts w:ascii="宋体" w:hAnsi="宋体"/>
                <w:b/>
                <w:bCs/>
                <w:color w:val="000000" w:themeColor="text1"/>
                <w14:textFill>
                  <w14:solidFill>
                    <w14:schemeClr w14:val="tx1"/>
                  </w14:solidFill>
                </w14:textFill>
              </w:rPr>
            </w:pPr>
          </w:p>
        </w:tc>
        <w:tc>
          <w:tcPr>
            <w:tcW w:w="2053" w:type="dxa"/>
            <w:vAlign w:val="center"/>
          </w:tcPr>
          <w:p>
            <w:pPr>
              <w:jc w:val="center"/>
              <w:rPr>
                <w:rFonts w:ascii="宋体" w:hAnsi="宋体"/>
                <w:b/>
                <w:bCs/>
                <w:color w:val="000000" w:themeColor="text1"/>
                <w14:textFill>
                  <w14:solidFill>
                    <w14:schemeClr w14:val="tx1"/>
                  </w14:solidFill>
                </w14:textFill>
              </w:rPr>
            </w:pPr>
          </w:p>
        </w:tc>
        <w:tc>
          <w:tcPr>
            <w:tcW w:w="3088" w:type="dxa"/>
            <w:vAlign w:val="center"/>
          </w:tcPr>
          <w:p>
            <w:pPr>
              <w:jc w:val="center"/>
              <w:rPr>
                <w:rFonts w:ascii="宋体" w:hAnsi="宋体"/>
                <w:b/>
                <w:bCs/>
                <w:color w:val="000000" w:themeColor="text1"/>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8" w:hRule="exact"/>
        </w:trPr>
        <w:tc>
          <w:tcPr>
            <w:tcW w:w="944" w:type="dxa"/>
            <w:vAlign w:val="center"/>
          </w:tcPr>
          <w:p>
            <w:pPr>
              <w:jc w:val="center"/>
              <w:rPr>
                <w:rFonts w:ascii="宋体" w:hAnsi="宋体"/>
                <w:b/>
                <w:bCs/>
                <w:color w:val="000000" w:themeColor="text1"/>
                <w14:textFill>
                  <w14:solidFill>
                    <w14:schemeClr w14:val="tx1"/>
                  </w14:solidFill>
                </w14:textFill>
              </w:rPr>
            </w:pPr>
          </w:p>
        </w:tc>
        <w:tc>
          <w:tcPr>
            <w:tcW w:w="1436" w:type="dxa"/>
            <w:vAlign w:val="center"/>
          </w:tcPr>
          <w:p>
            <w:pPr>
              <w:jc w:val="center"/>
              <w:rPr>
                <w:rFonts w:ascii="宋体" w:hAnsi="宋体"/>
                <w:b/>
                <w:bCs/>
                <w:color w:val="000000" w:themeColor="text1"/>
                <w14:textFill>
                  <w14:solidFill>
                    <w14:schemeClr w14:val="tx1"/>
                  </w14:solidFill>
                </w14:textFill>
              </w:rPr>
            </w:pPr>
          </w:p>
        </w:tc>
        <w:tc>
          <w:tcPr>
            <w:tcW w:w="2258" w:type="dxa"/>
            <w:vAlign w:val="center"/>
          </w:tcPr>
          <w:p>
            <w:pPr>
              <w:jc w:val="center"/>
              <w:rPr>
                <w:rFonts w:ascii="宋体" w:hAnsi="宋体"/>
                <w:b/>
                <w:bCs/>
                <w:color w:val="000000" w:themeColor="text1"/>
                <w14:textFill>
                  <w14:solidFill>
                    <w14:schemeClr w14:val="tx1"/>
                  </w14:solidFill>
                </w14:textFill>
              </w:rPr>
            </w:pPr>
          </w:p>
        </w:tc>
        <w:tc>
          <w:tcPr>
            <w:tcW w:w="2053" w:type="dxa"/>
            <w:vAlign w:val="center"/>
          </w:tcPr>
          <w:p>
            <w:pPr>
              <w:jc w:val="center"/>
              <w:rPr>
                <w:rFonts w:ascii="宋体" w:hAnsi="宋体"/>
                <w:b/>
                <w:bCs/>
                <w:color w:val="000000" w:themeColor="text1"/>
                <w14:textFill>
                  <w14:solidFill>
                    <w14:schemeClr w14:val="tx1"/>
                  </w14:solidFill>
                </w14:textFill>
              </w:rPr>
            </w:pPr>
          </w:p>
        </w:tc>
        <w:tc>
          <w:tcPr>
            <w:tcW w:w="3088" w:type="dxa"/>
            <w:vAlign w:val="center"/>
          </w:tcPr>
          <w:p>
            <w:pPr>
              <w:jc w:val="center"/>
              <w:rPr>
                <w:rFonts w:ascii="宋体" w:hAnsi="宋体"/>
                <w:b/>
                <w:bCs/>
                <w:color w:val="000000" w:themeColor="text1"/>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9" w:hRule="exact"/>
        </w:trPr>
        <w:tc>
          <w:tcPr>
            <w:tcW w:w="944" w:type="dxa"/>
            <w:vAlign w:val="center"/>
          </w:tcPr>
          <w:p>
            <w:pPr>
              <w:jc w:val="center"/>
              <w:rPr>
                <w:rFonts w:ascii="宋体" w:hAnsi="宋体"/>
                <w:b/>
                <w:bCs/>
                <w:color w:val="000000" w:themeColor="text1"/>
                <w14:textFill>
                  <w14:solidFill>
                    <w14:schemeClr w14:val="tx1"/>
                  </w14:solidFill>
                </w14:textFill>
              </w:rPr>
            </w:pPr>
          </w:p>
        </w:tc>
        <w:tc>
          <w:tcPr>
            <w:tcW w:w="1436" w:type="dxa"/>
            <w:vAlign w:val="center"/>
          </w:tcPr>
          <w:p>
            <w:pPr>
              <w:jc w:val="center"/>
              <w:rPr>
                <w:rFonts w:ascii="宋体" w:hAnsi="宋体"/>
                <w:b/>
                <w:bCs/>
                <w:color w:val="000000" w:themeColor="text1"/>
                <w14:textFill>
                  <w14:solidFill>
                    <w14:schemeClr w14:val="tx1"/>
                  </w14:solidFill>
                </w14:textFill>
              </w:rPr>
            </w:pPr>
          </w:p>
        </w:tc>
        <w:tc>
          <w:tcPr>
            <w:tcW w:w="2258" w:type="dxa"/>
            <w:vAlign w:val="center"/>
          </w:tcPr>
          <w:p>
            <w:pPr>
              <w:jc w:val="center"/>
              <w:rPr>
                <w:rFonts w:ascii="宋体" w:hAnsi="宋体"/>
                <w:b/>
                <w:bCs/>
                <w:color w:val="000000" w:themeColor="text1"/>
                <w14:textFill>
                  <w14:solidFill>
                    <w14:schemeClr w14:val="tx1"/>
                  </w14:solidFill>
                </w14:textFill>
              </w:rPr>
            </w:pPr>
          </w:p>
        </w:tc>
        <w:tc>
          <w:tcPr>
            <w:tcW w:w="2053" w:type="dxa"/>
            <w:vAlign w:val="center"/>
          </w:tcPr>
          <w:p>
            <w:pPr>
              <w:jc w:val="center"/>
              <w:rPr>
                <w:rFonts w:ascii="宋体" w:hAnsi="宋体"/>
                <w:b/>
                <w:bCs/>
                <w:color w:val="000000" w:themeColor="text1"/>
                <w14:textFill>
                  <w14:solidFill>
                    <w14:schemeClr w14:val="tx1"/>
                  </w14:solidFill>
                </w14:textFill>
              </w:rPr>
            </w:pPr>
          </w:p>
        </w:tc>
        <w:tc>
          <w:tcPr>
            <w:tcW w:w="3088" w:type="dxa"/>
            <w:vAlign w:val="center"/>
          </w:tcPr>
          <w:p>
            <w:pPr>
              <w:jc w:val="center"/>
              <w:rPr>
                <w:rFonts w:ascii="宋体" w:hAnsi="宋体"/>
                <w:b/>
                <w:bCs/>
                <w:color w:val="000000" w:themeColor="text1"/>
                <w14:textFill>
                  <w14:solidFill>
                    <w14:schemeClr w14:val="tx1"/>
                  </w14:solidFill>
                </w14:textFill>
              </w:rPr>
            </w:pPr>
          </w:p>
        </w:tc>
      </w:tr>
    </w:tbl>
    <w:p>
      <w:pPr>
        <w:snapToGrid w:val="0"/>
        <w:spacing w:line="360" w:lineRule="auto"/>
        <w:ind w:right="-351" w:rightChars="-167"/>
        <w:rPr>
          <w:rFonts w:ascii="宋体"/>
          <w:color w:val="000000" w:themeColor="text1"/>
          <w:spacing w:val="4"/>
          <w:sz w:val="24"/>
          <w14:textFill>
            <w14:solidFill>
              <w14:schemeClr w14:val="tx1"/>
            </w14:solidFill>
          </w14:textFill>
        </w:rPr>
        <w:sectPr>
          <w:footerReference r:id="rId5" w:type="first"/>
          <w:footerReference r:id="rId3" w:type="default"/>
          <w:footerReference r:id="rId4" w:type="even"/>
          <w:pgSz w:w="11906" w:h="16838"/>
          <w:pgMar w:top="1440" w:right="1163" w:bottom="1440" w:left="1083" w:header="851" w:footer="992" w:gutter="0"/>
          <w:cols w:space="425" w:num="1"/>
          <w:titlePg/>
          <w:docGrid w:type="lines" w:linePitch="312" w:charSpace="0"/>
        </w:sectPr>
      </w:pPr>
    </w:p>
    <w:p>
      <w:pPr>
        <w:pStyle w:val="3"/>
        <w:rPr>
          <w:rFonts w:ascii="宋体"/>
          <w:color w:val="000000"/>
          <w:sz w:val="36"/>
          <w:szCs w:val="36"/>
        </w:rPr>
      </w:pPr>
      <w:r>
        <w:rPr>
          <w:rFonts w:hint="eastAsia" w:ascii="宋体" w:hAnsi="宋体" w:cs="宋体"/>
          <w:b w:val="0"/>
          <w:bCs w:val="0"/>
          <w:sz w:val="21"/>
          <w:szCs w:val="21"/>
        </w:rPr>
        <w:t>附件4：</w:t>
      </w:r>
      <w:bookmarkEnd w:id="23"/>
    </w:p>
    <w:p>
      <w:pPr>
        <w:snapToGrid w:val="0"/>
        <w:spacing w:line="360" w:lineRule="auto"/>
        <w:ind w:right="-351" w:rightChars="-167" w:firstLine="5251" w:firstLineChars="1453"/>
        <w:rPr>
          <w:rFonts w:ascii="宋体"/>
          <w:b/>
          <w:bCs/>
          <w:color w:val="000000"/>
          <w:sz w:val="36"/>
          <w:szCs w:val="36"/>
        </w:rPr>
      </w:pPr>
      <w:r>
        <w:rPr>
          <w:rFonts w:hint="eastAsia" w:ascii="宋体" w:hAnsi="宋体" w:cs="宋体"/>
          <w:b/>
          <w:bCs/>
          <w:color w:val="000000"/>
          <w:sz w:val="36"/>
          <w:szCs w:val="36"/>
        </w:rPr>
        <w:t>投标报价总表</w:t>
      </w:r>
    </w:p>
    <w:tbl>
      <w:tblPr>
        <w:tblStyle w:val="17"/>
        <w:tblW w:w="14206" w:type="dxa"/>
        <w:tblInd w:w="-10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344"/>
        <w:gridCol w:w="1704"/>
        <w:gridCol w:w="2973"/>
        <w:gridCol w:w="2277"/>
        <w:gridCol w:w="1322"/>
        <w:gridCol w:w="1295"/>
        <w:gridCol w:w="1861"/>
        <w:gridCol w:w="1430"/>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3" w:hRule="atLeast"/>
        </w:trPr>
        <w:tc>
          <w:tcPr>
            <w:tcW w:w="1344" w:type="dxa"/>
            <w:vAlign w:val="center"/>
          </w:tcPr>
          <w:p>
            <w:pPr>
              <w:spacing w:line="360" w:lineRule="auto"/>
              <w:jc w:val="center"/>
              <w:rPr>
                <w:rFonts w:ascii="宋体"/>
                <w:b/>
                <w:bCs/>
                <w:color w:val="000000"/>
              </w:rPr>
            </w:pPr>
            <w:r>
              <w:rPr>
                <w:rFonts w:hint="eastAsia" w:ascii="宋体" w:hAnsi="宋体" w:cs="宋体"/>
                <w:b/>
                <w:bCs/>
                <w:color w:val="000000"/>
                <w:sz w:val="24"/>
                <w:szCs w:val="24"/>
              </w:rPr>
              <w:t>项目名称</w:t>
            </w:r>
          </w:p>
        </w:tc>
        <w:tc>
          <w:tcPr>
            <w:tcW w:w="12862" w:type="dxa"/>
            <w:gridSpan w:val="7"/>
            <w:vAlign w:val="center"/>
          </w:tcPr>
          <w:p>
            <w:pPr>
              <w:spacing w:line="360" w:lineRule="auto"/>
              <w:jc w:val="center"/>
              <w:rPr>
                <w:rFonts w:ascii="宋体"/>
                <w:b/>
                <w:bCs/>
                <w:color w:val="000000"/>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39" w:hRule="atLeast"/>
        </w:trPr>
        <w:tc>
          <w:tcPr>
            <w:tcW w:w="1344" w:type="dxa"/>
            <w:vAlign w:val="center"/>
          </w:tcPr>
          <w:p>
            <w:pPr>
              <w:spacing w:line="360" w:lineRule="auto"/>
              <w:jc w:val="center"/>
              <w:rPr>
                <w:rFonts w:ascii="宋体"/>
                <w:b/>
                <w:bCs/>
                <w:color w:val="000000"/>
              </w:rPr>
            </w:pPr>
            <w:r>
              <w:rPr>
                <w:rFonts w:hint="eastAsia" w:ascii="宋体" w:hAnsi="宋体" w:cs="宋体"/>
                <w:b/>
                <w:bCs/>
                <w:color w:val="000000"/>
              </w:rPr>
              <w:t>序号</w:t>
            </w:r>
          </w:p>
        </w:tc>
        <w:tc>
          <w:tcPr>
            <w:tcW w:w="1704" w:type="dxa"/>
            <w:vAlign w:val="center"/>
          </w:tcPr>
          <w:p>
            <w:pPr>
              <w:spacing w:line="360" w:lineRule="auto"/>
              <w:jc w:val="center"/>
              <w:rPr>
                <w:rFonts w:ascii="宋体"/>
                <w:b/>
                <w:bCs/>
                <w:color w:val="000000"/>
              </w:rPr>
            </w:pPr>
            <w:r>
              <w:rPr>
                <w:rFonts w:hint="eastAsia" w:ascii="宋体" w:hAnsi="宋体" w:cs="宋体"/>
                <w:b/>
                <w:bCs/>
                <w:color w:val="000000"/>
              </w:rPr>
              <w:t>名称</w:t>
            </w:r>
          </w:p>
        </w:tc>
        <w:tc>
          <w:tcPr>
            <w:tcW w:w="2973" w:type="dxa"/>
            <w:vAlign w:val="center"/>
          </w:tcPr>
          <w:p>
            <w:pPr>
              <w:spacing w:line="360" w:lineRule="auto"/>
              <w:jc w:val="center"/>
              <w:rPr>
                <w:rFonts w:ascii="宋体"/>
                <w:b/>
                <w:bCs/>
                <w:color w:val="000000"/>
              </w:rPr>
            </w:pPr>
            <w:r>
              <w:rPr>
                <w:rFonts w:hint="eastAsia" w:ascii="宋体" w:hAnsi="宋体" w:cs="宋体"/>
                <w:b/>
                <w:bCs/>
                <w:color w:val="000000"/>
              </w:rPr>
              <w:t>规格型号</w:t>
            </w:r>
          </w:p>
        </w:tc>
        <w:tc>
          <w:tcPr>
            <w:tcW w:w="2277" w:type="dxa"/>
            <w:vAlign w:val="center"/>
          </w:tcPr>
          <w:p>
            <w:pPr>
              <w:spacing w:line="360" w:lineRule="auto"/>
              <w:jc w:val="center"/>
              <w:rPr>
                <w:rFonts w:ascii="宋体"/>
                <w:b/>
                <w:bCs/>
                <w:color w:val="000000"/>
              </w:rPr>
            </w:pPr>
            <w:r>
              <w:rPr>
                <w:rFonts w:hint="eastAsia" w:ascii="宋体" w:hAnsi="宋体" w:cs="宋体"/>
                <w:b/>
                <w:bCs/>
                <w:color w:val="000000"/>
              </w:rPr>
              <w:t>生产厂商</w:t>
            </w:r>
          </w:p>
        </w:tc>
        <w:tc>
          <w:tcPr>
            <w:tcW w:w="1322" w:type="dxa"/>
            <w:vAlign w:val="center"/>
          </w:tcPr>
          <w:p>
            <w:pPr>
              <w:spacing w:line="360" w:lineRule="auto"/>
              <w:jc w:val="center"/>
              <w:rPr>
                <w:rFonts w:ascii="宋体"/>
                <w:b/>
                <w:bCs/>
                <w:color w:val="000000"/>
              </w:rPr>
            </w:pPr>
            <w:r>
              <w:rPr>
                <w:rFonts w:hint="eastAsia" w:ascii="宋体" w:hAnsi="宋体" w:cs="宋体"/>
                <w:b/>
                <w:bCs/>
                <w:color w:val="000000"/>
              </w:rPr>
              <w:t>数量</w:t>
            </w:r>
          </w:p>
        </w:tc>
        <w:tc>
          <w:tcPr>
            <w:tcW w:w="3156" w:type="dxa"/>
            <w:gridSpan w:val="2"/>
            <w:vAlign w:val="center"/>
          </w:tcPr>
          <w:p>
            <w:pPr>
              <w:spacing w:line="360" w:lineRule="auto"/>
              <w:jc w:val="center"/>
              <w:rPr>
                <w:rFonts w:ascii="宋体"/>
                <w:b/>
                <w:bCs/>
                <w:color w:val="000000"/>
              </w:rPr>
            </w:pPr>
            <w:r>
              <w:rPr>
                <w:rFonts w:hint="eastAsia" w:ascii="宋体" w:hAnsi="宋体" w:cs="宋体"/>
                <w:b/>
                <w:bCs/>
                <w:color w:val="000000"/>
                <w:lang w:eastAsia="zh-CN"/>
              </w:rPr>
              <w:t>价格（元）</w:t>
            </w:r>
          </w:p>
        </w:tc>
        <w:tc>
          <w:tcPr>
            <w:tcW w:w="1430" w:type="dxa"/>
            <w:tcBorders>
              <w:bottom w:val="single" w:color="auto" w:sz="4" w:space="0"/>
            </w:tcBorders>
            <w:vAlign w:val="center"/>
          </w:tcPr>
          <w:p>
            <w:pPr>
              <w:spacing w:line="360" w:lineRule="auto"/>
              <w:jc w:val="center"/>
              <w:rPr>
                <w:rFonts w:ascii="宋体"/>
                <w:b/>
                <w:bCs/>
                <w:color w:val="000000"/>
              </w:rPr>
            </w:pPr>
            <w:r>
              <w:rPr>
                <w:rFonts w:hint="eastAsia" w:ascii="宋体"/>
                <w:b/>
                <w:bCs/>
                <w:color w:val="000000"/>
              </w:rPr>
              <w:t>备注</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18" w:hRule="exact"/>
        </w:trPr>
        <w:tc>
          <w:tcPr>
            <w:tcW w:w="1344" w:type="dxa"/>
            <w:vAlign w:val="center"/>
          </w:tcPr>
          <w:p>
            <w:pPr>
              <w:spacing w:line="360" w:lineRule="auto"/>
              <w:jc w:val="center"/>
              <w:rPr>
                <w:rFonts w:ascii="宋体"/>
                <w:color w:val="000000"/>
                <w:sz w:val="24"/>
                <w:szCs w:val="24"/>
              </w:rPr>
            </w:pPr>
            <w:r>
              <w:rPr>
                <w:rFonts w:hint="eastAsia" w:ascii="宋体"/>
                <w:color w:val="000000"/>
                <w:sz w:val="24"/>
                <w:szCs w:val="24"/>
              </w:rPr>
              <w:t>1</w:t>
            </w:r>
          </w:p>
        </w:tc>
        <w:tc>
          <w:tcPr>
            <w:tcW w:w="1704" w:type="dxa"/>
            <w:vAlign w:val="center"/>
          </w:tcPr>
          <w:p>
            <w:pPr>
              <w:spacing w:line="360" w:lineRule="auto"/>
              <w:jc w:val="center"/>
              <w:rPr>
                <w:rFonts w:ascii="宋体"/>
                <w:color w:val="000000"/>
                <w:sz w:val="24"/>
                <w:szCs w:val="24"/>
              </w:rPr>
            </w:pPr>
            <w:r>
              <w:rPr>
                <w:rFonts w:hint="eastAsia" w:ascii="宋体"/>
                <w:color w:val="000000"/>
                <w:sz w:val="24"/>
                <w:szCs w:val="24"/>
              </w:rPr>
              <w:t>直饮机管理费</w:t>
            </w:r>
          </w:p>
        </w:tc>
        <w:tc>
          <w:tcPr>
            <w:tcW w:w="2973" w:type="dxa"/>
          </w:tcPr>
          <w:p>
            <w:pPr>
              <w:spacing w:line="360" w:lineRule="auto"/>
              <w:jc w:val="center"/>
              <w:rPr>
                <w:rFonts w:ascii="宋体"/>
                <w:color w:val="000000"/>
                <w:sz w:val="24"/>
                <w:szCs w:val="24"/>
              </w:rPr>
            </w:pPr>
          </w:p>
        </w:tc>
        <w:tc>
          <w:tcPr>
            <w:tcW w:w="2277" w:type="dxa"/>
          </w:tcPr>
          <w:p>
            <w:pPr>
              <w:spacing w:line="360" w:lineRule="auto"/>
              <w:rPr>
                <w:rFonts w:ascii="宋体"/>
                <w:color w:val="000000"/>
                <w:sz w:val="24"/>
                <w:szCs w:val="24"/>
              </w:rPr>
            </w:pPr>
          </w:p>
        </w:tc>
        <w:tc>
          <w:tcPr>
            <w:tcW w:w="1322" w:type="dxa"/>
          </w:tcPr>
          <w:p>
            <w:pPr>
              <w:spacing w:line="360" w:lineRule="auto"/>
              <w:jc w:val="center"/>
              <w:rPr>
                <w:rFonts w:ascii="宋体"/>
                <w:color w:val="000000"/>
                <w:sz w:val="24"/>
                <w:szCs w:val="24"/>
              </w:rPr>
            </w:pPr>
          </w:p>
        </w:tc>
        <w:tc>
          <w:tcPr>
            <w:tcW w:w="3156" w:type="dxa"/>
            <w:gridSpan w:val="2"/>
            <w:vAlign w:val="center"/>
          </w:tcPr>
          <w:p>
            <w:pPr>
              <w:spacing w:line="360" w:lineRule="auto"/>
              <w:jc w:val="center"/>
              <w:rPr>
                <w:rFonts w:hint="eastAsia" w:ascii="宋体" w:eastAsia="宋体"/>
                <w:color w:val="000000"/>
                <w:sz w:val="24"/>
                <w:szCs w:val="24"/>
                <w:lang w:val="en-US" w:eastAsia="zh-CN"/>
              </w:rPr>
            </w:pPr>
            <w:r>
              <w:rPr>
                <w:rFonts w:hint="eastAsia" w:ascii="宋体"/>
                <w:color w:val="000000"/>
                <w:sz w:val="24"/>
                <w:szCs w:val="24"/>
                <w:lang w:val="en-US" w:eastAsia="zh-CN"/>
              </w:rPr>
              <w:t>管理费为水电费的</w:t>
            </w:r>
            <w:r>
              <w:rPr>
                <w:rFonts w:hint="eastAsia" w:ascii="宋体"/>
                <w:color w:val="000000"/>
                <w:sz w:val="24"/>
                <w:szCs w:val="24"/>
                <w:u w:val="single"/>
                <w:lang w:val="en-US" w:eastAsia="zh-CN"/>
              </w:rPr>
              <w:t xml:space="preserve">     </w:t>
            </w:r>
            <w:r>
              <w:rPr>
                <w:rFonts w:hint="eastAsia" w:ascii="宋体"/>
                <w:color w:val="000000"/>
                <w:sz w:val="24"/>
                <w:szCs w:val="24"/>
                <w:lang w:val="en-US" w:eastAsia="zh-CN"/>
              </w:rPr>
              <w:t>%</w:t>
            </w:r>
          </w:p>
        </w:tc>
        <w:tc>
          <w:tcPr>
            <w:tcW w:w="1430" w:type="dxa"/>
            <w:vMerge w:val="restart"/>
            <w:tcBorders>
              <w:top w:val="single" w:color="auto" w:sz="4" w:space="0"/>
            </w:tcBorders>
          </w:tcPr>
          <w:p>
            <w:pPr>
              <w:spacing w:line="360" w:lineRule="auto"/>
              <w:rPr>
                <w:rFonts w:ascii="宋体"/>
                <w:color w:val="000000"/>
                <w:sz w:val="24"/>
                <w:szCs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18" w:hRule="exact"/>
        </w:trPr>
        <w:tc>
          <w:tcPr>
            <w:tcW w:w="1344" w:type="dxa"/>
            <w:vAlign w:val="center"/>
          </w:tcPr>
          <w:p>
            <w:pPr>
              <w:spacing w:line="360" w:lineRule="auto"/>
              <w:jc w:val="center"/>
              <w:rPr>
                <w:rFonts w:ascii="宋体"/>
                <w:color w:val="000000"/>
                <w:sz w:val="24"/>
                <w:szCs w:val="24"/>
              </w:rPr>
            </w:pPr>
            <w:r>
              <w:rPr>
                <w:rFonts w:hint="eastAsia" w:ascii="宋体"/>
                <w:color w:val="000000"/>
                <w:sz w:val="24"/>
                <w:szCs w:val="24"/>
              </w:rPr>
              <w:t>2</w:t>
            </w:r>
          </w:p>
        </w:tc>
        <w:tc>
          <w:tcPr>
            <w:tcW w:w="1704" w:type="dxa"/>
            <w:vAlign w:val="center"/>
          </w:tcPr>
          <w:p>
            <w:pPr>
              <w:spacing w:line="360" w:lineRule="auto"/>
              <w:jc w:val="center"/>
              <w:rPr>
                <w:rFonts w:ascii="宋体"/>
                <w:color w:val="000000"/>
                <w:sz w:val="24"/>
                <w:szCs w:val="24"/>
              </w:rPr>
            </w:pPr>
            <w:r>
              <w:rPr>
                <w:rFonts w:hint="eastAsia" w:ascii="宋体"/>
                <w:color w:val="000000"/>
                <w:sz w:val="24"/>
                <w:szCs w:val="24"/>
              </w:rPr>
              <w:t>普通开水</w:t>
            </w:r>
          </w:p>
        </w:tc>
        <w:tc>
          <w:tcPr>
            <w:tcW w:w="2973" w:type="dxa"/>
          </w:tcPr>
          <w:p>
            <w:pPr>
              <w:spacing w:line="360" w:lineRule="auto"/>
              <w:jc w:val="center"/>
              <w:rPr>
                <w:rFonts w:hint="default" w:ascii="宋体" w:eastAsia="宋体"/>
                <w:color w:val="000000"/>
                <w:sz w:val="24"/>
                <w:szCs w:val="24"/>
                <w:lang w:val="en-US" w:eastAsia="zh-CN"/>
              </w:rPr>
            </w:pPr>
            <w:r>
              <w:rPr>
                <w:rFonts w:hint="eastAsia" w:ascii="宋体"/>
                <w:color w:val="000000"/>
                <w:sz w:val="24"/>
                <w:szCs w:val="24"/>
                <w:lang w:val="en-US" w:eastAsia="zh-CN"/>
              </w:rPr>
              <w:t>温度≥95℃</w:t>
            </w:r>
          </w:p>
        </w:tc>
        <w:tc>
          <w:tcPr>
            <w:tcW w:w="2277" w:type="dxa"/>
          </w:tcPr>
          <w:p>
            <w:pPr>
              <w:spacing w:line="360" w:lineRule="auto"/>
              <w:rPr>
                <w:rFonts w:ascii="宋体"/>
                <w:color w:val="000000"/>
                <w:sz w:val="24"/>
                <w:szCs w:val="24"/>
              </w:rPr>
            </w:pPr>
          </w:p>
        </w:tc>
        <w:tc>
          <w:tcPr>
            <w:tcW w:w="1322" w:type="dxa"/>
          </w:tcPr>
          <w:p>
            <w:pPr>
              <w:spacing w:line="360" w:lineRule="auto"/>
              <w:jc w:val="center"/>
              <w:rPr>
                <w:rFonts w:hint="default" w:ascii="宋体" w:eastAsia="宋体"/>
                <w:color w:val="000000"/>
                <w:sz w:val="24"/>
                <w:szCs w:val="24"/>
                <w:lang w:val="en-US" w:eastAsia="zh-CN"/>
              </w:rPr>
            </w:pPr>
            <w:r>
              <w:rPr>
                <w:rFonts w:hint="eastAsia" w:ascii="宋体"/>
                <w:color w:val="000000"/>
                <w:sz w:val="24"/>
                <w:szCs w:val="24"/>
                <w:lang w:val="en-US" w:eastAsia="zh-CN"/>
              </w:rPr>
              <w:t>1L</w:t>
            </w:r>
          </w:p>
        </w:tc>
        <w:tc>
          <w:tcPr>
            <w:tcW w:w="3156" w:type="dxa"/>
            <w:gridSpan w:val="2"/>
          </w:tcPr>
          <w:p>
            <w:pPr>
              <w:spacing w:line="360" w:lineRule="auto"/>
              <w:rPr>
                <w:rFonts w:ascii="宋体"/>
                <w:color w:val="000000"/>
                <w:sz w:val="24"/>
                <w:szCs w:val="24"/>
              </w:rPr>
            </w:pPr>
          </w:p>
        </w:tc>
        <w:tc>
          <w:tcPr>
            <w:tcW w:w="1430" w:type="dxa"/>
            <w:vMerge w:val="continue"/>
          </w:tcPr>
          <w:p>
            <w:pPr>
              <w:spacing w:line="360" w:lineRule="auto"/>
              <w:rPr>
                <w:rFonts w:ascii="宋体"/>
                <w:color w:val="000000"/>
                <w:sz w:val="24"/>
                <w:szCs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13" w:hRule="exact"/>
        </w:trPr>
        <w:tc>
          <w:tcPr>
            <w:tcW w:w="1344" w:type="dxa"/>
            <w:vAlign w:val="center"/>
          </w:tcPr>
          <w:p>
            <w:pPr>
              <w:spacing w:line="360" w:lineRule="auto"/>
              <w:jc w:val="center"/>
              <w:rPr>
                <w:rFonts w:ascii="宋体"/>
                <w:color w:val="000000"/>
                <w:sz w:val="24"/>
                <w:szCs w:val="24"/>
              </w:rPr>
            </w:pPr>
            <w:r>
              <w:rPr>
                <w:rFonts w:hint="eastAsia" w:ascii="宋体"/>
                <w:color w:val="000000"/>
                <w:sz w:val="24"/>
                <w:szCs w:val="24"/>
              </w:rPr>
              <w:t>3</w:t>
            </w:r>
          </w:p>
        </w:tc>
        <w:tc>
          <w:tcPr>
            <w:tcW w:w="1704" w:type="dxa"/>
            <w:vAlign w:val="center"/>
          </w:tcPr>
          <w:p>
            <w:pPr>
              <w:spacing w:line="360" w:lineRule="auto"/>
              <w:jc w:val="center"/>
              <w:rPr>
                <w:rFonts w:ascii="宋体"/>
                <w:color w:val="000000"/>
                <w:sz w:val="24"/>
                <w:szCs w:val="24"/>
              </w:rPr>
            </w:pPr>
            <w:r>
              <w:rPr>
                <w:rFonts w:hint="eastAsia" w:ascii="宋体"/>
                <w:color w:val="000000"/>
                <w:sz w:val="24"/>
                <w:szCs w:val="24"/>
              </w:rPr>
              <w:t>常温直饮水</w:t>
            </w:r>
          </w:p>
        </w:tc>
        <w:tc>
          <w:tcPr>
            <w:tcW w:w="2973" w:type="dxa"/>
          </w:tcPr>
          <w:p>
            <w:pPr>
              <w:spacing w:line="360" w:lineRule="auto"/>
              <w:jc w:val="center"/>
              <w:rPr>
                <w:rFonts w:hint="default" w:ascii="宋体" w:eastAsia="宋体"/>
                <w:color w:val="000000"/>
                <w:sz w:val="24"/>
                <w:szCs w:val="24"/>
                <w:lang w:val="en-US" w:eastAsia="zh-CN"/>
              </w:rPr>
            </w:pPr>
            <w:r>
              <w:rPr>
                <w:rFonts w:hint="eastAsia" w:ascii="宋体"/>
                <w:color w:val="000000"/>
                <w:sz w:val="24"/>
                <w:szCs w:val="24"/>
                <w:lang w:val="en-US" w:eastAsia="zh-CN"/>
              </w:rPr>
              <w:t>常温</w:t>
            </w:r>
          </w:p>
        </w:tc>
        <w:tc>
          <w:tcPr>
            <w:tcW w:w="2277" w:type="dxa"/>
          </w:tcPr>
          <w:p>
            <w:pPr>
              <w:spacing w:line="360" w:lineRule="auto"/>
              <w:rPr>
                <w:rFonts w:ascii="宋体"/>
                <w:color w:val="000000"/>
                <w:sz w:val="24"/>
                <w:szCs w:val="24"/>
              </w:rPr>
            </w:pPr>
          </w:p>
        </w:tc>
        <w:tc>
          <w:tcPr>
            <w:tcW w:w="1322" w:type="dxa"/>
          </w:tcPr>
          <w:p>
            <w:pPr>
              <w:spacing w:line="360" w:lineRule="auto"/>
              <w:jc w:val="center"/>
              <w:rPr>
                <w:rFonts w:ascii="宋体"/>
                <w:color w:val="000000"/>
                <w:sz w:val="24"/>
                <w:szCs w:val="24"/>
              </w:rPr>
            </w:pPr>
            <w:r>
              <w:rPr>
                <w:rFonts w:hint="eastAsia" w:ascii="宋体"/>
                <w:color w:val="000000"/>
                <w:sz w:val="24"/>
                <w:szCs w:val="24"/>
                <w:lang w:val="en-US" w:eastAsia="zh-CN"/>
              </w:rPr>
              <w:t>1L</w:t>
            </w:r>
          </w:p>
        </w:tc>
        <w:tc>
          <w:tcPr>
            <w:tcW w:w="3156" w:type="dxa"/>
            <w:gridSpan w:val="2"/>
          </w:tcPr>
          <w:p>
            <w:pPr>
              <w:spacing w:line="360" w:lineRule="auto"/>
              <w:rPr>
                <w:rFonts w:ascii="宋体"/>
                <w:color w:val="000000"/>
                <w:sz w:val="24"/>
                <w:szCs w:val="24"/>
              </w:rPr>
            </w:pPr>
          </w:p>
        </w:tc>
        <w:tc>
          <w:tcPr>
            <w:tcW w:w="1430" w:type="dxa"/>
            <w:vMerge w:val="continue"/>
          </w:tcPr>
          <w:p>
            <w:pPr>
              <w:spacing w:line="360" w:lineRule="auto"/>
              <w:rPr>
                <w:rFonts w:ascii="宋体"/>
                <w:color w:val="000000"/>
                <w:sz w:val="24"/>
                <w:szCs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18" w:hRule="exact"/>
        </w:trPr>
        <w:tc>
          <w:tcPr>
            <w:tcW w:w="1344" w:type="dxa"/>
            <w:vAlign w:val="center"/>
          </w:tcPr>
          <w:p>
            <w:pPr>
              <w:spacing w:line="360" w:lineRule="auto"/>
              <w:jc w:val="center"/>
              <w:rPr>
                <w:rFonts w:ascii="宋体"/>
                <w:color w:val="000000"/>
                <w:sz w:val="24"/>
                <w:szCs w:val="24"/>
              </w:rPr>
            </w:pPr>
            <w:r>
              <w:rPr>
                <w:rFonts w:hint="eastAsia" w:ascii="宋体"/>
                <w:color w:val="000000"/>
                <w:sz w:val="24"/>
                <w:szCs w:val="24"/>
              </w:rPr>
              <w:t>4</w:t>
            </w:r>
          </w:p>
        </w:tc>
        <w:tc>
          <w:tcPr>
            <w:tcW w:w="1704" w:type="dxa"/>
            <w:vAlign w:val="center"/>
          </w:tcPr>
          <w:p>
            <w:pPr>
              <w:spacing w:line="360" w:lineRule="auto"/>
              <w:jc w:val="center"/>
              <w:rPr>
                <w:rFonts w:ascii="宋体"/>
                <w:color w:val="000000"/>
                <w:sz w:val="24"/>
                <w:szCs w:val="24"/>
              </w:rPr>
            </w:pPr>
            <w:r>
              <w:rPr>
                <w:rFonts w:hint="eastAsia" w:ascii="宋体"/>
                <w:color w:val="000000"/>
                <w:sz w:val="24"/>
                <w:szCs w:val="24"/>
              </w:rPr>
              <w:t>高温直饮水</w:t>
            </w:r>
          </w:p>
        </w:tc>
        <w:tc>
          <w:tcPr>
            <w:tcW w:w="2973" w:type="dxa"/>
          </w:tcPr>
          <w:p>
            <w:pPr>
              <w:spacing w:line="360" w:lineRule="auto"/>
              <w:jc w:val="center"/>
              <w:rPr>
                <w:rFonts w:hint="default" w:ascii="宋体" w:eastAsia="宋体"/>
                <w:color w:val="000000"/>
                <w:sz w:val="24"/>
                <w:szCs w:val="24"/>
                <w:lang w:val="en-US" w:eastAsia="zh-CN"/>
              </w:rPr>
            </w:pPr>
            <w:r>
              <w:rPr>
                <w:rFonts w:hint="eastAsia" w:ascii="宋体"/>
                <w:color w:val="000000"/>
                <w:sz w:val="24"/>
                <w:szCs w:val="24"/>
                <w:lang w:val="en-US" w:eastAsia="zh-CN"/>
              </w:rPr>
              <w:t>温度≥95℃</w:t>
            </w:r>
          </w:p>
        </w:tc>
        <w:tc>
          <w:tcPr>
            <w:tcW w:w="2277" w:type="dxa"/>
          </w:tcPr>
          <w:p>
            <w:pPr>
              <w:spacing w:line="360" w:lineRule="auto"/>
              <w:rPr>
                <w:rFonts w:ascii="宋体"/>
                <w:color w:val="000000"/>
                <w:sz w:val="24"/>
                <w:szCs w:val="24"/>
              </w:rPr>
            </w:pPr>
          </w:p>
        </w:tc>
        <w:tc>
          <w:tcPr>
            <w:tcW w:w="1322" w:type="dxa"/>
          </w:tcPr>
          <w:p>
            <w:pPr>
              <w:spacing w:line="360" w:lineRule="auto"/>
              <w:jc w:val="center"/>
              <w:rPr>
                <w:rFonts w:ascii="宋体"/>
                <w:color w:val="000000"/>
                <w:sz w:val="24"/>
                <w:szCs w:val="24"/>
              </w:rPr>
            </w:pPr>
            <w:r>
              <w:rPr>
                <w:rFonts w:hint="eastAsia" w:ascii="宋体"/>
                <w:color w:val="000000"/>
                <w:sz w:val="24"/>
                <w:szCs w:val="24"/>
                <w:lang w:val="en-US" w:eastAsia="zh-CN"/>
              </w:rPr>
              <w:t>1L</w:t>
            </w:r>
          </w:p>
        </w:tc>
        <w:tc>
          <w:tcPr>
            <w:tcW w:w="3156" w:type="dxa"/>
            <w:gridSpan w:val="2"/>
          </w:tcPr>
          <w:p>
            <w:pPr>
              <w:spacing w:line="360" w:lineRule="auto"/>
              <w:rPr>
                <w:rFonts w:ascii="宋体"/>
                <w:color w:val="000000"/>
                <w:sz w:val="24"/>
                <w:szCs w:val="24"/>
              </w:rPr>
            </w:pPr>
          </w:p>
        </w:tc>
        <w:tc>
          <w:tcPr>
            <w:tcW w:w="1430" w:type="dxa"/>
            <w:vMerge w:val="continue"/>
          </w:tcPr>
          <w:p>
            <w:pPr>
              <w:spacing w:line="360" w:lineRule="auto"/>
              <w:rPr>
                <w:rFonts w:ascii="宋体"/>
                <w:color w:val="000000"/>
                <w:sz w:val="24"/>
                <w:szCs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18" w:hRule="exact"/>
        </w:trPr>
        <w:tc>
          <w:tcPr>
            <w:tcW w:w="1344" w:type="dxa"/>
            <w:vAlign w:val="center"/>
          </w:tcPr>
          <w:p>
            <w:pPr>
              <w:spacing w:line="360" w:lineRule="auto"/>
              <w:jc w:val="center"/>
              <w:rPr>
                <w:rFonts w:ascii="宋体"/>
                <w:color w:val="000000"/>
                <w:sz w:val="24"/>
                <w:szCs w:val="24"/>
              </w:rPr>
            </w:pPr>
          </w:p>
        </w:tc>
        <w:tc>
          <w:tcPr>
            <w:tcW w:w="1704" w:type="dxa"/>
            <w:vAlign w:val="center"/>
          </w:tcPr>
          <w:p>
            <w:pPr>
              <w:spacing w:line="360" w:lineRule="auto"/>
              <w:jc w:val="center"/>
              <w:rPr>
                <w:rFonts w:ascii="宋体"/>
                <w:color w:val="000000"/>
                <w:sz w:val="24"/>
                <w:szCs w:val="24"/>
              </w:rPr>
            </w:pPr>
          </w:p>
        </w:tc>
        <w:tc>
          <w:tcPr>
            <w:tcW w:w="2973" w:type="dxa"/>
          </w:tcPr>
          <w:p>
            <w:pPr>
              <w:spacing w:line="360" w:lineRule="auto"/>
              <w:rPr>
                <w:rFonts w:ascii="宋体"/>
                <w:color w:val="000000"/>
                <w:sz w:val="24"/>
                <w:szCs w:val="24"/>
              </w:rPr>
            </w:pPr>
          </w:p>
        </w:tc>
        <w:tc>
          <w:tcPr>
            <w:tcW w:w="2277" w:type="dxa"/>
          </w:tcPr>
          <w:p>
            <w:pPr>
              <w:spacing w:line="360" w:lineRule="auto"/>
              <w:rPr>
                <w:rFonts w:ascii="宋体"/>
                <w:color w:val="000000"/>
                <w:sz w:val="24"/>
                <w:szCs w:val="24"/>
              </w:rPr>
            </w:pPr>
          </w:p>
        </w:tc>
        <w:tc>
          <w:tcPr>
            <w:tcW w:w="1322" w:type="dxa"/>
          </w:tcPr>
          <w:p>
            <w:pPr>
              <w:spacing w:line="360" w:lineRule="auto"/>
              <w:rPr>
                <w:rFonts w:ascii="宋体"/>
                <w:color w:val="000000"/>
                <w:sz w:val="24"/>
                <w:szCs w:val="24"/>
              </w:rPr>
            </w:pPr>
          </w:p>
        </w:tc>
        <w:tc>
          <w:tcPr>
            <w:tcW w:w="3156" w:type="dxa"/>
            <w:gridSpan w:val="2"/>
            <w:vAlign w:val="top"/>
          </w:tcPr>
          <w:p>
            <w:pPr>
              <w:spacing w:line="360" w:lineRule="auto"/>
              <w:rPr>
                <w:rFonts w:ascii="宋体"/>
                <w:color w:val="000000"/>
                <w:sz w:val="24"/>
                <w:szCs w:val="24"/>
              </w:rPr>
            </w:pPr>
          </w:p>
        </w:tc>
        <w:tc>
          <w:tcPr>
            <w:tcW w:w="1430" w:type="dxa"/>
            <w:vMerge w:val="continue"/>
          </w:tcPr>
          <w:p>
            <w:pPr>
              <w:spacing w:line="360" w:lineRule="auto"/>
              <w:rPr>
                <w:rFonts w:ascii="宋体"/>
                <w:color w:val="000000"/>
                <w:sz w:val="24"/>
                <w:szCs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18" w:hRule="exact"/>
        </w:trPr>
        <w:tc>
          <w:tcPr>
            <w:tcW w:w="1344" w:type="dxa"/>
            <w:tcBorders>
              <w:bottom w:val="single" w:color="auto" w:sz="4" w:space="0"/>
            </w:tcBorders>
            <w:vAlign w:val="center"/>
          </w:tcPr>
          <w:p>
            <w:pPr>
              <w:spacing w:line="360" w:lineRule="auto"/>
              <w:jc w:val="center"/>
              <w:rPr>
                <w:rFonts w:ascii="宋体"/>
                <w:color w:val="000000"/>
                <w:sz w:val="24"/>
                <w:szCs w:val="24"/>
              </w:rPr>
            </w:pPr>
          </w:p>
        </w:tc>
        <w:tc>
          <w:tcPr>
            <w:tcW w:w="1704" w:type="dxa"/>
            <w:tcBorders>
              <w:bottom w:val="single" w:color="auto" w:sz="4" w:space="0"/>
            </w:tcBorders>
            <w:vAlign w:val="center"/>
          </w:tcPr>
          <w:p>
            <w:pPr>
              <w:spacing w:line="360" w:lineRule="auto"/>
              <w:jc w:val="center"/>
              <w:rPr>
                <w:rFonts w:ascii="宋体"/>
                <w:color w:val="000000"/>
                <w:sz w:val="24"/>
                <w:szCs w:val="24"/>
              </w:rPr>
            </w:pPr>
          </w:p>
        </w:tc>
        <w:tc>
          <w:tcPr>
            <w:tcW w:w="2973" w:type="dxa"/>
            <w:tcBorders>
              <w:bottom w:val="single" w:color="auto" w:sz="4" w:space="0"/>
            </w:tcBorders>
          </w:tcPr>
          <w:p>
            <w:pPr>
              <w:spacing w:line="360" w:lineRule="auto"/>
              <w:rPr>
                <w:rFonts w:ascii="宋体"/>
                <w:color w:val="000000"/>
                <w:sz w:val="24"/>
                <w:szCs w:val="24"/>
              </w:rPr>
            </w:pPr>
          </w:p>
        </w:tc>
        <w:tc>
          <w:tcPr>
            <w:tcW w:w="2277" w:type="dxa"/>
            <w:tcBorders>
              <w:bottom w:val="single" w:color="auto" w:sz="4" w:space="0"/>
            </w:tcBorders>
          </w:tcPr>
          <w:p>
            <w:pPr>
              <w:spacing w:line="360" w:lineRule="auto"/>
              <w:rPr>
                <w:rFonts w:ascii="宋体"/>
                <w:color w:val="000000"/>
                <w:sz w:val="24"/>
                <w:szCs w:val="24"/>
              </w:rPr>
            </w:pPr>
          </w:p>
        </w:tc>
        <w:tc>
          <w:tcPr>
            <w:tcW w:w="1322" w:type="dxa"/>
            <w:tcBorders>
              <w:bottom w:val="single" w:color="auto" w:sz="4" w:space="0"/>
            </w:tcBorders>
          </w:tcPr>
          <w:p>
            <w:pPr>
              <w:spacing w:line="360" w:lineRule="auto"/>
              <w:rPr>
                <w:rFonts w:ascii="宋体"/>
                <w:color w:val="000000"/>
                <w:sz w:val="24"/>
                <w:szCs w:val="24"/>
              </w:rPr>
            </w:pPr>
          </w:p>
        </w:tc>
        <w:tc>
          <w:tcPr>
            <w:tcW w:w="3156" w:type="dxa"/>
            <w:gridSpan w:val="2"/>
            <w:tcBorders>
              <w:bottom w:val="single" w:color="auto" w:sz="4" w:space="0"/>
            </w:tcBorders>
          </w:tcPr>
          <w:p>
            <w:pPr>
              <w:spacing w:line="360" w:lineRule="auto"/>
              <w:rPr>
                <w:rFonts w:ascii="宋体"/>
                <w:color w:val="000000"/>
                <w:sz w:val="24"/>
                <w:szCs w:val="24"/>
              </w:rPr>
            </w:pPr>
          </w:p>
        </w:tc>
        <w:tc>
          <w:tcPr>
            <w:tcW w:w="1430" w:type="dxa"/>
            <w:vMerge w:val="continue"/>
          </w:tcPr>
          <w:p>
            <w:pPr>
              <w:spacing w:line="360" w:lineRule="auto"/>
              <w:rPr>
                <w:rFonts w:ascii="宋体"/>
                <w:color w:val="000000"/>
                <w:sz w:val="24"/>
                <w:szCs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0" w:hRule="exact"/>
        </w:trPr>
        <w:tc>
          <w:tcPr>
            <w:tcW w:w="1344" w:type="dxa"/>
            <w:tcBorders>
              <w:top w:val="single" w:color="auto" w:sz="4" w:space="0"/>
            </w:tcBorders>
            <w:vAlign w:val="center"/>
          </w:tcPr>
          <w:p>
            <w:pPr>
              <w:spacing w:line="360" w:lineRule="auto"/>
              <w:jc w:val="center"/>
              <w:rPr>
                <w:rFonts w:ascii="宋体"/>
                <w:color w:val="000000"/>
                <w:sz w:val="24"/>
                <w:szCs w:val="24"/>
              </w:rPr>
            </w:pPr>
          </w:p>
        </w:tc>
        <w:tc>
          <w:tcPr>
            <w:tcW w:w="1704" w:type="dxa"/>
            <w:tcBorders>
              <w:top w:val="single" w:color="auto" w:sz="4" w:space="0"/>
            </w:tcBorders>
            <w:vAlign w:val="center"/>
          </w:tcPr>
          <w:p>
            <w:pPr>
              <w:spacing w:line="360" w:lineRule="auto"/>
              <w:jc w:val="center"/>
              <w:rPr>
                <w:rFonts w:ascii="宋体"/>
                <w:color w:val="000000"/>
                <w:sz w:val="24"/>
                <w:szCs w:val="24"/>
              </w:rPr>
            </w:pPr>
          </w:p>
        </w:tc>
        <w:tc>
          <w:tcPr>
            <w:tcW w:w="2973" w:type="dxa"/>
            <w:tcBorders>
              <w:top w:val="single" w:color="auto" w:sz="4" w:space="0"/>
            </w:tcBorders>
          </w:tcPr>
          <w:p>
            <w:pPr>
              <w:spacing w:line="360" w:lineRule="auto"/>
              <w:rPr>
                <w:rFonts w:ascii="宋体"/>
                <w:color w:val="000000"/>
                <w:sz w:val="24"/>
                <w:szCs w:val="24"/>
              </w:rPr>
            </w:pPr>
          </w:p>
        </w:tc>
        <w:tc>
          <w:tcPr>
            <w:tcW w:w="2277" w:type="dxa"/>
            <w:tcBorders>
              <w:top w:val="single" w:color="auto" w:sz="4" w:space="0"/>
            </w:tcBorders>
          </w:tcPr>
          <w:p>
            <w:pPr>
              <w:spacing w:line="360" w:lineRule="auto"/>
              <w:rPr>
                <w:rFonts w:ascii="宋体"/>
                <w:color w:val="000000"/>
                <w:sz w:val="24"/>
                <w:szCs w:val="24"/>
              </w:rPr>
            </w:pPr>
          </w:p>
        </w:tc>
        <w:tc>
          <w:tcPr>
            <w:tcW w:w="1322" w:type="dxa"/>
            <w:tcBorders>
              <w:top w:val="single" w:color="auto" w:sz="4" w:space="0"/>
            </w:tcBorders>
          </w:tcPr>
          <w:p>
            <w:pPr>
              <w:spacing w:line="360" w:lineRule="auto"/>
              <w:rPr>
                <w:rFonts w:ascii="宋体"/>
                <w:color w:val="000000"/>
                <w:sz w:val="24"/>
                <w:szCs w:val="24"/>
              </w:rPr>
            </w:pPr>
          </w:p>
        </w:tc>
        <w:tc>
          <w:tcPr>
            <w:tcW w:w="3156" w:type="dxa"/>
            <w:gridSpan w:val="2"/>
            <w:tcBorders>
              <w:top w:val="single" w:color="auto" w:sz="4" w:space="0"/>
            </w:tcBorders>
          </w:tcPr>
          <w:p>
            <w:pPr>
              <w:spacing w:line="360" w:lineRule="auto"/>
              <w:rPr>
                <w:rFonts w:ascii="宋体"/>
                <w:color w:val="000000"/>
                <w:sz w:val="24"/>
                <w:szCs w:val="24"/>
              </w:rPr>
            </w:pPr>
          </w:p>
        </w:tc>
        <w:tc>
          <w:tcPr>
            <w:tcW w:w="1430" w:type="dxa"/>
            <w:vMerge w:val="continue"/>
          </w:tcPr>
          <w:p>
            <w:pPr>
              <w:spacing w:line="360" w:lineRule="auto"/>
              <w:rPr>
                <w:rFonts w:ascii="宋体"/>
                <w:color w:val="000000"/>
                <w:sz w:val="24"/>
                <w:szCs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80" w:hRule="atLeast"/>
        </w:trPr>
        <w:tc>
          <w:tcPr>
            <w:tcW w:w="3048" w:type="dxa"/>
            <w:gridSpan w:val="2"/>
            <w:vAlign w:val="center"/>
          </w:tcPr>
          <w:p>
            <w:pPr>
              <w:spacing w:line="360" w:lineRule="auto"/>
              <w:jc w:val="center"/>
              <w:rPr>
                <w:rFonts w:ascii="宋体"/>
                <w:b/>
                <w:bCs/>
                <w:color w:val="000000"/>
                <w:sz w:val="24"/>
                <w:szCs w:val="24"/>
              </w:rPr>
            </w:pPr>
            <w:r>
              <w:rPr>
                <w:rFonts w:hint="eastAsia" w:ascii="宋体" w:hAnsi="宋体" w:cs="宋体"/>
                <w:b/>
                <w:bCs/>
                <w:color w:val="000000"/>
                <w:sz w:val="24"/>
                <w:szCs w:val="24"/>
              </w:rPr>
              <w:t>投标人名称（公章）</w:t>
            </w:r>
          </w:p>
        </w:tc>
        <w:tc>
          <w:tcPr>
            <w:tcW w:w="2973" w:type="dxa"/>
            <w:vAlign w:val="center"/>
          </w:tcPr>
          <w:p>
            <w:pPr>
              <w:spacing w:line="360" w:lineRule="auto"/>
              <w:jc w:val="center"/>
              <w:rPr>
                <w:rFonts w:ascii="宋体"/>
                <w:b/>
                <w:bCs/>
                <w:color w:val="000000"/>
                <w:sz w:val="24"/>
                <w:szCs w:val="24"/>
              </w:rPr>
            </w:pPr>
          </w:p>
        </w:tc>
        <w:tc>
          <w:tcPr>
            <w:tcW w:w="2277" w:type="dxa"/>
            <w:vAlign w:val="center"/>
          </w:tcPr>
          <w:p>
            <w:pPr>
              <w:spacing w:line="360" w:lineRule="auto"/>
              <w:jc w:val="center"/>
              <w:rPr>
                <w:rFonts w:ascii="宋体"/>
                <w:b/>
                <w:bCs/>
                <w:color w:val="000000"/>
                <w:sz w:val="24"/>
                <w:szCs w:val="24"/>
              </w:rPr>
            </w:pPr>
            <w:r>
              <w:rPr>
                <w:rFonts w:hint="eastAsia" w:ascii="宋体" w:hAnsi="宋体" w:cs="宋体"/>
                <w:b/>
                <w:bCs/>
                <w:color w:val="000000"/>
                <w:sz w:val="24"/>
                <w:szCs w:val="24"/>
              </w:rPr>
              <w:t>授权代表（签名）</w:t>
            </w:r>
          </w:p>
        </w:tc>
        <w:tc>
          <w:tcPr>
            <w:tcW w:w="2617" w:type="dxa"/>
            <w:gridSpan w:val="2"/>
            <w:vAlign w:val="center"/>
          </w:tcPr>
          <w:p>
            <w:pPr>
              <w:spacing w:line="360" w:lineRule="auto"/>
              <w:jc w:val="center"/>
              <w:rPr>
                <w:rFonts w:ascii="宋体"/>
                <w:b/>
                <w:bCs/>
                <w:color w:val="000000"/>
                <w:sz w:val="24"/>
                <w:szCs w:val="24"/>
              </w:rPr>
            </w:pPr>
          </w:p>
        </w:tc>
        <w:tc>
          <w:tcPr>
            <w:tcW w:w="1861" w:type="dxa"/>
            <w:vAlign w:val="center"/>
          </w:tcPr>
          <w:p>
            <w:pPr>
              <w:spacing w:line="360" w:lineRule="auto"/>
              <w:jc w:val="center"/>
              <w:rPr>
                <w:rFonts w:ascii="宋体"/>
                <w:b/>
                <w:bCs/>
                <w:color w:val="000000"/>
                <w:sz w:val="24"/>
                <w:szCs w:val="24"/>
              </w:rPr>
            </w:pPr>
            <w:r>
              <w:rPr>
                <w:rFonts w:hint="eastAsia" w:ascii="宋体" w:hAnsi="宋体" w:cs="宋体"/>
                <w:b/>
                <w:bCs/>
                <w:color w:val="000000"/>
                <w:sz w:val="24"/>
                <w:szCs w:val="24"/>
              </w:rPr>
              <w:t>日期</w:t>
            </w:r>
          </w:p>
        </w:tc>
        <w:tc>
          <w:tcPr>
            <w:tcW w:w="1430" w:type="dxa"/>
            <w:vAlign w:val="center"/>
          </w:tcPr>
          <w:p>
            <w:pPr>
              <w:spacing w:line="360" w:lineRule="auto"/>
              <w:rPr>
                <w:rFonts w:ascii="宋体"/>
                <w:color w:val="000000"/>
                <w:sz w:val="24"/>
                <w:szCs w:val="24"/>
              </w:rPr>
            </w:pPr>
          </w:p>
        </w:tc>
      </w:tr>
    </w:tbl>
    <w:p>
      <w:pPr>
        <w:rPr>
          <w:rFonts w:ascii="宋体"/>
          <w:color w:val="000000"/>
          <w:sz w:val="24"/>
          <w:szCs w:val="24"/>
        </w:rPr>
        <w:sectPr>
          <w:footerReference r:id="rId6" w:type="default"/>
          <w:pgSz w:w="16838" w:h="11906" w:orient="landscape"/>
          <w:pgMar w:top="1644" w:right="1440" w:bottom="1644" w:left="1440" w:header="851" w:footer="992" w:gutter="0"/>
          <w:cols w:space="425" w:num="1"/>
          <w:docGrid w:type="lines" w:linePitch="312" w:charSpace="0"/>
        </w:sectPr>
      </w:pPr>
    </w:p>
    <w:bookmarkEnd w:id="19"/>
    <w:p>
      <w:pPr>
        <w:pStyle w:val="3"/>
        <w:rPr>
          <w:b w:val="0"/>
          <w:color w:val="000000" w:themeColor="text1"/>
          <w:sz w:val="21"/>
          <w:szCs w:val="21"/>
          <w14:textFill>
            <w14:solidFill>
              <w14:schemeClr w14:val="tx1"/>
            </w14:solidFill>
          </w14:textFill>
        </w:rPr>
      </w:pPr>
      <w:r>
        <w:rPr>
          <w:rFonts w:hint="eastAsia"/>
          <w:b w:val="0"/>
          <w:color w:val="000000" w:themeColor="text1"/>
          <w:sz w:val="21"/>
          <w:szCs w:val="21"/>
          <w14:textFill>
            <w14:solidFill>
              <w14:schemeClr w14:val="tx1"/>
            </w14:solidFill>
          </w14:textFill>
        </w:rPr>
        <w:t>附件5：</w:t>
      </w:r>
    </w:p>
    <w:p>
      <w:pPr>
        <w:spacing w:beforeLines="100" w:afterLines="150"/>
        <w:jc w:val="center"/>
        <w:rPr>
          <w:b/>
          <w:color w:val="000000" w:themeColor="text1"/>
          <w:sz w:val="44"/>
          <w:szCs w:val="44"/>
          <w14:textFill>
            <w14:solidFill>
              <w14:schemeClr w14:val="tx1"/>
            </w14:solidFill>
          </w14:textFill>
        </w:rPr>
      </w:pPr>
      <w:bookmarkStart w:id="29" w:name="_Toc37838055"/>
      <w:r>
        <w:rPr>
          <w:rFonts w:hint="eastAsia"/>
          <w:b/>
          <w:color w:val="000000" w:themeColor="text1"/>
          <w:sz w:val="44"/>
          <w:szCs w:val="44"/>
          <w14:textFill>
            <w14:solidFill>
              <w14:schemeClr w14:val="tx1"/>
            </w14:solidFill>
          </w14:textFill>
        </w:rPr>
        <w:t>法定代表人资格证明</w:t>
      </w:r>
      <w:bookmarkEnd w:id="29"/>
    </w:p>
    <w:p>
      <w:pPr>
        <w:spacing w:beforeLines="100" w:afterLines="150"/>
        <w:rPr>
          <w:rFonts w:ascii="宋体" w:cs="宋体"/>
          <w:color w:val="000000" w:themeColor="text1"/>
          <w:kern w:val="0"/>
          <w:sz w:val="28"/>
          <w:szCs w:val="28"/>
          <w14:textFill>
            <w14:solidFill>
              <w14:schemeClr w14:val="tx1"/>
            </w14:solidFill>
          </w14:textFill>
        </w:rPr>
      </w:pPr>
      <w:r>
        <w:rPr>
          <w:rFonts w:hint="eastAsia"/>
          <w:color w:val="000000" w:themeColor="text1"/>
          <w:sz w:val="28"/>
          <w:szCs w:val="28"/>
          <w14:textFill>
            <w14:solidFill>
              <w14:schemeClr w14:val="tx1"/>
            </w14:solidFill>
          </w14:textFill>
        </w:rPr>
        <w:t>南通大学招投标管理办公室：</w:t>
      </w:r>
    </w:p>
    <w:p>
      <w:pPr>
        <w:widowControl/>
        <w:wordWrap w:val="0"/>
        <w:snapToGrid w:val="0"/>
        <w:spacing w:before="90" w:after="90" w:line="360" w:lineRule="auto"/>
        <w:ind w:firstLine="600"/>
        <w:jc w:val="left"/>
        <w:rPr>
          <w:rFonts w:ascii="宋体" w:cs="宋体"/>
          <w:color w:val="000000" w:themeColor="text1"/>
          <w:kern w:val="0"/>
          <w:sz w:val="28"/>
          <w:szCs w:val="28"/>
          <w14:textFill>
            <w14:solidFill>
              <w14:schemeClr w14:val="tx1"/>
            </w14:solidFill>
          </w14:textFill>
        </w:rPr>
      </w:pPr>
      <w:r>
        <w:rPr>
          <w:rFonts w:hint="eastAsia" w:ascii="宋体" w:hAnsi="宋体" w:cs="宋体"/>
          <w:color w:val="000000" w:themeColor="text1"/>
          <w:kern w:val="0"/>
          <w:sz w:val="28"/>
          <w:szCs w:val="28"/>
          <w14:textFill>
            <w14:solidFill>
              <w14:schemeClr w14:val="tx1"/>
            </w14:solidFill>
          </w14:textFill>
        </w:rPr>
        <w:t>姓名：性别：身份证号码：</w:t>
      </w:r>
      <w:r>
        <w:rPr>
          <w:rFonts w:hint="eastAsia"/>
          <w:color w:val="000000" w:themeColor="text1"/>
          <w:sz w:val="28"/>
          <w:szCs w:val="28"/>
          <w14:textFill>
            <w14:solidFill>
              <w14:schemeClr w14:val="tx1"/>
            </w14:solidFill>
          </w14:textFill>
        </w:rPr>
        <w:t>系我</w:t>
      </w:r>
      <w:r>
        <w:rPr>
          <w:color w:val="000000" w:themeColor="text1"/>
          <w:sz w:val="28"/>
          <w:szCs w:val="28"/>
          <w14:textFill>
            <w14:solidFill>
              <w14:schemeClr w14:val="tx1"/>
            </w14:solidFill>
          </w14:textFill>
        </w:rPr>
        <w:t>公司的</w:t>
      </w:r>
      <w:r>
        <w:rPr>
          <w:rFonts w:hint="eastAsia"/>
          <w:color w:val="000000" w:themeColor="text1"/>
          <w:sz w:val="28"/>
          <w:szCs w:val="28"/>
          <w14:textFill>
            <w14:solidFill>
              <w14:schemeClr w14:val="tx1"/>
            </w14:solidFill>
          </w14:textFill>
        </w:rPr>
        <w:t>法</w:t>
      </w:r>
      <w:r>
        <w:rPr>
          <w:rFonts w:hint="eastAsia" w:ascii="宋体" w:hAnsi="宋体" w:cs="宋体"/>
          <w:color w:val="000000" w:themeColor="text1"/>
          <w:kern w:val="0"/>
          <w:sz w:val="28"/>
          <w:szCs w:val="28"/>
          <w14:textFill>
            <w14:solidFill>
              <w14:schemeClr w14:val="tx1"/>
            </w14:solidFill>
          </w14:textFill>
        </w:rPr>
        <w:t>定代表人，</w:t>
      </w:r>
      <w:r>
        <w:rPr>
          <w:rFonts w:hint="eastAsia"/>
          <w:color w:val="000000" w:themeColor="text1"/>
          <w:sz w:val="28"/>
          <w:szCs w:val="28"/>
          <w14:textFill>
            <w14:solidFill>
              <w14:schemeClr w14:val="tx1"/>
            </w14:solidFill>
          </w14:textFill>
        </w:rPr>
        <w:t>参加南通大学</w:t>
      </w:r>
      <w:r>
        <w:rPr>
          <w:rFonts w:hint="eastAsia"/>
          <w:color w:val="000000" w:themeColor="text1"/>
          <w:sz w:val="28"/>
          <w:szCs w:val="28"/>
          <w:u w:val="single"/>
          <w14:textFill>
            <w14:solidFill>
              <w14:schemeClr w14:val="tx1"/>
            </w14:solidFill>
          </w14:textFill>
        </w:rPr>
        <w:t>（项目名称及编号）</w:t>
      </w:r>
      <w:r>
        <w:rPr>
          <w:rFonts w:hint="eastAsia"/>
          <w:color w:val="000000" w:themeColor="text1"/>
          <w:sz w:val="28"/>
          <w:szCs w:val="28"/>
          <w14:textFill>
            <w14:solidFill>
              <w14:schemeClr w14:val="tx1"/>
            </w14:solidFill>
          </w14:textFill>
        </w:rPr>
        <w:t>的投标，</w:t>
      </w:r>
      <w:r>
        <w:rPr>
          <w:rFonts w:hint="eastAsia" w:ascii="宋体" w:hAnsi="宋体" w:cs="宋体"/>
          <w:color w:val="000000" w:themeColor="text1"/>
          <w:kern w:val="0"/>
          <w:sz w:val="28"/>
          <w:szCs w:val="28"/>
          <w14:textFill>
            <w14:solidFill>
              <w14:schemeClr w14:val="tx1"/>
            </w14:solidFill>
          </w14:textFill>
        </w:rPr>
        <w:t>代表本公司签署投标文件、进行谈判、签订合同和处理与之有关的一切事务。</w:t>
      </w:r>
    </w:p>
    <w:p>
      <w:pPr>
        <w:widowControl/>
        <w:wordWrap w:val="0"/>
        <w:snapToGrid w:val="0"/>
        <w:spacing w:before="90" w:after="90" w:line="360" w:lineRule="auto"/>
        <w:ind w:firstLine="600"/>
        <w:jc w:val="left"/>
        <w:rPr>
          <w:rFonts w:ascii="宋体" w:cs="宋体"/>
          <w:color w:val="000000" w:themeColor="text1"/>
          <w:kern w:val="0"/>
          <w:sz w:val="28"/>
          <w:szCs w:val="28"/>
          <w14:textFill>
            <w14:solidFill>
              <w14:schemeClr w14:val="tx1"/>
            </w14:solidFill>
          </w14:textFill>
        </w:rPr>
      </w:pPr>
      <w:r>
        <w:rPr>
          <w:rFonts w:hint="eastAsia" w:ascii="宋体" w:hAnsi="宋体" w:cs="宋体"/>
          <w:color w:val="000000" w:themeColor="text1"/>
          <w:kern w:val="0"/>
          <w:sz w:val="28"/>
          <w:szCs w:val="28"/>
          <w14:textFill>
            <w14:solidFill>
              <w14:schemeClr w14:val="tx1"/>
            </w14:solidFill>
          </w14:textFill>
        </w:rPr>
        <w:t>特此证明。</w:t>
      </w:r>
    </w:p>
    <w:p>
      <w:pPr>
        <w:widowControl/>
        <w:wordWrap w:val="0"/>
        <w:snapToGrid w:val="0"/>
        <w:spacing w:before="90" w:after="90" w:line="360" w:lineRule="auto"/>
        <w:ind w:firstLine="600"/>
        <w:jc w:val="left"/>
        <w:rPr>
          <w:rFonts w:ascii="宋体" w:hAnsi="宋体" w:cs="宋体"/>
          <w:color w:val="000000" w:themeColor="text1"/>
          <w:kern w:val="0"/>
          <w:sz w:val="28"/>
          <w:szCs w:val="28"/>
          <w14:textFill>
            <w14:solidFill>
              <w14:schemeClr w14:val="tx1"/>
            </w14:solidFill>
          </w14:textFill>
        </w:rPr>
      </w:pPr>
    </w:p>
    <w:p>
      <w:pPr>
        <w:widowControl/>
        <w:wordWrap w:val="0"/>
        <w:snapToGrid w:val="0"/>
        <w:spacing w:before="90" w:after="90" w:line="360" w:lineRule="auto"/>
        <w:ind w:firstLine="3360" w:firstLineChars="1200"/>
        <w:jc w:val="left"/>
        <w:rPr>
          <w:rFonts w:ascii="宋体" w:cs="宋体"/>
          <w:color w:val="000000" w:themeColor="text1"/>
          <w:kern w:val="0"/>
          <w:sz w:val="28"/>
          <w:szCs w:val="28"/>
          <w14:textFill>
            <w14:solidFill>
              <w14:schemeClr w14:val="tx1"/>
            </w14:solidFill>
          </w14:textFill>
        </w:rPr>
      </w:pPr>
      <w:r>
        <w:rPr>
          <w:rFonts w:hint="eastAsia" w:ascii="宋体" w:hAnsi="宋体" w:cs="宋体"/>
          <w:color w:val="000000" w:themeColor="text1"/>
          <w:kern w:val="0"/>
          <w:sz w:val="28"/>
          <w:szCs w:val="28"/>
          <w14:textFill>
            <w14:solidFill>
              <w14:schemeClr w14:val="tx1"/>
            </w14:solidFill>
          </w14:textFill>
        </w:rPr>
        <w:t>投标人：（公章）</w:t>
      </w:r>
    </w:p>
    <w:p>
      <w:pPr>
        <w:widowControl/>
        <w:wordWrap w:val="0"/>
        <w:snapToGrid w:val="0"/>
        <w:spacing w:before="90" w:after="90" w:line="360" w:lineRule="auto"/>
        <w:ind w:firstLine="3360" w:firstLineChars="1200"/>
        <w:jc w:val="left"/>
        <w:rPr>
          <w:rFonts w:ascii="宋体" w:cs="宋体"/>
          <w:color w:val="000000" w:themeColor="text1"/>
          <w:kern w:val="0"/>
          <w:sz w:val="28"/>
          <w:szCs w:val="28"/>
          <w14:textFill>
            <w14:solidFill>
              <w14:schemeClr w14:val="tx1"/>
            </w14:solidFill>
          </w14:textFill>
        </w:rPr>
      </w:pPr>
      <w:r>
        <w:rPr>
          <w:rFonts w:hint="eastAsia" w:ascii="宋体" w:hAnsi="宋体" w:cs="宋体"/>
          <w:color w:val="000000" w:themeColor="text1"/>
          <w:kern w:val="0"/>
          <w:sz w:val="28"/>
          <w:szCs w:val="28"/>
          <w14:textFill>
            <w14:solidFill>
              <w14:schemeClr w14:val="tx1"/>
            </w14:solidFill>
          </w14:textFill>
        </w:rPr>
        <w:t>日期：</w:t>
      </w:r>
      <w:r>
        <w:rPr>
          <w:rFonts w:hint="eastAsia" w:ascii="宋体" w:hAnsi="宋体" w:cs="宋体"/>
          <w:color w:val="000000" w:themeColor="text1"/>
          <w:kern w:val="0"/>
          <w:sz w:val="28"/>
          <w:szCs w:val="28"/>
          <w:lang w:val="en-US" w:eastAsia="zh-CN"/>
          <w14:textFill>
            <w14:solidFill>
              <w14:schemeClr w14:val="tx1"/>
            </w14:solidFill>
          </w14:textFill>
        </w:rPr>
        <w:t xml:space="preserve">   </w:t>
      </w:r>
      <w:r>
        <w:rPr>
          <w:rFonts w:hint="eastAsia" w:ascii="宋体" w:hAnsi="宋体" w:cs="宋体"/>
          <w:color w:val="000000" w:themeColor="text1"/>
          <w:kern w:val="0"/>
          <w:sz w:val="28"/>
          <w:szCs w:val="28"/>
          <w14:textFill>
            <w14:solidFill>
              <w14:schemeClr w14:val="tx1"/>
            </w14:solidFill>
          </w14:textFill>
        </w:rPr>
        <w:t>年</w:t>
      </w:r>
      <w:r>
        <w:rPr>
          <w:rFonts w:hint="eastAsia" w:ascii="宋体" w:hAnsi="宋体" w:cs="宋体"/>
          <w:color w:val="000000" w:themeColor="text1"/>
          <w:kern w:val="0"/>
          <w:sz w:val="28"/>
          <w:szCs w:val="28"/>
          <w:lang w:val="en-US" w:eastAsia="zh-CN"/>
          <w14:textFill>
            <w14:solidFill>
              <w14:schemeClr w14:val="tx1"/>
            </w14:solidFill>
          </w14:textFill>
        </w:rPr>
        <w:t xml:space="preserve">    </w:t>
      </w:r>
      <w:r>
        <w:rPr>
          <w:rFonts w:hint="eastAsia" w:ascii="宋体" w:hAnsi="宋体" w:cs="宋体"/>
          <w:color w:val="000000" w:themeColor="text1"/>
          <w:kern w:val="0"/>
          <w:sz w:val="28"/>
          <w:szCs w:val="28"/>
          <w14:textFill>
            <w14:solidFill>
              <w14:schemeClr w14:val="tx1"/>
            </w14:solidFill>
          </w14:textFill>
        </w:rPr>
        <w:t>月</w:t>
      </w:r>
      <w:r>
        <w:rPr>
          <w:rFonts w:hint="eastAsia" w:ascii="宋体" w:hAnsi="宋体" w:cs="宋体"/>
          <w:color w:val="000000" w:themeColor="text1"/>
          <w:kern w:val="0"/>
          <w:sz w:val="28"/>
          <w:szCs w:val="28"/>
          <w:lang w:val="en-US" w:eastAsia="zh-CN"/>
          <w14:textFill>
            <w14:solidFill>
              <w14:schemeClr w14:val="tx1"/>
            </w14:solidFill>
          </w14:textFill>
        </w:rPr>
        <w:t xml:space="preserve">    </w:t>
      </w:r>
      <w:r>
        <w:rPr>
          <w:rFonts w:hint="eastAsia" w:ascii="宋体" w:hAnsi="宋体" w:cs="宋体"/>
          <w:color w:val="000000" w:themeColor="text1"/>
          <w:kern w:val="0"/>
          <w:sz w:val="28"/>
          <w:szCs w:val="28"/>
          <w14:textFill>
            <w14:solidFill>
              <w14:schemeClr w14:val="tx1"/>
            </w14:solidFill>
          </w14:textFill>
        </w:rPr>
        <w:t>日</w:t>
      </w:r>
    </w:p>
    <w:p>
      <w:pPr>
        <w:spacing w:line="360" w:lineRule="auto"/>
        <w:ind w:right="-19" w:rightChars="-9"/>
        <w:rPr>
          <w:color w:val="000000" w:themeColor="text1"/>
          <w:sz w:val="28"/>
          <w:szCs w:val="28"/>
          <w14:textFill>
            <w14:solidFill>
              <w14:schemeClr w14:val="tx1"/>
            </w14:solidFill>
          </w14:textFill>
        </w:rPr>
      </w:pPr>
    </w:p>
    <w:p>
      <w:pPr>
        <w:pStyle w:val="3"/>
        <w:rPr>
          <w:rFonts w:ascii="楷体_GB2312" w:hAnsi="宋体"/>
          <w:color w:val="000000" w:themeColor="text1"/>
          <w:sz w:val="22"/>
          <w:szCs w:val="22"/>
          <w14:textFill>
            <w14:solidFill>
              <w14:schemeClr w14:val="tx1"/>
            </w14:solidFill>
          </w14:textFill>
        </w:rPr>
      </w:pPr>
      <w:bookmarkStart w:id="30" w:name="_Toc40968815"/>
      <w:bookmarkStart w:id="31" w:name="_Toc37838056"/>
      <w:r>
        <w:rPr>
          <w:color w:val="000000" w:themeColor="text1"/>
          <w14:textFill>
            <w14:solidFill>
              <w14:schemeClr w14:val="tx1"/>
            </w14:solidFill>
          </w14:textFill>
        </w:rPr>
        <mc:AlternateContent>
          <mc:Choice Requires="wps">
            <w:drawing>
              <wp:anchor distT="0" distB="0" distL="114300" distR="114300" simplePos="0" relativeHeight="251658240" behindDoc="0" locked="0" layoutInCell="1" allowOverlap="1">
                <wp:simplePos x="0" y="0"/>
                <wp:positionH relativeFrom="column">
                  <wp:posOffset>3105150</wp:posOffset>
                </wp:positionH>
                <wp:positionV relativeFrom="paragraph">
                  <wp:posOffset>446405</wp:posOffset>
                </wp:positionV>
                <wp:extent cx="2810510" cy="2257425"/>
                <wp:effectExtent l="4445" t="5080" r="23495" b="4445"/>
                <wp:wrapNone/>
                <wp:docPr id="3" name="文本框 3"/>
                <wp:cNvGraphicFramePr/>
                <a:graphic xmlns:a="http://schemas.openxmlformats.org/drawingml/2006/main">
                  <a:graphicData uri="http://schemas.microsoft.com/office/word/2010/wordprocessingShape">
                    <wps:wsp>
                      <wps:cNvSpPr txBox="1">
                        <a:spLocks noChangeArrowheads="1"/>
                      </wps:cNvSpPr>
                      <wps:spPr bwMode="auto">
                        <a:xfrm>
                          <a:off x="0" y="0"/>
                          <a:ext cx="2810510" cy="2257425"/>
                        </a:xfrm>
                        <a:prstGeom prst="rect">
                          <a:avLst/>
                        </a:prstGeom>
                        <a:solidFill>
                          <a:srgbClr val="FFFFFF"/>
                        </a:solidFill>
                        <a:ln w="9525">
                          <a:solidFill>
                            <a:srgbClr val="000000"/>
                          </a:solidFill>
                          <a:miter lim="800000"/>
                        </a:ln>
                        <a:effectLst/>
                      </wps:spPr>
                      <wps:txbx>
                        <w:txbxContent>
                          <w:p>
                            <w:pPr>
                              <w:jc w:val="center"/>
                            </w:pPr>
                          </w:p>
                          <w:p>
                            <w:pPr>
                              <w:jc w:val="center"/>
                            </w:pPr>
                          </w:p>
                          <w:p>
                            <w:pPr>
                              <w:jc w:val="center"/>
                            </w:pPr>
                          </w:p>
                          <w:p>
                            <w:pPr>
                              <w:jc w:val="center"/>
                            </w:pPr>
                          </w:p>
                          <w:p>
                            <w:pPr>
                              <w:jc w:val="center"/>
                            </w:pPr>
                          </w:p>
                          <w:p>
                            <w:pPr>
                              <w:jc w:val="center"/>
                              <w:rPr>
                                <w:sz w:val="24"/>
                              </w:rPr>
                            </w:pPr>
                            <w:r>
                              <w:rPr>
                                <w:rFonts w:hint="eastAsia"/>
                                <w:sz w:val="24"/>
                              </w:rPr>
                              <w:t>法人代表人身份证复印件粘贴处</w:t>
                            </w:r>
                          </w:p>
                          <w:p>
                            <w:pPr>
                              <w:jc w:val="center"/>
                            </w:pPr>
                            <w:r>
                              <w:rPr>
                                <w:rFonts w:hint="eastAsia"/>
                                <w:sz w:val="24"/>
                              </w:rPr>
                              <w:t>（反面）</w:t>
                            </w:r>
                          </w:p>
                        </w:txbxContent>
                      </wps:txbx>
                      <wps:bodyPr rot="0" vert="horz" wrap="square" lIns="91440" tIns="45720" rIns="91440" bIns="45720" anchor="t" anchorCtr="0" upright="1">
                        <a:noAutofit/>
                      </wps:bodyPr>
                    </wps:wsp>
                  </a:graphicData>
                </a:graphic>
              </wp:anchor>
            </w:drawing>
          </mc:Choice>
          <mc:Fallback>
            <w:pict>
              <v:shape id="_x0000_s1026" o:spid="_x0000_s1026" o:spt="202" type="#_x0000_t202" style="position:absolute;left:0pt;margin-left:244.5pt;margin-top:35.15pt;height:177.75pt;width:221.3pt;z-index:251658240;mso-width-relative:page;mso-height-relative:page;" fillcolor="#FFFFFF" filled="t" stroked="t" coordsize="21600,21600" o:gfxdata="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">
                <v:fill on="t" focussize="0,0"/>
                <v:stroke color="#000000" miterlimit="8" joinstyle="miter"/>
                <v:imagedata o:title=""/>
                <o:lock v:ext="edit" aspectratio="f"/>
                <v:textbox>
                  <w:txbxContent>
                    <w:p>
                      <w:pPr>
                        <w:jc w:val="center"/>
                      </w:pPr>
                    </w:p>
                    <w:p>
                      <w:pPr>
                        <w:jc w:val="center"/>
                      </w:pPr>
                    </w:p>
                    <w:p>
                      <w:pPr>
                        <w:jc w:val="center"/>
                      </w:pPr>
                    </w:p>
                    <w:p>
                      <w:pPr>
                        <w:jc w:val="center"/>
                      </w:pPr>
                    </w:p>
                    <w:p>
                      <w:pPr>
                        <w:jc w:val="center"/>
                      </w:pPr>
                    </w:p>
                    <w:p>
                      <w:pPr>
                        <w:jc w:val="center"/>
                        <w:rPr>
                          <w:sz w:val="24"/>
                        </w:rPr>
                      </w:pPr>
                      <w:r>
                        <w:rPr>
                          <w:rFonts w:hint="eastAsia"/>
                          <w:sz w:val="24"/>
                        </w:rPr>
                        <w:t>法人代表人身份证复印件粘贴处</w:t>
                      </w:r>
                    </w:p>
                    <w:p>
                      <w:pPr>
                        <w:jc w:val="center"/>
                      </w:pPr>
                      <w:r>
                        <w:rPr>
                          <w:rFonts w:hint="eastAsia"/>
                          <w:sz w:val="24"/>
                        </w:rPr>
                        <w:t>（反面）</w:t>
                      </w:r>
                    </w:p>
                  </w:txbxContent>
                </v:textbox>
              </v:shape>
            </w:pict>
          </mc:Fallback>
        </mc:AlternateContent>
      </w:r>
      <w:r>
        <w:rPr>
          <w:color w:val="000000" w:themeColor="text1"/>
          <w14:textFill>
            <w14:solidFill>
              <w14:schemeClr w14:val="tx1"/>
            </w14:solidFill>
          </w14:textFill>
        </w:rPr>
        <mc:AlternateContent>
          <mc:Choice Requires="wps">
            <w:drawing>
              <wp:anchor distT="0" distB="0" distL="114300" distR="114300" simplePos="0" relativeHeight="251656192" behindDoc="0" locked="0" layoutInCell="1" allowOverlap="1">
                <wp:simplePos x="0" y="0"/>
                <wp:positionH relativeFrom="column">
                  <wp:posOffset>114300</wp:posOffset>
                </wp:positionH>
                <wp:positionV relativeFrom="paragraph">
                  <wp:posOffset>446405</wp:posOffset>
                </wp:positionV>
                <wp:extent cx="2857500" cy="2286000"/>
                <wp:effectExtent l="4445" t="5080" r="14605" b="13970"/>
                <wp:wrapNone/>
                <wp:docPr id="2" name="文本框 2"/>
                <wp:cNvGraphicFramePr/>
                <a:graphic xmlns:a="http://schemas.openxmlformats.org/drawingml/2006/main">
                  <a:graphicData uri="http://schemas.microsoft.com/office/word/2010/wordprocessingShape">
                    <wps:wsp>
                      <wps:cNvSpPr txBox="1">
                        <a:spLocks noChangeArrowheads="1"/>
                      </wps:cNvSpPr>
                      <wps:spPr bwMode="auto">
                        <a:xfrm>
                          <a:off x="0" y="0"/>
                          <a:ext cx="2857500" cy="2286000"/>
                        </a:xfrm>
                        <a:prstGeom prst="rect">
                          <a:avLst/>
                        </a:prstGeom>
                        <a:solidFill>
                          <a:srgbClr val="FFFFFF"/>
                        </a:solidFill>
                        <a:ln w="9525">
                          <a:solidFill>
                            <a:srgbClr val="000000"/>
                          </a:solidFill>
                          <a:miter lim="800000"/>
                        </a:ln>
                        <a:effectLst/>
                      </wps:spPr>
                      <wps:txbx>
                        <w:txbxContent>
                          <w:p>
                            <w:pPr>
                              <w:jc w:val="center"/>
                            </w:pPr>
                          </w:p>
                          <w:p>
                            <w:pPr>
                              <w:jc w:val="center"/>
                            </w:pPr>
                          </w:p>
                          <w:p>
                            <w:pPr>
                              <w:jc w:val="center"/>
                            </w:pPr>
                          </w:p>
                          <w:p>
                            <w:pPr>
                              <w:jc w:val="center"/>
                            </w:pPr>
                          </w:p>
                          <w:p>
                            <w:pPr>
                              <w:jc w:val="center"/>
                            </w:pPr>
                          </w:p>
                          <w:p>
                            <w:pPr>
                              <w:jc w:val="center"/>
                              <w:rPr>
                                <w:sz w:val="24"/>
                              </w:rPr>
                            </w:pPr>
                            <w:r>
                              <w:rPr>
                                <w:rFonts w:hint="eastAsia"/>
                                <w:sz w:val="24"/>
                              </w:rPr>
                              <w:t>法人代表人身份证复印件粘贴处</w:t>
                            </w:r>
                          </w:p>
                          <w:p>
                            <w:pPr>
                              <w:jc w:val="center"/>
                            </w:pPr>
                            <w:r>
                              <w:rPr>
                                <w:rFonts w:hint="eastAsia"/>
                                <w:sz w:val="24"/>
                              </w:rPr>
                              <w:t>（正面）</w:t>
                            </w:r>
                          </w:p>
                        </w:txbxContent>
                      </wps:txbx>
                      <wps:bodyPr rot="0" vert="horz" wrap="square" lIns="91440" tIns="45720" rIns="91440" bIns="45720" anchor="t" anchorCtr="0" upright="1">
                        <a:noAutofit/>
                      </wps:bodyPr>
                    </wps:wsp>
                  </a:graphicData>
                </a:graphic>
              </wp:anchor>
            </w:drawing>
          </mc:Choice>
          <mc:Fallback>
            <w:pict>
              <v:shape id="_x0000_s1026" o:spid="_x0000_s1026" o:spt="202" type="#_x0000_t202" style="position:absolute;left:0pt;margin-left:9pt;margin-top:35.15pt;height:180pt;width:225pt;z-index:251656192;mso-width-relative:page;mso-height-relative:page;" fillcolor="#FFFFFF" filled="t" stroked="t" coordsize="21600,21600" o:gfxdata="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P4R4ibVAAAACQEAAA8AAAAAAAAAAQAgAAAAIgAAAGRycy9kb3ducmV2LnhtbFBLAQIUABQA&#10;AAAIAIdO4kA6rLPDLAIAAEgEAAAOAAAAAAAAAAEAIAAAACQBAABkcnMvZTJvRG9jLnhtbFBLBQYA&#10;AAAABgAGAFkBAADCBQAAAAA=&#10;">
                <v:fill on="t" focussize="0,0"/>
                <v:stroke color="#000000" miterlimit="8" joinstyle="miter"/>
                <v:imagedata o:title=""/>
                <o:lock v:ext="edit" aspectratio="f"/>
                <v:textbox>
                  <w:txbxContent>
                    <w:p>
                      <w:pPr>
                        <w:jc w:val="center"/>
                      </w:pPr>
                    </w:p>
                    <w:p>
                      <w:pPr>
                        <w:jc w:val="center"/>
                      </w:pPr>
                    </w:p>
                    <w:p>
                      <w:pPr>
                        <w:jc w:val="center"/>
                      </w:pPr>
                    </w:p>
                    <w:p>
                      <w:pPr>
                        <w:jc w:val="center"/>
                      </w:pPr>
                    </w:p>
                    <w:p>
                      <w:pPr>
                        <w:jc w:val="center"/>
                      </w:pPr>
                    </w:p>
                    <w:p>
                      <w:pPr>
                        <w:jc w:val="center"/>
                        <w:rPr>
                          <w:sz w:val="24"/>
                        </w:rPr>
                      </w:pPr>
                      <w:r>
                        <w:rPr>
                          <w:rFonts w:hint="eastAsia"/>
                          <w:sz w:val="24"/>
                        </w:rPr>
                        <w:t>法人代表人身份证复印件粘贴处</w:t>
                      </w:r>
                    </w:p>
                    <w:p>
                      <w:pPr>
                        <w:jc w:val="center"/>
                      </w:pPr>
                      <w:r>
                        <w:rPr>
                          <w:rFonts w:hint="eastAsia"/>
                          <w:sz w:val="24"/>
                        </w:rPr>
                        <w:t>（正面）</w:t>
                      </w:r>
                    </w:p>
                  </w:txbxContent>
                </v:textbox>
              </v:shape>
            </w:pict>
          </mc:Fallback>
        </mc:AlternateContent>
      </w:r>
      <w:r>
        <w:rPr>
          <w:rFonts w:ascii="宋体"/>
          <w:color w:val="000000" w:themeColor="text1"/>
          <w:sz w:val="30"/>
          <w14:textFill>
            <w14:solidFill>
              <w14:schemeClr w14:val="tx1"/>
            </w14:solidFill>
          </w14:textFill>
        </w:rPr>
        <w:br w:type="page"/>
      </w:r>
      <w:r>
        <w:rPr>
          <w:rFonts w:hint="eastAsia"/>
          <w:b w:val="0"/>
          <w:color w:val="000000" w:themeColor="text1"/>
          <w:sz w:val="21"/>
          <w:szCs w:val="21"/>
          <w14:textFill>
            <w14:solidFill>
              <w14:schemeClr w14:val="tx1"/>
            </w14:solidFill>
          </w14:textFill>
        </w:rPr>
        <w:t>附件6：</w:t>
      </w:r>
      <w:bookmarkEnd w:id="30"/>
      <w:bookmarkEnd w:id="31"/>
    </w:p>
    <w:p>
      <w:pPr>
        <w:spacing w:beforeLines="100" w:afterLines="150"/>
        <w:jc w:val="center"/>
        <w:rPr>
          <w:b/>
          <w:color w:val="000000" w:themeColor="text1"/>
          <w:sz w:val="44"/>
          <w:szCs w:val="44"/>
          <w14:textFill>
            <w14:solidFill>
              <w14:schemeClr w14:val="tx1"/>
            </w14:solidFill>
          </w14:textFill>
        </w:rPr>
      </w:pPr>
      <w:bookmarkStart w:id="32" w:name="_Toc37838057"/>
      <w:r>
        <w:rPr>
          <w:rFonts w:hint="eastAsia"/>
          <w:b/>
          <w:color w:val="000000" w:themeColor="text1"/>
          <w:sz w:val="44"/>
          <w:szCs w:val="44"/>
          <w14:textFill>
            <w14:solidFill>
              <w14:schemeClr w14:val="tx1"/>
            </w14:solidFill>
          </w14:textFill>
        </w:rPr>
        <w:t>法定代表人授权书</w:t>
      </w:r>
      <w:bookmarkEnd w:id="32"/>
    </w:p>
    <w:p>
      <w:pPr>
        <w:spacing w:line="480" w:lineRule="auto"/>
        <w:ind w:right="-351" w:rightChars="-167"/>
        <w:rPr>
          <w:color w:val="000000" w:themeColor="text1"/>
          <w:sz w:val="28"/>
          <w:szCs w:val="28"/>
          <w14:textFill>
            <w14:solidFill>
              <w14:schemeClr w14:val="tx1"/>
            </w14:solidFill>
          </w14:textFill>
        </w:rPr>
      </w:pPr>
      <w:r>
        <w:rPr>
          <w:rFonts w:hint="eastAsia"/>
          <w:color w:val="000000" w:themeColor="text1"/>
          <w:sz w:val="28"/>
          <w:szCs w:val="28"/>
          <w14:textFill>
            <w14:solidFill>
              <w14:schemeClr w14:val="tx1"/>
            </w14:solidFill>
          </w14:textFill>
        </w:rPr>
        <w:t>南通大学招投标管理办公室：</w:t>
      </w:r>
    </w:p>
    <w:p>
      <w:pPr>
        <w:widowControl/>
        <w:wordWrap w:val="0"/>
        <w:snapToGrid w:val="0"/>
        <w:spacing w:before="90" w:after="90" w:line="360" w:lineRule="auto"/>
        <w:ind w:firstLine="600"/>
        <w:jc w:val="left"/>
        <w:rPr>
          <w:color w:val="000000" w:themeColor="text1"/>
          <w:sz w:val="28"/>
          <w:szCs w:val="28"/>
          <w14:textFill>
            <w14:solidFill>
              <w14:schemeClr w14:val="tx1"/>
            </w14:solidFill>
          </w14:textFill>
        </w:rPr>
      </w:pPr>
      <w:r>
        <w:rPr>
          <w:rFonts w:hint="eastAsia"/>
          <w:color w:val="000000" w:themeColor="text1"/>
          <w:sz w:val="28"/>
          <w:szCs w:val="28"/>
          <w14:textFill>
            <w14:solidFill>
              <w14:schemeClr w14:val="tx1"/>
            </w14:solidFill>
          </w14:textFill>
        </w:rPr>
        <w:t>本授权书声明：我</w:t>
      </w:r>
      <w:r>
        <w:rPr>
          <w:rFonts w:hint="eastAsia"/>
          <w:color w:val="000000" w:themeColor="text1"/>
          <w:sz w:val="28"/>
          <w:szCs w:val="28"/>
          <w:u w:val="single"/>
          <w14:textFill>
            <w14:solidFill>
              <w14:schemeClr w14:val="tx1"/>
            </w14:solidFill>
          </w14:textFill>
        </w:rPr>
        <w:t>（法定代表人姓名）</w:t>
      </w:r>
      <w:r>
        <w:rPr>
          <w:rFonts w:hint="eastAsia"/>
          <w:color w:val="000000" w:themeColor="text1"/>
          <w:sz w:val="28"/>
          <w:szCs w:val="28"/>
          <w14:textFill>
            <w14:solidFill>
              <w14:schemeClr w14:val="tx1"/>
            </w14:solidFill>
          </w14:textFill>
        </w:rPr>
        <w:t>系</w:t>
      </w:r>
      <w:r>
        <w:rPr>
          <w:rFonts w:hint="eastAsia" w:ascii="宋体" w:hAnsi="宋体" w:cs="宋体"/>
          <w:color w:val="000000" w:themeColor="text1"/>
          <w:kern w:val="0"/>
          <w:sz w:val="28"/>
          <w:szCs w:val="28"/>
          <w:u w:val="single"/>
          <w14:textFill>
            <w14:solidFill>
              <w14:schemeClr w14:val="tx1"/>
            </w14:solidFill>
          </w14:textFill>
        </w:rPr>
        <w:t xml:space="preserve">（单位名称） </w:t>
      </w:r>
      <w:r>
        <w:rPr>
          <w:rFonts w:hint="eastAsia" w:ascii="宋体" w:hAnsi="宋体" w:cs="宋体"/>
          <w:color w:val="000000" w:themeColor="text1"/>
          <w:kern w:val="0"/>
          <w:sz w:val="28"/>
          <w:szCs w:val="28"/>
          <w14:textFill>
            <w14:solidFill>
              <w14:schemeClr w14:val="tx1"/>
            </w14:solidFill>
          </w14:textFill>
        </w:rPr>
        <w:t>的法定代表人，现</w:t>
      </w:r>
      <w:r>
        <w:rPr>
          <w:rFonts w:hint="eastAsia"/>
          <w:color w:val="000000" w:themeColor="text1"/>
          <w:sz w:val="28"/>
          <w:szCs w:val="28"/>
          <w14:textFill>
            <w14:solidFill>
              <w14:schemeClr w14:val="tx1"/>
            </w14:solidFill>
          </w14:textFill>
        </w:rPr>
        <w:t>代表本公司授权</w:t>
      </w:r>
      <w:r>
        <w:rPr>
          <w:rFonts w:hint="eastAsia"/>
          <w:color w:val="000000" w:themeColor="text1"/>
          <w:sz w:val="28"/>
          <w:szCs w:val="28"/>
          <w:u w:val="single"/>
          <w14:textFill>
            <w14:solidFill>
              <w14:schemeClr w14:val="tx1"/>
            </w14:solidFill>
          </w14:textFill>
        </w:rPr>
        <w:t>（单位名称）</w:t>
      </w:r>
      <w:r>
        <w:rPr>
          <w:rFonts w:hint="eastAsia"/>
          <w:color w:val="000000" w:themeColor="text1"/>
          <w:sz w:val="28"/>
          <w:szCs w:val="28"/>
          <w14:textFill>
            <w14:solidFill>
              <w14:schemeClr w14:val="tx1"/>
            </w14:solidFill>
          </w14:textFill>
        </w:rPr>
        <w:t>的</w:t>
      </w:r>
      <w:r>
        <w:rPr>
          <w:rFonts w:hint="eastAsia"/>
          <w:color w:val="000000" w:themeColor="text1"/>
          <w:sz w:val="28"/>
          <w:szCs w:val="28"/>
          <w:u w:val="single"/>
          <w14:textFill>
            <w14:solidFill>
              <w14:schemeClr w14:val="tx1"/>
            </w14:solidFill>
          </w14:textFill>
        </w:rPr>
        <w:t>（被授权人的姓名）</w:t>
      </w:r>
      <w:r>
        <w:rPr>
          <w:rFonts w:hint="eastAsia" w:ascii="宋体" w:hAnsi="宋体" w:cs="宋体"/>
          <w:color w:val="000000" w:themeColor="text1"/>
          <w:kern w:val="0"/>
          <w:sz w:val="28"/>
          <w:szCs w:val="28"/>
          <w14:textFill>
            <w14:solidFill>
              <w14:schemeClr w14:val="tx1"/>
            </w14:solidFill>
          </w14:textFill>
        </w:rPr>
        <w:t>身份证号码：</w:t>
      </w:r>
      <w:r>
        <w:rPr>
          <w:rFonts w:hint="eastAsia"/>
          <w:color w:val="000000" w:themeColor="text1"/>
          <w:sz w:val="28"/>
          <w:szCs w:val="28"/>
          <w14:textFill>
            <w14:solidFill>
              <w14:schemeClr w14:val="tx1"/>
            </w14:solidFill>
          </w14:textFill>
        </w:rPr>
        <w:t>为本公司的合法代理人，参加南通大学</w:t>
      </w:r>
      <w:r>
        <w:rPr>
          <w:rFonts w:hint="eastAsia"/>
          <w:color w:val="000000" w:themeColor="text1"/>
          <w:sz w:val="28"/>
          <w:szCs w:val="28"/>
          <w:u w:val="single"/>
          <w14:textFill>
            <w14:solidFill>
              <w14:schemeClr w14:val="tx1"/>
            </w14:solidFill>
          </w14:textFill>
        </w:rPr>
        <w:t>（项目名称及编号）</w:t>
      </w:r>
      <w:r>
        <w:rPr>
          <w:rFonts w:hint="eastAsia"/>
          <w:color w:val="000000" w:themeColor="text1"/>
          <w:sz w:val="28"/>
          <w:szCs w:val="28"/>
          <w14:textFill>
            <w14:solidFill>
              <w14:schemeClr w14:val="tx1"/>
            </w14:solidFill>
          </w14:textFill>
        </w:rPr>
        <w:t>的投标，</w:t>
      </w:r>
      <w:r>
        <w:rPr>
          <w:rFonts w:hint="eastAsia" w:ascii="宋体" w:hAnsi="宋体" w:cs="宋体"/>
          <w:color w:val="000000" w:themeColor="text1"/>
          <w:kern w:val="0"/>
          <w:sz w:val="28"/>
          <w:szCs w:val="28"/>
          <w14:textFill>
            <w14:solidFill>
              <w14:schemeClr w14:val="tx1"/>
            </w14:solidFill>
          </w14:textFill>
        </w:rPr>
        <w:t>代表本公司签署投标文件、进行</w:t>
      </w:r>
      <w:r>
        <w:rPr>
          <w:rFonts w:hint="eastAsia"/>
          <w:color w:val="000000" w:themeColor="text1"/>
          <w:sz w:val="28"/>
          <w:szCs w:val="28"/>
          <w14:textFill>
            <w14:solidFill>
              <w14:schemeClr w14:val="tx1"/>
            </w14:solidFill>
          </w14:textFill>
        </w:rPr>
        <w:t>谈判、签订合同和处理与之有关的一切事务。</w:t>
      </w:r>
    </w:p>
    <w:p>
      <w:pPr>
        <w:widowControl/>
        <w:wordWrap w:val="0"/>
        <w:snapToGrid w:val="0"/>
        <w:spacing w:before="90" w:after="90" w:line="360" w:lineRule="auto"/>
        <w:ind w:firstLine="600"/>
        <w:jc w:val="left"/>
        <w:rPr>
          <w:color w:val="000000" w:themeColor="text1"/>
          <w:sz w:val="28"/>
          <w:szCs w:val="28"/>
          <w14:textFill>
            <w14:solidFill>
              <w14:schemeClr w14:val="tx1"/>
            </w14:solidFill>
          </w14:textFill>
        </w:rPr>
      </w:pPr>
      <w:r>
        <w:rPr>
          <w:rFonts w:hint="eastAsia"/>
          <w:color w:val="000000" w:themeColor="text1"/>
          <w:sz w:val="28"/>
          <w:szCs w:val="28"/>
          <w14:textFill>
            <w14:solidFill>
              <w14:schemeClr w14:val="tx1"/>
            </w14:solidFill>
          </w14:textFill>
        </w:rPr>
        <w:t>本授权书于</w:t>
      </w:r>
      <w:r>
        <w:rPr>
          <w:color w:val="000000" w:themeColor="text1"/>
          <w:sz w:val="28"/>
          <w:szCs w:val="28"/>
          <w14:textFill>
            <w14:solidFill>
              <w14:schemeClr w14:val="tx1"/>
            </w14:solidFill>
          </w14:textFill>
        </w:rPr>
        <w:t>_______</w:t>
      </w:r>
      <w:r>
        <w:rPr>
          <w:rFonts w:hint="eastAsia"/>
          <w:color w:val="000000" w:themeColor="text1"/>
          <w:sz w:val="28"/>
          <w:szCs w:val="28"/>
          <w14:textFill>
            <w14:solidFill>
              <w14:schemeClr w14:val="tx1"/>
            </w14:solidFill>
          </w14:textFill>
        </w:rPr>
        <w:t>年</w:t>
      </w:r>
      <w:r>
        <w:rPr>
          <w:color w:val="000000" w:themeColor="text1"/>
          <w:sz w:val="28"/>
          <w:szCs w:val="28"/>
          <w14:textFill>
            <w14:solidFill>
              <w14:schemeClr w14:val="tx1"/>
            </w14:solidFill>
          </w14:textFill>
        </w:rPr>
        <w:t>____</w:t>
      </w:r>
      <w:r>
        <w:rPr>
          <w:rFonts w:hint="eastAsia"/>
          <w:color w:val="000000" w:themeColor="text1"/>
          <w:sz w:val="28"/>
          <w:szCs w:val="28"/>
          <w14:textFill>
            <w14:solidFill>
              <w14:schemeClr w14:val="tx1"/>
            </w14:solidFill>
          </w14:textFill>
        </w:rPr>
        <w:t>月</w:t>
      </w:r>
      <w:r>
        <w:rPr>
          <w:color w:val="000000" w:themeColor="text1"/>
          <w:sz w:val="28"/>
          <w:szCs w:val="28"/>
          <w14:textFill>
            <w14:solidFill>
              <w14:schemeClr w14:val="tx1"/>
            </w14:solidFill>
          </w14:textFill>
        </w:rPr>
        <w:t>____</w:t>
      </w:r>
      <w:r>
        <w:rPr>
          <w:rFonts w:hint="eastAsia"/>
          <w:color w:val="000000" w:themeColor="text1"/>
          <w:sz w:val="28"/>
          <w:szCs w:val="28"/>
          <w14:textFill>
            <w14:solidFill>
              <w14:schemeClr w14:val="tx1"/>
            </w14:solidFill>
          </w14:textFill>
        </w:rPr>
        <w:t>日签字生效。</w:t>
      </w:r>
    </w:p>
    <w:p>
      <w:pPr>
        <w:widowControl/>
        <w:wordWrap w:val="0"/>
        <w:snapToGrid w:val="0"/>
        <w:spacing w:before="90" w:after="90" w:line="360" w:lineRule="auto"/>
        <w:ind w:firstLine="600"/>
        <w:jc w:val="left"/>
        <w:rPr>
          <w:color w:val="000000" w:themeColor="text1"/>
          <w:sz w:val="28"/>
          <w:szCs w:val="28"/>
          <w14:textFill>
            <w14:solidFill>
              <w14:schemeClr w14:val="tx1"/>
            </w14:solidFill>
          </w14:textFill>
        </w:rPr>
      </w:pPr>
      <w:r>
        <w:rPr>
          <w:rFonts w:hint="eastAsia"/>
          <w:color w:val="000000" w:themeColor="text1"/>
          <w:sz w:val="28"/>
          <w:szCs w:val="28"/>
          <w14:textFill>
            <w14:solidFill>
              <w14:schemeClr w14:val="tx1"/>
            </w14:solidFill>
          </w14:textFill>
        </w:rPr>
        <w:t>法定代表人签字：</w:t>
      </w:r>
      <w:r>
        <w:rPr>
          <w:color w:val="000000" w:themeColor="text1"/>
          <w:sz w:val="28"/>
          <w:szCs w:val="28"/>
          <w14:textFill>
            <w14:solidFill>
              <w14:schemeClr w14:val="tx1"/>
            </w14:solidFill>
          </w14:textFill>
        </w:rPr>
        <w:t>__________________</w:t>
      </w:r>
    </w:p>
    <w:p>
      <w:pPr>
        <w:widowControl/>
        <w:wordWrap w:val="0"/>
        <w:snapToGrid w:val="0"/>
        <w:spacing w:before="90" w:after="90" w:line="360" w:lineRule="auto"/>
        <w:ind w:firstLine="600"/>
        <w:jc w:val="left"/>
        <w:rPr>
          <w:color w:val="000000" w:themeColor="text1"/>
          <w:sz w:val="28"/>
          <w:szCs w:val="28"/>
          <w14:textFill>
            <w14:solidFill>
              <w14:schemeClr w14:val="tx1"/>
            </w14:solidFill>
          </w14:textFill>
        </w:rPr>
      </w:pPr>
      <w:r>
        <w:rPr>
          <w:rFonts w:hint="eastAsia"/>
          <w:color w:val="000000" w:themeColor="text1"/>
          <w:sz w:val="28"/>
          <w:szCs w:val="28"/>
          <w14:textFill>
            <w14:solidFill>
              <w14:schemeClr w14:val="tx1"/>
            </w14:solidFill>
          </w14:textFill>
        </w:rPr>
        <w:t>被授权人签字：</w:t>
      </w:r>
      <w:r>
        <w:rPr>
          <w:color w:val="000000" w:themeColor="text1"/>
          <w:sz w:val="28"/>
          <w:szCs w:val="28"/>
          <w14:textFill>
            <w14:solidFill>
              <w14:schemeClr w14:val="tx1"/>
            </w14:solidFill>
          </w14:textFill>
        </w:rPr>
        <w:t>____________________</w:t>
      </w:r>
    </w:p>
    <w:p>
      <w:pPr>
        <w:widowControl/>
        <w:wordWrap w:val="0"/>
        <w:snapToGrid w:val="0"/>
        <w:spacing w:before="90" w:after="90" w:line="360" w:lineRule="auto"/>
        <w:ind w:firstLine="3360" w:firstLineChars="1200"/>
        <w:jc w:val="left"/>
        <w:rPr>
          <w:rFonts w:ascii="宋体" w:cs="宋体"/>
          <w:color w:val="000000" w:themeColor="text1"/>
          <w:kern w:val="0"/>
          <w:sz w:val="28"/>
          <w:szCs w:val="28"/>
          <w14:textFill>
            <w14:solidFill>
              <w14:schemeClr w14:val="tx1"/>
            </w14:solidFill>
          </w14:textFill>
        </w:rPr>
      </w:pPr>
      <w:r>
        <w:rPr>
          <w:rFonts w:hint="eastAsia" w:ascii="宋体" w:hAnsi="宋体" w:cs="宋体"/>
          <w:color w:val="000000" w:themeColor="text1"/>
          <w:kern w:val="0"/>
          <w:sz w:val="28"/>
          <w:szCs w:val="28"/>
          <w14:textFill>
            <w14:solidFill>
              <w14:schemeClr w14:val="tx1"/>
            </w14:solidFill>
          </w14:textFill>
        </w:rPr>
        <w:t>投标人：（公章）</w:t>
      </w:r>
    </w:p>
    <w:p>
      <w:pPr>
        <w:widowControl/>
        <w:wordWrap w:val="0"/>
        <w:snapToGrid w:val="0"/>
        <w:spacing w:before="90" w:after="90" w:line="360" w:lineRule="auto"/>
        <w:ind w:firstLine="3360" w:firstLineChars="1200"/>
        <w:jc w:val="left"/>
        <w:rPr>
          <w:rFonts w:ascii="宋体" w:cs="宋体"/>
          <w:color w:val="000000" w:themeColor="text1"/>
          <w:kern w:val="0"/>
          <w:sz w:val="28"/>
          <w:szCs w:val="28"/>
          <w14:textFill>
            <w14:solidFill>
              <w14:schemeClr w14:val="tx1"/>
            </w14:solidFill>
          </w14:textFill>
        </w:rPr>
      </w:pPr>
      <w:r>
        <w:rPr>
          <w:rFonts w:hint="eastAsia" w:ascii="宋体" w:hAnsi="宋体" w:cs="宋体"/>
          <w:color w:val="000000" w:themeColor="text1"/>
          <w:kern w:val="0"/>
          <w:sz w:val="28"/>
          <w:szCs w:val="28"/>
          <w14:textFill>
            <w14:solidFill>
              <w14:schemeClr w14:val="tx1"/>
            </w14:solidFill>
          </w14:textFill>
        </w:rPr>
        <w:t>日期：</w:t>
      </w:r>
      <w:r>
        <w:rPr>
          <w:rFonts w:hint="eastAsia" w:ascii="宋体" w:hAnsi="宋体" w:cs="宋体"/>
          <w:color w:val="000000" w:themeColor="text1"/>
          <w:kern w:val="0"/>
          <w:sz w:val="28"/>
          <w:szCs w:val="28"/>
          <w:lang w:val="en-US" w:eastAsia="zh-CN"/>
          <w14:textFill>
            <w14:solidFill>
              <w14:schemeClr w14:val="tx1"/>
            </w14:solidFill>
          </w14:textFill>
        </w:rPr>
        <w:t xml:space="preserve">    </w:t>
      </w:r>
      <w:r>
        <w:rPr>
          <w:rFonts w:hint="eastAsia" w:ascii="宋体" w:hAnsi="宋体" w:cs="宋体"/>
          <w:color w:val="000000" w:themeColor="text1"/>
          <w:kern w:val="0"/>
          <w:sz w:val="28"/>
          <w:szCs w:val="28"/>
          <w14:textFill>
            <w14:solidFill>
              <w14:schemeClr w14:val="tx1"/>
            </w14:solidFill>
          </w14:textFill>
        </w:rPr>
        <w:t>年</w:t>
      </w:r>
      <w:r>
        <w:rPr>
          <w:rFonts w:hint="eastAsia" w:ascii="宋体" w:hAnsi="宋体" w:cs="宋体"/>
          <w:color w:val="000000" w:themeColor="text1"/>
          <w:kern w:val="0"/>
          <w:sz w:val="28"/>
          <w:szCs w:val="28"/>
          <w:lang w:val="en-US" w:eastAsia="zh-CN"/>
          <w14:textFill>
            <w14:solidFill>
              <w14:schemeClr w14:val="tx1"/>
            </w14:solidFill>
          </w14:textFill>
        </w:rPr>
        <w:t xml:space="preserve">   </w:t>
      </w:r>
      <w:r>
        <w:rPr>
          <w:rFonts w:hint="eastAsia" w:ascii="宋体" w:hAnsi="宋体" w:cs="宋体"/>
          <w:color w:val="000000" w:themeColor="text1"/>
          <w:kern w:val="0"/>
          <w:sz w:val="28"/>
          <w:szCs w:val="28"/>
          <w14:textFill>
            <w14:solidFill>
              <w14:schemeClr w14:val="tx1"/>
            </w14:solidFill>
          </w14:textFill>
        </w:rPr>
        <w:t>月</w:t>
      </w:r>
      <w:r>
        <w:rPr>
          <w:rFonts w:hint="eastAsia" w:ascii="宋体" w:hAnsi="宋体" w:cs="宋体"/>
          <w:color w:val="000000" w:themeColor="text1"/>
          <w:kern w:val="0"/>
          <w:sz w:val="28"/>
          <w:szCs w:val="28"/>
          <w:lang w:val="en-US" w:eastAsia="zh-CN"/>
          <w14:textFill>
            <w14:solidFill>
              <w14:schemeClr w14:val="tx1"/>
            </w14:solidFill>
          </w14:textFill>
        </w:rPr>
        <w:t xml:space="preserve">   </w:t>
      </w:r>
      <w:r>
        <w:rPr>
          <w:rFonts w:hint="eastAsia" w:ascii="宋体" w:hAnsi="宋体" w:cs="宋体"/>
          <w:color w:val="000000" w:themeColor="text1"/>
          <w:kern w:val="0"/>
          <w:sz w:val="28"/>
          <w:szCs w:val="28"/>
          <w14:textFill>
            <w14:solidFill>
              <w14:schemeClr w14:val="tx1"/>
            </w14:solidFill>
          </w14:textFill>
        </w:rPr>
        <w:t>日</w:t>
      </w:r>
    </w:p>
    <w:p>
      <w:pPr>
        <w:spacing w:line="360" w:lineRule="auto"/>
        <w:ind w:right="-351" w:rightChars="-167"/>
        <w:rPr>
          <w:color w:val="000000" w:themeColor="text1"/>
          <w:sz w:val="28"/>
          <w:szCs w:val="28"/>
          <w14:textFill>
            <w14:solidFill>
              <w14:schemeClr w14:val="tx1"/>
            </w14:solidFill>
          </w14:textFill>
        </w:rPr>
      </w:pPr>
      <w:r>
        <w:rPr>
          <w:color w:val="000000" w:themeColor="text1"/>
          <w14:textFill>
            <w14:solidFill>
              <w14:schemeClr w14:val="tx1"/>
            </w14:solidFill>
          </w14:textFill>
        </w:rPr>
        <mc:AlternateContent>
          <mc:Choice Requires="wps">
            <w:drawing>
              <wp:anchor distT="0" distB="0" distL="114300" distR="114300" simplePos="0" relativeHeight="251659264" behindDoc="0" locked="0" layoutInCell="1" allowOverlap="1">
                <wp:simplePos x="0" y="0"/>
                <wp:positionH relativeFrom="column">
                  <wp:posOffset>3133725</wp:posOffset>
                </wp:positionH>
                <wp:positionV relativeFrom="paragraph">
                  <wp:posOffset>116205</wp:posOffset>
                </wp:positionV>
                <wp:extent cx="2647950" cy="2179320"/>
                <wp:effectExtent l="5080" t="4445" r="13970" b="6985"/>
                <wp:wrapNone/>
                <wp:docPr id="4" name="文本框 4"/>
                <wp:cNvGraphicFramePr/>
                <a:graphic xmlns:a="http://schemas.openxmlformats.org/drawingml/2006/main">
                  <a:graphicData uri="http://schemas.microsoft.com/office/word/2010/wordprocessingShape">
                    <wps:wsp>
                      <wps:cNvSpPr txBox="1">
                        <a:spLocks noChangeArrowheads="1"/>
                      </wps:cNvSpPr>
                      <wps:spPr bwMode="auto">
                        <a:xfrm>
                          <a:off x="0" y="0"/>
                          <a:ext cx="2647950" cy="2179320"/>
                        </a:xfrm>
                        <a:prstGeom prst="rect">
                          <a:avLst/>
                        </a:prstGeom>
                        <a:solidFill>
                          <a:srgbClr val="FFFFFF"/>
                        </a:solidFill>
                        <a:ln w="9525">
                          <a:solidFill>
                            <a:srgbClr val="000000"/>
                          </a:solidFill>
                          <a:miter lim="800000"/>
                        </a:ln>
                        <a:effectLst/>
                      </wps:spPr>
                      <wps:txbx>
                        <w:txbxContent>
                          <w:p/>
                          <w:p/>
                          <w:p/>
                          <w:p/>
                          <w:p>
                            <w:pPr>
                              <w:jc w:val="center"/>
                              <w:rPr>
                                <w:sz w:val="24"/>
                              </w:rPr>
                            </w:pPr>
                            <w:r>
                              <w:rPr>
                                <w:rFonts w:hint="eastAsia"/>
                                <w:sz w:val="24"/>
                              </w:rPr>
                              <w:t>被授权人身份证复印件粘贴处</w:t>
                            </w:r>
                          </w:p>
                          <w:p>
                            <w:pPr>
                              <w:jc w:val="center"/>
                            </w:pPr>
                            <w:r>
                              <w:rPr>
                                <w:rFonts w:hint="eastAsia"/>
                                <w:sz w:val="24"/>
                              </w:rPr>
                              <w:t>（反面）</w:t>
                            </w:r>
                          </w:p>
                        </w:txbxContent>
                      </wps:txbx>
                      <wps:bodyPr rot="0" vert="horz" wrap="square" lIns="91440" tIns="45720" rIns="91440" bIns="45720" anchor="t" anchorCtr="0" upright="1">
                        <a:noAutofit/>
                      </wps:bodyPr>
                    </wps:wsp>
                  </a:graphicData>
                </a:graphic>
              </wp:anchor>
            </w:drawing>
          </mc:Choice>
          <mc:Fallback>
            <w:pict>
              <v:shape id="_x0000_s1026" o:spid="_x0000_s1026" o:spt="202" type="#_x0000_t202" style="position:absolute;left:0pt;margin-left:246.75pt;margin-top:9.15pt;height:171.6pt;width:208.5pt;z-index:251659264;mso-width-relative:page;mso-height-relative:page;" fillcolor="#FFFFFF" filled="t" stroked="t" coordsize="21600,21600" o:gfxdata="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">
                <v:fill on="t" focussize="0,0"/>
                <v:stroke color="#000000" miterlimit="8" joinstyle="miter"/>
                <v:imagedata o:title=""/>
                <o:lock v:ext="edit" aspectratio="f"/>
                <v:textbox>
                  <w:txbxContent>
                    <w:p/>
                    <w:p/>
                    <w:p/>
                    <w:p/>
                    <w:p>
                      <w:pPr>
                        <w:jc w:val="center"/>
                        <w:rPr>
                          <w:sz w:val="24"/>
                        </w:rPr>
                      </w:pPr>
                      <w:r>
                        <w:rPr>
                          <w:rFonts w:hint="eastAsia"/>
                          <w:sz w:val="24"/>
                        </w:rPr>
                        <w:t>被授权人身份证复印件粘贴处</w:t>
                      </w:r>
                    </w:p>
                    <w:p>
                      <w:pPr>
                        <w:jc w:val="center"/>
                      </w:pPr>
                      <w:r>
                        <w:rPr>
                          <w:rFonts w:hint="eastAsia"/>
                          <w:sz w:val="24"/>
                        </w:rPr>
                        <w:t>（反面）</w:t>
                      </w:r>
                    </w:p>
                  </w:txbxContent>
                </v:textbox>
              </v:shape>
            </w:pict>
          </mc:Fallback>
        </mc:AlternateContent>
      </w:r>
      <w:r>
        <w:rPr>
          <w:color w:val="000000" w:themeColor="text1"/>
          <w14:textFill>
            <w14:solidFill>
              <w14:schemeClr w14:val="tx1"/>
            </w14:solidFill>
          </w14:textFill>
        </w:rPr>
        <mc:AlternateContent>
          <mc:Choice Requires="wps">
            <w:drawing>
              <wp:anchor distT="0" distB="0" distL="114300" distR="114300" simplePos="0" relativeHeight="251657216" behindDoc="0" locked="0" layoutInCell="1" allowOverlap="1">
                <wp:simplePos x="0" y="0"/>
                <wp:positionH relativeFrom="column">
                  <wp:posOffset>295275</wp:posOffset>
                </wp:positionH>
                <wp:positionV relativeFrom="paragraph">
                  <wp:posOffset>116205</wp:posOffset>
                </wp:positionV>
                <wp:extent cx="2647950" cy="2179320"/>
                <wp:effectExtent l="5080" t="4445" r="13970" b="6985"/>
                <wp:wrapNone/>
                <wp:docPr id="1" name="文本框 1"/>
                <wp:cNvGraphicFramePr/>
                <a:graphic xmlns:a="http://schemas.openxmlformats.org/drawingml/2006/main">
                  <a:graphicData uri="http://schemas.microsoft.com/office/word/2010/wordprocessingShape">
                    <wps:wsp>
                      <wps:cNvSpPr txBox="1">
                        <a:spLocks noChangeArrowheads="1"/>
                      </wps:cNvSpPr>
                      <wps:spPr bwMode="auto">
                        <a:xfrm>
                          <a:off x="0" y="0"/>
                          <a:ext cx="2647950" cy="2179320"/>
                        </a:xfrm>
                        <a:prstGeom prst="rect">
                          <a:avLst/>
                        </a:prstGeom>
                        <a:solidFill>
                          <a:srgbClr val="FFFFFF"/>
                        </a:solidFill>
                        <a:ln w="9525">
                          <a:solidFill>
                            <a:srgbClr val="000000"/>
                          </a:solidFill>
                          <a:miter lim="800000"/>
                        </a:ln>
                        <a:effectLst/>
                      </wps:spPr>
                      <wps:txbx>
                        <w:txbxContent>
                          <w:p/>
                          <w:p/>
                          <w:p/>
                          <w:p/>
                          <w:p>
                            <w:pPr>
                              <w:jc w:val="center"/>
                              <w:rPr>
                                <w:sz w:val="24"/>
                              </w:rPr>
                            </w:pPr>
                            <w:r>
                              <w:rPr>
                                <w:rFonts w:hint="eastAsia"/>
                                <w:sz w:val="24"/>
                              </w:rPr>
                              <w:t>被授权人身份证复印件粘贴处</w:t>
                            </w:r>
                          </w:p>
                          <w:p>
                            <w:pPr>
                              <w:jc w:val="center"/>
                            </w:pPr>
                            <w:r>
                              <w:rPr>
                                <w:rFonts w:hint="eastAsia"/>
                                <w:sz w:val="24"/>
                              </w:rPr>
                              <w:t>（正面）</w:t>
                            </w:r>
                          </w:p>
                        </w:txbxContent>
                      </wps:txbx>
                      <wps:bodyPr rot="0" vert="horz" wrap="square" lIns="91440" tIns="45720" rIns="91440" bIns="45720" anchor="t" anchorCtr="0" upright="1">
                        <a:noAutofit/>
                      </wps:bodyPr>
                    </wps:wsp>
                  </a:graphicData>
                </a:graphic>
              </wp:anchor>
            </w:drawing>
          </mc:Choice>
          <mc:Fallback>
            <w:pict>
              <v:shape id="_x0000_s1026" o:spid="_x0000_s1026" o:spt="202" type="#_x0000_t202" style="position:absolute;left:0pt;margin-left:23.25pt;margin-top:9.15pt;height:171.6pt;width:208.5pt;z-index:251657216;mso-width-relative:page;mso-height-relative:page;" fillcolor="#FFFFFF" filled="t" stroked="t" coordsize="21600,21600" o:gfxdata="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">
                <v:fill on="t" focussize="0,0"/>
                <v:stroke color="#000000" miterlimit="8" joinstyle="miter"/>
                <v:imagedata o:title=""/>
                <o:lock v:ext="edit" aspectratio="f"/>
                <v:textbox>
                  <w:txbxContent>
                    <w:p/>
                    <w:p/>
                    <w:p/>
                    <w:p/>
                    <w:p>
                      <w:pPr>
                        <w:jc w:val="center"/>
                        <w:rPr>
                          <w:sz w:val="24"/>
                        </w:rPr>
                      </w:pPr>
                      <w:r>
                        <w:rPr>
                          <w:rFonts w:hint="eastAsia"/>
                          <w:sz w:val="24"/>
                        </w:rPr>
                        <w:t>被授权人身份证复印件粘贴处</w:t>
                      </w:r>
                    </w:p>
                    <w:p>
                      <w:pPr>
                        <w:jc w:val="center"/>
                      </w:pPr>
                      <w:r>
                        <w:rPr>
                          <w:rFonts w:hint="eastAsia"/>
                          <w:sz w:val="24"/>
                        </w:rPr>
                        <w:t>（正面）</w:t>
                      </w:r>
                    </w:p>
                  </w:txbxContent>
                </v:textbox>
              </v:shape>
            </w:pict>
          </mc:Fallback>
        </mc:AlternateContent>
      </w:r>
    </w:p>
    <w:p>
      <w:pPr>
        <w:spacing w:line="360" w:lineRule="auto"/>
        <w:ind w:right="-351" w:rightChars="-167"/>
        <w:rPr>
          <w:color w:val="000000" w:themeColor="text1"/>
          <w:sz w:val="28"/>
          <w:szCs w:val="28"/>
          <w14:textFill>
            <w14:solidFill>
              <w14:schemeClr w14:val="tx1"/>
            </w14:solidFill>
          </w14:textFill>
        </w:rPr>
      </w:pPr>
    </w:p>
    <w:p>
      <w:pPr>
        <w:spacing w:line="360" w:lineRule="auto"/>
        <w:ind w:right="-351" w:rightChars="-167"/>
        <w:rPr>
          <w:color w:val="000000" w:themeColor="text1"/>
          <w:sz w:val="28"/>
          <w:szCs w:val="28"/>
          <w14:textFill>
            <w14:solidFill>
              <w14:schemeClr w14:val="tx1"/>
            </w14:solidFill>
          </w14:textFill>
        </w:rPr>
      </w:pPr>
    </w:p>
    <w:p>
      <w:pPr>
        <w:spacing w:line="360" w:lineRule="auto"/>
        <w:ind w:right="-351" w:rightChars="-167"/>
        <w:rPr>
          <w:color w:val="000000" w:themeColor="text1"/>
          <w:sz w:val="28"/>
          <w:szCs w:val="28"/>
          <w14:textFill>
            <w14:solidFill>
              <w14:schemeClr w14:val="tx1"/>
            </w14:solidFill>
          </w14:textFill>
        </w:rPr>
      </w:pPr>
    </w:p>
    <w:p>
      <w:pPr>
        <w:pStyle w:val="40"/>
        <w:shd w:val="clear" w:color="auto" w:fill="FFFFFF"/>
        <w:spacing w:before="0" w:beforeAutospacing="0" w:after="0" w:afterAutospacing="0" w:line="2160" w:lineRule="atLeast"/>
        <w:rPr>
          <w:color w:val="000000" w:themeColor="text1"/>
          <w14:textFill>
            <w14:solidFill>
              <w14:schemeClr w14:val="tx1"/>
            </w14:solidFill>
          </w14:textFill>
        </w:rPr>
      </w:pPr>
      <w:r>
        <w:rPr>
          <w:rFonts w:hint="eastAsia"/>
          <w:color w:val="000000" w:themeColor="text1"/>
          <w14:textFill>
            <w14:solidFill>
              <w14:schemeClr w14:val="tx1"/>
            </w14:solidFill>
          </w14:textFill>
        </w:rPr>
        <w:t>注：“法定代表人”直接参加投标和签署投标文件的无需提供该授权书。</w:t>
      </w:r>
    </w:p>
    <w:p>
      <w:pPr>
        <w:rPr>
          <w:rFonts w:ascii="仿宋_GB2312" w:hAnsi="宋体" w:eastAsia="仿宋_GB2312"/>
          <w:color w:val="000000"/>
          <w:kern w:val="0"/>
          <w:sz w:val="24"/>
          <w:szCs w:val="24"/>
        </w:rPr>
        <w:sectPr>
          <w:pgSz w:w="11906" w:h="16838"/>
          <w:pgMar w:top="1440" w:right="1486" w:bottom="1440" w:left="1180" w:header="851" w:footer="992" w:gutter="0"/>
          <w:cols w:space="425" w:num="1"/>
          <w:docGrid w:type="lines" w:linePitch="312" w:charSpace="0"/>
        </w:sectPr>
      </w:pPr>
    </w:p>
    <w:p>
      <w:pPr>
        <w:rPr>
          <w:rFonts w:ascii="仿宋_GB2312" w:hAnsi="宋体" w:eastAsia="仿宋_GB2312"/>
          <w:color w:val="000000"/>
          <w:kern w:val="0"/>
          <w:sz w:val="24"/>
          <w:szCs w:val="24"/>
        </w:rPr>
      </w:pPr>
      <w:r>
        <w:rPr>
          <w:rFonts w:hint="eastAsia"/>
          <w:color w:val="000000" w:themeColor="text1"/>
          <w14:textFill>
            <w14:solidFill>
              <w14:schemeClr w14:val="tx1"/>
            </w14:solidFill>
          </w14:textFill>
        </w:rPr>
        <w:t>附件7：</w:t>
      </w:r>
    </w:p>
    <w:p>
      <w:pPr>
        <w:jc w:val="center"/>
        <w:rPr>
          <w:b/>
          <w:color w:val="000000" w:themeColor="text1"/>
          <w:sz w:val="44"/>
          <w:szCs w:val="44"/>
          <w14:textFill>
            <w14:solidFill>
              <w14:schemeClr w14:val="tx1"/>
            </w14:solidFill>
          </w14:textFill>
        </w:rPr>
      </w:pPr>
      <w:r>
        <w:rPr>
          <w:rFonts w:hint="eastAsia"/>
          <w:b/>
          <w:color w:val="000000" w:themeColor="text1"/>
          <w:sz w:val="44"/>
          <w:szCs w:val="44"/>
          <w14:textFill>
            <w14:solidFill>
              <w14:schemeClr w14:val="tx1"/>
            </w14:solidFill>
          </w14:textFill>
        </w:rPr>
        <w:t>南通大学采购谈判二次报价单</w:t>
      </w:r>
    </w:p>
    <w:tbl>
      <w:tblPr>
        <w:tblStyle w:val="17"/>
        <w:tblW w:w="14206" w:type="dxa"/>
        <w:tblInd w:w="-10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344"/>
        <w:gridCol w:w="1704"/>
        <w:gridCol w:w="2973"/>
        <w:gridCol w:w="2277"/>
        <w:gridCol w:w="1540"/>
        <w:gridCol w:w="955"/>
        <w:gridCol w:w="1983"/>
        <w:gridCol w:w="1430"/>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3" w:hRule="atLeast"/>
        </w:trPr>
        <w:tc>
          <w:tcPr>
            <w:tcW w:w="1344" w:type="dxa"/>
            <w:vAlign w:val="center"/>
          </w:tcPr>
          <w:p>
            <w:pPr>
              <w:spacing w:line="360" w:lineRule="auto"/>
              <w:jc w:val="center"/>
              <w:rPr>
                <w:rFonts w:ascii="宋体"/>
                <w:b/>
                <w:bCs/>
                <w:color w:val="000000"/>
              </w:rPr>
            </w:pPr>
            <w:r>
              <w:rPr>
                <w:rFonts w:hint="eastAsia" w:ascii="宋体" w:hAnsi="宋体" w:cs="宋体"/>
                <w:b/>
                <w:bCs/>
                <w:color w:val="000000"/>
                <w:sz w:val="24"/>
                <w:szCs w:val="24"/>
              </w:rPr>
              <w:t>项目名称</w:t>
            </w:r>
          </w:p>
        </w:tc>
        <w:tc>
          <w:tcPr>
            <w:tcW w:w="12862" w:type="dxa"/>
            <w:gridSpan w:val="7"/>
            <w:vAlign w:val="center"/>
          </w:tcPr>
          <w:p>
            <w:pPr>
              <w:spacing w:line="360" w:lineRule="auto"/>
              <w:jc w:val="center"/>
              <w:rPr>
                <w:rFonts w:ascii="宋体"/>
                <w:b/>
                <w:bCs/>
                <w:color w:val="000000"/>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39" w:hRule="atLeast"/>
        </w:trPr>
        <w:tc>
          <w:tcPr>
            <w:tcW w:w="1344" w:type="dxa"/>
            <w:vAlign w:val="center"/>
          </w:tcPr>
          <w:p>
            <w:pPr>
              <w:spacing w:line="360" w:lineRule="auto"/>
              <w:jc w:val="center"/>
              <w:rPr>
                <w:rFonts w:ascii="宋体"/>
                <w:b/>
                <w:bCs/>
                <w:color w:val="000000"/>
              </w:rPr>
            </w:pPr>
            <w:r>
              <w:rPr>
                <w:rFonts w:hint="eastAsia" w:ascii="宋体" w:hAnsi="宋体" w:cs="宋体"/>
                <w:b/>
                <w:bCs/>
                <w:color w:val="000000"/>
              </w:rPr>
              <w:t>序号</w:t>
            </w:r>
          </w:p>
        </w:tc>
        <w:tc>
          <w:tcPr>
            <w:tcW w:w="1704" w:type="dxa"/>
            <w:vAlign w:val="center"/>
          </w:tcPr>
          <w:p>
            <w:pPr>
              <w:spacing w:line="360" w:lineRule="auto"/>
              <w:jc w:val="center"/>
              <w:rPr>
                <w:rFonts w:ascii="宋体"/>
                <w:b/>
                <w:bCs/>
                <w:color w:val="000000"/>
              </w:rPr>
            </w:pPr>
            <w:r>
              <w:rPr>
                <w:rFonts w:hint="eastAsia" w:ascii="宋体" w:hAnsi="宋体" w:cs="宋体"/>
                <w:b/>
                <w:bCs/>
                <w:color w:val="000000"/>
              </w:rPr>
              <w:t>名称</w:t>
            </w:r>
          </w:p>
        </w:tc>
        <w:tc>
          <w:tcPr>
            <w:tcW w:w="2973" w:type="dxa"/>
            <w:vAlign w:val="center"/>
          </w:tcPr>
          <w:p>
            <w:pPr>
              <w:spacing w:line="360" w:lineRule="auto"/>
              <w:jc w:val="center"/>
              <w:rPr>
                <w:rFonts w:ascii="宋体"/>
                <w:b/>
                <w:bCs/>
                <w:color w:val="000000"/>
              </w:rPr>
            </w:pPr>
            <w:r>
              <w:rPr>
                <w:rFonts w:hint="eastAsia" w:ascii="宋体" w:hAnsi="宋体" w:cs="宋体"/>
                <w:b/>
                <w:bCs/>
                <w:color w:val="000000"/>
              </w:rPr>
              <w:t>规格型号</w:t>
            </w:r>
          </w:p>
        </w:tc>
        <w:tc>
          <w:tcPr>
            <w:tcW w:w="2277" w:type="dxa"/>
            <w:vAlign w:val="center"/>
          </w:tcPr>
          <w:p>
            <w:pPr>
              <w:spacing w:line="360" w:lineRule="auto"/>
              <w:jc w:val="center"/>
              <w:rPr>
                <w:rFonts w:ascii="宋体"/>
                <w:b/>
                <w:bCs/>
                <w:color w:val="000000"/>
              </w:rPr>
            </w:pPr>
            <w:r>
              <w:rPr>
                <w:rFonts w:hint="eastAsia" w:ascii="宋体" w:hAnsi="宋体" w:cs="宋体"/>
                <w:b/>
                <w:bCs/>
                <w:color w:val="000000"/>
              </w:rPr>
              <w:t>生产厂商</w:t>
            </w:r>
          </w:p>
        </w:tc>
        <w:tc>
          <w:tcPr>
            <w:tcW w:w="1540" w:type="dxa"/>
            <w:vAlign w:val="center"/>
          </w:tcPr>
          <w:p>
            <w:pPr>
              <w:spacing w:line="360" w:lineRule="auto"/>
              <w:jc w:val="center"/>
              <w:rPr>
                <w:rFonts w:ascii="宋体"/>
                <w:b/>
                <w:bCs/>
                <w:color w:val="000000"/>
              </w:rPr>
            </w:pPr>
            <w:r>
              <w:rPr>
                <w:rFonts w:hint="eastAsia" w:ascii="宋体" w:hAnsi="宋体" w:cs="宋体"/>
                <w:b/>
                <w:bCs/>
                <w:color w:val="000000"/>
              </w:rPr>
              <w:t>数量</w:t>
            </w:r>
          </w:p>
        </w:tc>
        <w:tc>
          <w:tcPr>
            <w:tcW w:w="2938" w:type="dxa"/>
            <w:gridSpan w:val="2"/>
            <w:vAlign w:val="center"/>
          </w:tcPr>
          <w:p>
            <w:pPr>
              <w:spacing w:line="360" w:lineRule="auto"/>
              <w:jc w:val="center"/>
              <w:rPr>
                <w:rFonts w:ascii="宋体"/>
                <w:b/>
                <w:bCs/>
                <w:color w:val="000000"/>
              </w:rPr>
            </w:pPr>
            <w:r>
              <w:rPr>
                <w:rFonts w:hint="eastAsia" w:ascii="宋体" w:hAnsi="宋体" w:cs="宋体"/>
                <w:b/>
                <w:bCs/>
                <w:color w:val="000000"/>
                <w:lang w:eastAsia="zh-CN"/>
              </w:rPr>
              <w:t>价格（元）</w:t>
            </w:r>
          </w:p>
        </w:tc>
        <w:tc>
          <w:tcPr>
            <w:tcW w:w="1430" w:type="dxa"/>
            <w:tcBorders>
              <w:bottom w:val="single" w:color="auto" w:sz="4" w:space="0"/>
            </w:tcBorders>
            <w:vAlign w:val="center"/>
          </w:tcPr>
          <w:p>
            <w:pPr>
              <w:spacing w:line="360" w:lineRule="auto"/>
              <w:jc w:val="center"/>
              <w:rPr>
                <w:rFonts w:ascii="宋体"/>
                <w:b/>
                <w:bCs/>
                <w:color w:val="000000"/>
              </w:rPr>
            </w:pPr>
            <w:r>
              <w:rPr>
                <w:rFonts w:hint="eastAsia" w:ascii="宋体"/>
                <w:b/>
                <w:bCs/>
                <w:color w:val="000000"/>
              </w:rPr>
              <w:t>备注</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18" w:hRule="exact"/>
        </w:trPr>
        <w:tc>
          <w:tcPr>
            <w:tcW w:w="1344" w:type="dxa"/>
            <w:vAlign w:val="center"/>
          </w:tcPr>
          <w:p>
            <w:pPr>
              <w:spacing w:line="360" w:lineRule="auto"/>
              <w:jc w:val="center"/>
              <w:rPr>
                <w:rFonts w:ascii="宋体"/>
                <w:color w:val="000000"/>
                <w:sz w:val="24"/>
                <w:szCs w:val="24"/>
              </w:rPr>
            </w:pPr>
            <w:r>
              <w:rPr>
                <w:rFonts w:hint="eastAsia" w:ascii="宋体"/>
                <w:color w:val="000000"/>
                <w:sz w:val="24"/>
                <w:szCs w:val="24"/>
              </w:rPr>
              <w:t>1</w:t>
            </w:r>
          </w:p>
        </w:tc>
        <w:tc>
          <w:tcPr>
            <w:tcW w:w="1704" w:type="dxa"/>
            <w:vAlign w:val="center"/>
          </w:tcPr>
          <w:p>
            <w:pPr>
              <w:spacing w:line="360" w:lineRule="auto"/>
              <w:jc w:val="center"/>
              <w:rPr>
                <w:rFonts w:ascii="宋体"/>
                <w:color w:val="000000"/>
                <w:sz w:val="24"/>
                <w:szCs w:val="24"/>
              </w:rPr>
            </w:pPr>
            <w:r>
              <w:rPr>
                <w:rFonts w:hint="eastAsia" w:ascii="宋体"/>
                <w:color w:val="000000"/>
                <w:sz w:val="24"/>
                <w:szCs w:val="24"/>
              </w:rPr>
              <w:t>直饮机管理费</w:t>
            </w:r>
          </w:p>
        </w:tc>
        <w:tc>
          <w:tcPr>
            <w:tcW w:w="2973" w:type="dxa"/>
          </w:tcPr>
          <w:p>
            <w:pPr>
              <w:spacing w:line="360" w:lineRule="auto"/>
              <w:jc w:val="center"/>
              <w:rPr>
                <w:rFonts w:ascii="宋体"/>
                <w:color w:val="000000"/>
                <w:sz w:val="24"/>
                <w:szCs w:val="24"/>
              </w:rPr>
            </w:pPr>
          </w:p>
        </w:tc>
        <w:tc>
          <w:tcPr>
            <w:tcW w:w="2277" w:type="dxa"/>
          </w:tcPr>
          <w:p>
            <w:pPr>
              <w:spacing w:line="360" w:lineRule="auto"/>
              <w:rPr>
                <w:rFonts w:ascii="宋体"/>
                <w:color w:val="000000"/>
                <w:sz w:val="24"/>
                <w:szCs w:val="24"/>
              </w:rPr>
            </w:pPr>
          </w:p>
        </w:tc>
        <w:tc>
          <w:tcPr>
            <w:tcW w:w="1540" w:type="dxa"/>
          </w:tcPr>
          <w:p>
            <w:pPr>
              <w:spacing w:line="360" w:lineRule="auto"/>
              <w:jc w:val="center"/>
              <w:rPr>
                <w:rFonts w:ascii="宋体"/>
                <w:color w:val="000000"/>
                <w:sz w:val="24"/>
                <w:szCs w:val="24"/>
              </w:rPr>
            </w:pPr>
          </w:p>
        </w:tc>
        <w:tc>
          <w:tcPr>
            <w:tcW w:w="2938" w:type="dxa"/>
            <w:gridSpan w:val="2"/>
            <w:vAlign w:val="center"/>
          </w:tcPr>
          <w:p>
            <w:pPr>
              <w:spacing w:line="360" w:lineRule="auto"/>
              <w:jc w:val="center"/>
              <w:rPr>
                <w:rFonts w:hint="eastAsia" w:ascii="宋体" w:eastAsia="宋体"/>
                <w:color w:val="000000"/>
                <w:sz w:val="24"/>
                <w:szCs w:val="24"/>
                <w:lang w:val="en-US" w:eastAsia="zh-CN"/>
              </w:rPr>
            </w:pPr>
            <w:r>
              <w:rPr>
                <w:rFonts w:hint="eastAsia" w:ascii="宋体"/>
                <w:color w:val="000000"/>
                <w:sz w:val="24"/>
                <w:szCs w:val="24"/>
                <w:lang w:val="en-US" w:eastAsia="zh-CN"/>
              </w:rPr>
              <w:t>管理费为水电费的</w:t>
            </w:r>
            <w:r>
              <w:rPr>
                <w:rFonts w:hint="eastAsia" w:ascii="宋体"/>
                <w:color w:val="000000"/>
                <w:sz w:val="24"/>
                <w:szCs w:val="24"/>
                <w:u w:val="single"/>
                <w:lang w:val="en-US" w:eastAsia="zh-CN"/>
              </w:rPr>
              <w:t xml:space="preserve">     </w:t>
            </w:r>
            <w:r>
              <w:rPr>
                <w:rFonts w:hint="eastAsia" w:ascii="宋体"/>
                <w:color w:val="000000"/>
                <w:sz w:val="24"/>
                <w:szCs w:val="24"/>
                <w:lang w:val="en-US" w:eastAsia="zh-CN"/>
              </w:rPr>
              <w:t>%</w:t>
            </w:r>
          </w:p>
        </w:tc>
        <w:tc>
          <w:tcPr>
            <w:tcW w:w="1430" w:type="dxa"/>
            <w:vMerge w:val="restart"/>
            <w:tcBorders>
              <w:top w:val="single" w:color="auto" w:sz="4" w:space="0"/>
            </w:tcBorders>
          </w:tcPr>
          <w:p>
            <w:pPr>
              <w:spacing w:line="360" w:lineRule="auto"/>
              <w:rPr>
                <w:rFonts w:ascii="宋体"/>
                <w:color w:val="000000"/>
                <w:sz w:val="24"/>
                <w:szCs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18" w:hRule="exact"/>
        </w:trPr>
        <w:tc>
          <w:tcPr>
            <w:tcW w:w="1344" w:type="dxa"/>
            <w:vAlign w:val="center"/>
          </w:tcPr>
          <w:p>
            <w:pPr>
              <w:spacing w:line="360" w:lineRule="auto"/>
              <w:jc w:val="center"/>
              <w:rPr>
                <w:rFonts w:ascii="宋体"/>
                <w:color w:val="000000"/>
                <w:sz w:val="24"/>
                <w:szCs w:val="24"/>
              </w:rPr>
            </w:pPr>
            <w:r>
              <w:rPr>
                <w:rFonts w:hint="eastAsia" w:ascii="宋体"/>
                <w:color w:val="000000"/>
                <w:sz w:val="24"/>
                <w:szCs w:val="24"/>
              </w:rPr>
              <w:t>2</w:t>
            </w:r>
          </w:p>
        </w:tc>
        <w:tc>
          <w:tcPr>
            <w:tcW w:w="1704" w:type="dxa"/>
            <w:vAlign w:val="center"/>
          </w:tcPr>
          <w:p>
            <w:pPr>
              <w:spacing w:line="360" w:lineRule="auto"/>
              <w:jc w:val="center"/>
              <w:rPr>
                <w:rFonts w:ascii="宋体"/>
                <w:color w:val="000000"/>
                <w:sz w:val="24"/>
                <w:szCs w:val="24"/>
              </w:rPr>
            </w:pPr>
            <w:r>
              <w:rPr>
                <w:rFonts w:hint="eastAsia" w:ascii="宋体"/>
                <w:color w:val="000000"/>
                <w:sz w:val="24"/>
                <w:szCs w:val="24"/>
              </w:rPr>
              <w:t>普通开水</w:t>
            </w:r>
          </w:p>
        </w:tc>
        <w:tc>
          <w:tcPr>
            <w:tcW w:w="2973" w:type="dxa"/>
          </w:tcPr>
          <w:p>
            <w:pPr>
              <w:spacing w:line="360" w:lineRule="auto"/>
              <w:jc w:val="center"/>
              <w:rPr>
                <w:rFonts w:hint="default" w:ascii="宋体" w:eastAsia="宋体"/>
                <w:color w:val="000000"/>
                <w:sz w:val="24"/>
                <w:szCs w:val="24"/>
                <w:lang w:val="en-US" w:eastAsia="zh-CN"/>
              </w:rPr>
            </w:pPr>
            <w:r>
              <w:rPr>
                <w:rFonts w:hint="eastAsia" w:ascii="宋体"/>
                <w:color w:val="000000"/>
                <w:sz w:val="24"/>
                <w:szCs w:val="24"/>
                <w:lang w:val="en-US" w:eastAsia="zh-CN"/>
              </w:rPr>
              <w:t>温度≥95℃</w:t>
            </w:r>
          </w:p>
        </w:tc>
        <w:tc>
          <w:tcPr>
            <w:tcW w:w="2277" w:type="dxa"/>
          </w:tcPr>
          <w:p>
            <w:pPr>
              <w:spacing w:line="360" w:lineRule="auto"/>
              <w:rPr>
                <w:rFonts w:ascii="宋体"/>
                <w:color w:val="000000"/>
                <w:sz w:val="24"/>
                <w:szCs w:val="24"/>
              </w:rPr>
            </w:pPr>
          </w:p>
        </w:tc>
        <w:tc>
          <w:tcPr>
            <w:tcW w:w="1540" w:type="dxa"/>
          </w:tcPr>
          <w:p>
            <w:pPr>
              <w:spacing w:line="360" w:lineRule="auto"/>
              <w:jc w:val="center"/>
              <w:rPr>
                <w:rFonts w:hint="default" w:ascii="宋体" w:eastAsia="宋体"/>
                <w:color w:val="000000"/>
                <w:sz w:val="24"/>
                <w:szCs w:val="24"/>
                <w:lang w:val="en-US" w:eastAsia="zh-CN"/>
              </w:rPr>
            </w:pPr>
            <w:r>
              <w:rPr>
                <w:rFonts w:hint="eastAsia" w:ascii="宋体"/>
                <w:color w:val="000000"/>
                <w:sz w:val="24"/>
                <w:szCs w:val="24"/>
                <w:lang w:val="en-US" w:eastAsia="zh-CN"/>
              </w:rPr>
              <w:t>1L</w:t>
            </w:r>
          </w:p>
        </w:tc>
        <w:tc>
          <w:tcPr>
            <w:tcW w:w="2938" w:type="dxa"/>
            <w:gridSpan w:val="2"/>
          </w:tcPr>
          <w:p>
            <w:pPr>
              <w:spacing w:line="360" w:lineRule="auto"/>
              <w:rPr>
                <w:rFonts w:ascii="宋体"/>
                <w:color w:val="000000"/>
                <w:sz w:val="24"/>
                <w:szCs w:val="24"/>
              </w:rPr>
            </w:pPr>
          </w:p>
        </w:tc>
        <w:tc>
          <w:tcPr>
            <w:tcW w:w="1430" w:type="dxa"/>
            <w:vMerge w:val="continue"/>
          </w:tcPr>
          <w:p>
            <w:pPr>
              <w:spacing w:line="360" w:lineRule="auto"/>
              <w:rPr>
                <w:rFonts w:ascii="宋体"/>
                <w:color w:val="000000"/>
                <w:sz w:val="24"/>
                <w:szCs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13" w:hRule="exact"/>
        </w:trPr>
        <w:tc>
          <w:tcPr>
            <w:tcW w:w="1344" w:type="dxa"/>
            <w:vAlign w:val="center"/>
          </w:tcPr>
          <w:p>
            <w:pPr>
              <w:spacing w:line="360" w:lineRule="auto"/>
              <w:jc w:val="center"/>
              <w:rPr>
                <w:rFonts w:ascii="宋体"/>
                <w:color w:val="000000"/>
                <w:sz w:val="24"/>
                <w:szCs w:val="24"/>
              </w:rPr>
            </w:pPr>
            <w:r>
              <w:rPr>
                <w:rFonts w:hint="eastAsia" w:ascii="宋体"/>
                <w:color w:val="000000"/>
                <w:sz w:val="24"/>
                <w:szCs w:val="24"/>
              </w:rPr>
              <w:t>3</w:t>
            </w:r>
          </w:p>
        </w:tc>
        <w:tc>
          <w:tcPr>
            <w:tcW w:w="1704" w:type="dxa"/>
            <w:vAlign w:val="center"/>
          </w:tcPr>
          <w:p>
            <w:pPr>
              <w:spacing w:line="360" w:lineRule="auto"/>
              <w:jc w:val="center"/>
              <w:rPr>
                <w:rFonts w:ascii="宋体"/>
                <w:color w:val="000000"/>
                <w:sz w:val="24"/>
                <w:szCs w:val="24"/>
              </w:rPr>
            </w:pPr>
            <w:r>
              <w:rPr>
                <w:rFonts w:hint="eastAsia" w:ascii="宋体"/>
                <w:color w:val="000000"/>
                <w:sz w:val="24"/>
                <w:szCs w:val="24"/>
              </w:rPr>
              <w:t>常温直饮水</w:t>
            </w:r>
          </w:p>
        </w:tc>
        <w:tc>
          <w:tcPr>
            <w:tcW w:w="2973" w:type="dxa"/>
          </w:tcPr>
          <w:p>
            <w:pPr>
              <w:spacing w:line="360" w:lineRule="auto"/>
              <w:jc w:val="center"/>
              <w:rPr>
                <w:rFonts w:hint="default" w:ascii="宋体" w:eastAsia="宋体"/>
                <w:color w:val="000000"/>
                <w:sz w:val="24"/>
                <w:szCs w:val="24"/>
                <w:lang w:val="en-US" w:eastAsia="zh-CN"/>
              </w:rPr>
            </w:pPr>
            <w:r>
              <w:rPr>
                <w:rFonts w:hint="eastAsia" w:ascii="宋体"/>
                <w:color w:val="000000"/>
                <w:sz w:val="24"/>
                <w:szCs w:val="24"/>
                <w:lang w:val="en-US" w:eastAsia="zh-CN"/>
              </w:rPr>
              <w:t>常温</w:t>
            </w:r>
          </w:p>
        </w:tc>
        <w:tc>
          <w:tcPr>
            <w:tcW w:w="2277" w:type="dxa"/>
          </w:tcPr>
          <w:p>
            <w:pPr>
              <w:spacing w:line="360" w:lineRule="auto"/>
              <w:rPr>
                <w:rFonts w:ascii="宋体"/>
                <w:color w:val="000000"/>
                <w:sz w:val="24"/>
                <w:szCs w:val="24"/>
              </w:rPr>
            </w:pPr>
          </w:p>
        </w:tc>
        <w:tc>
          <w:tcPr>
            <w:tcW w:w="1540" w:type="dxa"/>
          </w:tcPr>
          <w:p>
            <w:pPr>
              <w:spacing w:line="360" w:lineRule="auto"/>
              <w:jc w:val="center"/>
              <w:rPr>
                <w:rFonts w:ascii="宋体"/>
                <w:color w:val="000000"/>
                <w:sz w:val="24"/>
                <w:szCs w:val="24"/>
              </w:rPr>
            </w:pPr>
            <w:r>
              <w:rPr>
                <w:rFonts w:hint="eastAsia" w:ascii="宋体"/>
                <w:color w:val="000000"/>
                <w:sz w:val="24"/>
                <w:szCs w:val="24"/>
                <w:lang w:val="en-US" w:eastAsia="zh-CN"/>
              </w:rPr>
              <w:t>1L</w:t>
            </w:r>
          </w:p>
        </w:tc>
        <w:tc>
          <w:tcPr>
            <w:tcW w:w="2938" w:type="dxa"/>
            <w:gridSpan w:val="2"/>
          </w:tcPr>
          <w:p>
            <w:pPr>
              <w:spacing w:line="360" w:lineRule="auto"/>
              <w:rPr>
                <w:rFonts w:ascii="宋体"/>
                <w:color w:val="000000"/>
                <w:sz w:val="24"/>
                <w:szCs w:val="24"/>
              </w:rPr>
            </w:pPr>
          </w:p>
        </w:tc>
        <w:tc>
          <w:tcPr>
            <w:tcW w:w="1430" w:type="dxa"/>
            <w:vMerge w:val="continue"/>
          </w:tcPr>
          <w:p>
            <w:pPr>
              <w:spacing w:line="360" w:lineRule="auto"/>
              <w:rPr>
                <w:rFonts w:ascii="宋体"/>
                <w:color w:val="000000"/>
                <w:sz w:val="24"/>
                <w:szCs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18" w:hRule="exact"/>
        </w:trPr>
        <w:tc>
          <w:tcPr>
            <w:tcW w:w="1344" w:type="dxa"/>
            <w:vAlign w:val="center"/>
          </w:tcPr>
          <w:p>
            <w:pPr>
              <w:spacing w:line="360" w:lineRule="auto"/>
              <w:jc w:val="center"/>
              <w:rPr>
                <w:rFonts w:ascii="宋体"/>
                <w:color w:val="000000"/>
                <w:sz w:val="24"/>
                <w:szCs w:val="24"/>
              </w:rPr>
            </w:pPr>
            <w:r>
              <w:rPr>
                <w:rFonts w:hint="eastAsia" w:ascii="宋体"/>
                <w:color w:val="000000"/>
                <w:sz w:val="24"/>
                <w:szCs w:val="24"/>
              </w:rPr>
              <w:t>4</w:t>
            </w:r>
          </w:p>
        </w:tc>
        <w:tc>
          <w:tcPr>
            <w:tcW w:w="1704" w:type="dxa"/>
            <w:vAlign w:val="center"/>
          </w:tcPr>
          <w:p>
            <w:pPr>
              <w:spacing w:line="360" w:lineRule="auto"/>
              <w:jc w:val="center"/>
              <w:rPr>
                <w:rFonts w:ascii="宋体"/>
                <w:color w:val="000000"/>
                <w:sz w:val="24"/>
                <w:szCs w:val="24"/>
              </w:rPr>
            </w:pPr>
            <w:r>
              <w:rPr>
                <w:rFonts w:hint="eastAsia" w:ascii="宋体"/>
                <w:color w:val="000000"/>
                <w:sz w:val="24"/>
                <w:szCs w:val="24"/>
              </w:rPr>
              <w:t>高温直饮水</w:t>
            </w:r>
          </w:p>
        </w:tc>
        <w:tc>
          <w:tcPr>
            <w:tcW w:w="2973" w:type="dxa"/>
          </w:tcPr>
          <w:p>
            <w:pPr>
              <w:spacing w:line="360" w:lineRule="auto"/>
              <w:jc w:val="center"/>
              <w:rPr>
                <w:rFonts w:hint="default" w:ascii="宋体" w:eastAsia="宋体"/>
                <w:color w:val="000000"/>
                <w:sz w:val="24"/>
                <w:szCs w:val="24"/>
                <w:lang w:val="en-US" w:eastAsia="zh-CN"/>
              </w:rPr>
            </w:pPr>
            <w:r>
              <w:rPr>
                <w:rFonts w:hint="eastAsia" w:ascii="宋体"/>
                <w:color w:val="000000"/>
                <w:sz w:val="24"/>
                <w:szCs w:val="24"/>
                <w:lang w:val="en-US" w:eastAsia="zh-CN"/>
              </w:rPr>
              <w:t>温度≥95℃</w:t>
            </w:r>
          </w:p>
        </w:tc>
        <w:tc>
          <w:tcPr>
            <w:tcW w:w="2277" w:type="dxa"/>
          </w:tcPr>
          <w:p>
            <w:pPr>
              <w:spacing w:line="360" w:lineRule="auto"/>
              <w:rPr>
                <w:rFonts w:ascii="宋体"/>
                <w:color w:val="000000"/>
                <w:sz w:val="24"/>
                <w:szCs w:val="24"/>
              </w:rPr>
            </w:pPr>
          </w:p>
        </w:tc>
        <w:tc>
          <w:tcPr>
            <w:tcW w:w="1540" w:type="dxa"/>
          </w:tcPr>
          <w:p>
            <w:pPr>
              <w:spacing w:line="360" w:lineRule="auto"/>
              <w:jc w:val="center"/>
              <w:rPr>
                <w:rFonts w:ascii="宋体"/>
                <w:color w:val="000000"/>
                <w:sz w:val="24"/>
                <w:szCs w:val="24"/>
              </w:rPr>
            </w:pPr>
            <w:r>
              <w:rPr>
                <w:rFonts w:hint="eastAsia" w:ascii="宋体"/>
                <w:color w:val="000000"/>
                <w:sz w:val="24"/>
                <w:szCs w:val="24"/>
                <w:lang w:val="en-US" w:eastAsia="zh-CN"/>
              </w:rPr>
              <w:t>1L</w:t>
            </w:r>
          </w:p>
        </w:tc>
        <w:tc>
          <w:tcPr>
            <w:tcW w:w="2938" w:type="dxa"/>
            <w:gridSpan w:val="2"/>
          </w:tcPr>
          <w:p>
            <w:pPr>
              <w:spacing w:line="360" w:lineRule="auto"/>
              <w:rPr>
                <w:rFonts w:ascii="宋体"/>
                <w:color w:val="000000"/>
                <w:sz w:val="24"/>
                <w:szCs w:val="24"/>
              </w:rPr>
            </w:pPr>
          </w:p>
        </w:tc>
        <w:tc>
          <w:tcPr>
            <w:tcW w:w="1430" w:type="dxa"/>
            <w:vMerge w:val="continue"/>
          </w:tcPr>
          <w:p>
            <w:pPr>
              <w:spacing w:line="360" w:lineRule="auto"/>
              <w:rPr>
                <w:rFonts w:ascii="宋体"/>
                <w:color w:val="000000"/>
                <w:sz w:val="24"/>
                <w:szCs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18" w:hRule="exact"/>
        </w:trPr>
        <w:tc>
          <w:tcPr>
            <w:tcW w:w="1344" w:type="dxa"/>
            <w:vAlign w:val="center"/>
          </w:tcPr>
          <w:p>
            <w:pPr>
              <w:spacing w:line="360" w:lineRule="auto"/>
              <w:jc w:val="center"/>
              <w:rPr>
                <w:rFonts w:ascii="宋体"/>
                <w:color w:val="000000"/>
                <w:sz w:val="24"/>
                <w:szCs w:val="24"/>
              </w:rPr>
            </w:pPr>
          </w:p>
        </w:tc>
        <w:tc>
          <w:tcPr>
            <w:tcW w:w="1704" w:type="dxa"/>
            <w:vAlign w:val="center"/>
          </w:tcPr>
          <w:p>
            <w:pPr>
              <w:spacing w:line="360" w:lineRule="auto"/>
              <w:jc w:val="center"/>
              <w:rPr>
                <w:rFonts w:ascii="宋体"/>
                <w:color w:val="000000"/>
                <w:sz w:val="24"/>
                <w:szCs w:val="24"/>
              </w:rPr>
            </w:pPr>
          </w:p>
        </w:tc>
        <w:tc>
          <w:tcPr>
            <w:tcW w:w="2973" w:type="dxa"/>
          </w:tcPr>
          <w:p>
            <w:pPr>
              <w:spacing w:line="360" w:lineRule="auto"/>
              <w:rPr>
                <w:rFonts w:ascii="宋体"/>
                <w:color w:val="000000"/>
                <w:sz w:val="24"/>
                <w:szCs w:val="24"/>
              </w:rPr>
            </w:pPr>
          </w:p>
        </w:tc>
        <w:tc>
          <w:tcPr>
            <w:tcW w:w="2277" w:type="dxa"/>
          </w:tcPr>
          <w:p>
            <w:pPr>
              <w:spacing w:line="360" w:lineRule="auto"/>
              <w:rPr>
                <w:rFonts w:ascii="宋体"/>
                <w:color w:val="000000"/>
                <w:sz w:val="24"/>
                <w:szCs w:val="24"/>
              </w:rPr>
            </w:pPr>
          </w:p>
        </w:tc>
        <w:tc>
          <w:tcPr>
            <w:tcW w:w="1540" w:type="dxa"/>
          </w:tcPr>
          <w:p>
            <w:pPr>
              <w:spacing w:line="360" w:lineRule="auto"/>
              <w:rPr>
                <w:rFonts w:ascii="宋体"/>
                <w:color w:val="000000"/>
                <w:sz w:val="24"/>
                <w:szCs w:val="24"/>
              </w:rPr>
            </w:pPr>
          </w:p>
        </w:tc>
        <w:tc>
          <w:tcPr>
            <w:tcW w:w="2938" w:type="dxa"/>
            <w:gridSpan w:val="2"/>
            <w:vAlign w:val="top"/>
          </w:tcPr>
          <w:p>
            <w:pPr>
              <w:spacing w:line="360" w:lineRule="auto"/>
              <w:rPr>
                <w:rFonts w:ascii="宋体"/>
                <w:color w:val="000000"/>
                <w:sz w:val="24"/>
                <w:szCs w:val="24"/>
              </w:rPr>
            </w:pPr>
          </w:p>
        </w:tc>
        <w:tc>
          <w:tcPr>
            <w:tcW w:w="1430" w:type="dxa"/>
            <w:vMerge w:val="continue"/>
          </w:tcPr>
          <w:p>
            <w:pPr>
              <w:spacing w:line="360" w:lineRule="auto"/>
              <w:rPr>
                <w:rFonts w:ascii="宋体"/>
                <w:color w:val="000000"/>
                <w:sz w:val="24"/>
                <w:szCs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18" w:hRule="exact"/>
        </w:trPr>
        <w:tc>
          <w:tcPr>
            <w:tcW w:w="1344" w:type="dxa"/>
            <w:tcBorders>
              <w:bottom w:val="single" w:color="auto" w:sz="4" w:space="0"/>
            </w:tcBorders>
            <w:vAlign w:val="center"/>
          </w:tcPr>
          <w:p>
            <w:pPr>
              <w:spacing w:line="360" w:lineRule="auto"/>
              <w:jc w:val="center"/>
              <w:rPr>
                <w:rFonts w:ascii="宋体"/>
                <w:color w:val="000000"/>
                <w:sz w:val="24"/>
                <w:szCs w:val="24"/>
              </w:rPr>
            </w:pPr>
          </w:p>
        </w:tc>
        <w:tc>
          <w:tcPr>
            <w:tcW w:w="1704" w:type="dxa"/>
            <w:tcBorders>
              <w:bottom w:val="single" w:color="auto" w:sz="4" w:space="0"/>
            </w:tcBorders>
            <w:vAlign w:val="center"/>
          </w:tcPr>
          <w:p>
            <w:pPr>
              <w:spacing w:line="360" w:lineRule="auto"/>
              <w:jc w:val="center"/>
              <w:rPr>
                <w:rFonts w:ascii="宋体"/>
                <w:color w:val="000000"/>
                <w:sz w:val="24"/>
                <w:szCs w:val="24"/>
              </w:rPr>
            </w:pPr>
          </w:p>
        </w:tc>
        <w:tc>
          <w:tcPr>
            <w:tcW w:w="2973" w:type="dxa"/>
            <w:tcBorders>
              <w:bottom w:val="single" w:color="auto" w:sz="4" w:space="0"/>
            </w:tcBorders>
          </w:tcPr>
          <w:p>
            <w:pPr>
              <w:spacing w:line="360" w:lineRule="auto"/>
              <w:rPr>
                <w:rFonts w:ascii="宋体"/>
                <w:color w:val="000000"/>
                <w:sz w:val="24"/>
                <w:szCs w:val="24"/>
              </w:rPr>
            </w:pPr>
          </w:p>
        </w:tc>
        <w:tc>
          <w:tcPr>
            <w:tcW w:w="2277" w:type="dxa"/>
            <w:tcBorders>
              <w:bottom w:val="single" w:color="auto" w:sz="4" w:space="0"/>
            </w:tcBorders>
          </w:tcPr>
          <w:p>
            <w:pPr>
              <w:spacing w:line="360" w:lineRule="auto"/>
              <w:rPr>
                <w:rFonts w:ascii="宋体"/>
                <w:color w:val="000000"/>
                <w:sz w:val="24"/>
                <w:szCs w:val="24"/>
              </w:rPr>
            </w:pPr>
          </w:p>
        </w:tc>
        <w:tc>
          <w:tcPr>
            <w:tcW w:w="1540" w:type="dxa"/>
            <w:tcBorders>
              <w:bottom w:val="single" w:color="auto" w:sz="4" w:space="0"/>
            </w:tcBorders>
          </w:tcPr>
          <w:p>
            <w:pPr>
              <w:spacing w:line="360" w:lineRule="auto"/>
              <w:rPr>
                <w:rFonts w:ascii="宋体"/>
                <w:color w:val="000000"/>
                <w:sz w:val="24"/>
                <w:szCs w:val="24"/>
              </w:rPr>
            </w:pPr>
          </w:p>
        </w:tc>
        <w:tc>
          <w:tcPr>
            <w:tcW w:w="2938" w:type="dxa"/>
            <w:gridSpan w:val="2"/>
            <w:tcBorders>
              <w:bottom w:val="single" w:color="auto" w:sz="4" w:space="0"/>
            </w:tcBorders>
          </w:tcPr>
          <w:p>
            <w:pPr>
              <w:spacing w:line="360" w:lineRule="auto"/>
              <w:rPr>
                <w:rFonts w:ascii="宋体"/>
                <w:color w:val="000000"/>
                <w:sz w:val="24"/>
                <w:szCs w:val="24"/>
              </w:rPr>
            </w:pPr>
          </w:p>
        </w:tc>
        <w:tc>
          <w:tcPr>
            <w:tcW w:w="1430" w:type="dxa"/>
            <w:vMerge w:val="continue"/>
          </w:tcPr>
          <w:p>
            <w:pPr>
              <w:spacing w:line="360" w:lineRule="auto"/>
              <w:rPr>
                <w:rFonts w:ascii="宋体"/>
                <w:color w:val="000000"/>
                <w:sz w:val="24"/>
                <w:szCs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0" w:hRule="exact"/>
        </w:trPr>
        <w:tc>
          <w:tcPr>
            <w:tcW w:w="1344" w:type="dxa"/>
            <w:tcBorders>
              <w:top w:val="single" w:color="auto" w:sz="4" w:space="0"/>
            </w:tcBorders>
            <w:vAlign w:val="center"/>
          </w:tcPr>
          <w:p>
            <w:pPr>
              <w:spacing w:line="360" w:lineRule="auto"/>
              <w:jc w:val="center"/>
              <w:rPr>
                <w:rFonts w:ascii="宋体"/>
                <w:color w:val="000000"/>
                <w:sz w:val="24"/>
                <w:szCs w:val="24"/>
              </w:rPr>
            </w:pPr>
          </w:p>
        </w:tc>
        <w:tc>
          <w:tcPr>
            <w:tcW w:w="1704" w:type="dxa"/>
            <w:tcBorders>
              <w:top w:val="single" w:color="auto" w:sz="4" w:space="0"/>
            </w:tcBorders>
            <w:vAlign w:val="center"/>
          </w:tcPr>
          <w:p>
            <w:pPr>
              <w:spacing w:line="360" w:lineRule="auto"/>
              <w:jc w:val="center"/>
              <w:rPr>
                <w:rFonts w:ascii="宋体"/>
                <w:color w:val="000000"/>
                <w:sz w:val="24"/>
                <w:szCs w:val="24"/>
              </w:rPr>
            </w:pPr>
          </w:p>
        </w:tc>
        <w:tc>
          <w:tcPr>
            <w:tcW w:w="2973" w:type="dxa"/>
            <w:tcBorders>
              <w:top w:val="single" w:color="auto" w:sz="4" w:space="0"/>
            </w:tcBorders>
          </w:tcPr>
          <w:p>
            <w:pPr>
              <w:spacing w:line="360" w:lineRule="auto"/>
              <w:rPr>
                <w:rFonts w:ascii="宋体"/>
                <w:color w:val="000000"/>
                <w:sz w:val="24"/>
                <w:szCs w:val="24"/>
              </w:rPr>
            </w:pPr>
          </w:p>
        </w:tc>
        <w:tc>
          <w:tcPr>
            <w:tcW w:w="2277" w:type="dxa"/>
            <w:tcBorders>
              <w:top w:val="single" w:color="auto" w:sz="4" w:space="0"/>
            </w:tcBorders>
          </w:tcPr>
          <w:p>
            <w:pPr>
              <w:spacing w:line="360" w:lineRule="auto"/>
              <w:rPr>
                <w:rFonts w:ascii="宋体"/>
                <w:color w:val="000000"/>
                <w:sz w:val="24"/>
                <w:szCs w:val="24"/>
              </w:rPr>
            </w:pPr>
          </w:p>
        </w:tc>
        <w:tc>
          <w:tcPr>
            <w:tcW w:w="1540" w:type="dxa"/>
            <w:tcBorders>
              <w:top w:val="single" w:color="auto" w:sz="4" w:space="0"/>
            </w:tcBorders>
          </w:tcPr>
          <w:p>
            <w:pPr>
              <w:spacing w:line="360" w:lineRule="auto"/>
              <w:rPr>
                <w:rFonts w:ascii="宋体"/>
                <w:color w:val="000000"/>
                <w:sz w:val="24"/>
                <w:szCs w:val="24"/>
              </w:rPr>
            </w:pPr>
          </w:p>
        </w:tc>
        <w:tc>
          <w:tcPr>
            <w:tcW w:w="2938" w:type="dxa"/>
            <w:gridSpan w:val="2"/>
            <w:tcBorders>
              <w:top w:val="single" w:color="auto" w:sz="4" w:space="0"/>
            </w:tcBorders>
          </w:tcPr>
          <w:p>
            <w:pPr>
              <w:spacing w:line="360" w:lineRule="auto"/>
              <w:rPr>
                <w:rFonts w:ascii="宋体"/>
                <w:color w:val="000000"/>
                <w:sz w:val="24"/>
                <w:szCs w:val="24"/>
              </w:rPr>
            </w:pPr>
          </w:p>
        </w:tc>
        <w:tc>
          <w:tcPr>
            <w:tcW w:w="1430" w:type="dxa"/>
            <w:vMerge w:val="continue"/>
          </w:tcPr>
          <w:p>
            <w:pPr>
              <w:spacing w:line="360" w:lineRule="auto"/>
              <w:rPr>
                <w:rFonts w:ascii="宋体"/>
                <w:color w:val="000000"/>
                <w:sz w:val="24"/>
                <w:szCs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80" w:hRule="atLeast"/>
        </w:trPr>
        <w:tc>
          <w:tcPr>
            <w:tcW w:w="3048" w:type="dxa"/>
            <w:gridSpan w:val="2"/>
            <w:vAlign w:val="center"/>
          </w:tcPr>
          <w:p>
            <w:pPr>
              <w:spacing w:line="360" w:lineRule="auto"/>
              <w:jc w:val="center"/>
              <w:rPr>
                <w:rFonts w:ascii="宋体"/>
                <w:b/>
                <w:bCs/>
                <w:color w:val="000000"/>
                <w:sz w:val="24"/>
                <w:szCs w:val="24"/>
              </w:rPr>
            </w:pPr>
            <w:r>
              <w:rPr>
                <w:rFonts w:hint="eastAsia" w:ascii="宋体" w:hAnsi="宋体" w:cs="宋体"/>
                <w:b/>
                <w:bCs/>
                <w:color w:val="000000"/>
                <w:sz w:val="24"/>
                <w:szCs w:val="24"/>
              </w:rPr>
              <w:t>投标人名称（公章）</w:t>
            </w:r>
          </w:p>
        </w:tc>
        <w:tc>
          <w:tcPr>
            <w:tcW w:w="2973" w:type="dxa"/>
            <w:vAlign w:val="center"/>
          </w:tcPr>
          <w:p>
            <w:pPr>
              <w:spacing w:line="360" w:lineRule="auto"/>
              <w:jc w:val="center"/>
              <w:rPr>
                <w:rFonts w:ascii="宋体"/>
                <w:b/>
                <w:bCs/>
                <w:color w:val="000000"/>
                <w:sz w:val="24"/>
                <w:szCs w:val="24"/>
              </w:rPr>
            </w:pPr>
          </w:p>
        </w:tc>
        <w:tc>
          <w:tcPr>
            <w:tcW w:w="2277" w:type="dxa"/>
            <w:vAlign w:val="center"/>
          </w:tcPr>
          <w:p>
            <w:pPr>
              <w:spacing w:line="360" w:lineRule="auto"/>
              <w:jc w:val="center"/>
              <w:rPr>
                <w:rFonts w:ascii="宋体"/>
                <w:b/>
                <w:bCs/>
                <w:color w:val="000000"/>
                <w:sz w:val="24"/>
                <w:szCs w:val="24"/>
              </w:rPr>
            </w:pPr>
            <w:r>
              <w:rPr>
                <w:rFonts w:hint="eastAsia" w:ascii="宋体" w:hAnsi="宋体" w:cs="宋体"/>
                <w:b/>
                <w:bCs/>
                <w:color w:val="000000"/>
                <w:sz w:val="24"/>
                <w:szCs w:val="24"/>
              </w:rPr>
              <w:t>授权代表（签名）</w:t>
            </w:r>
          </w:p>
        </w:tc>
        <w:tc>
          <w:tcPr>
            <w:tcW w:w="2495" w:type="dxa"/>
            <w:gridSpan w:val="2"/>
            <w:vAlign w:val="center"/>
          </w:tcPr>
          <w:p>
            <w:pPr>
              <w:spacing w:line="360" w:lineRule="auto"/>
              <w:jc w:val="center"/>
              <w:rPr>
                <w:rFonts w:ascii="宋体"/>
                <w:b/>
                <w:bCs/>
                <w:color w:val="000000"/>
                <w:sz w:val="24"/>
                <w:szCs w:val="24"/>
              </w:rPr>
            </w:pPr>
          </w:p>
        </w:tc>
        <w:tc>
          <w:tcPr>
            <w:tcW w:w="1983" w:type="dxa"/>
            <w:vAlign w:val="center"/>
          </w:tcPr>
          <w:p>
            <w:pPr>
              <w:spacing w:line="360" w:lineRule="auto"/>
              <w:jc w:val="center"/>
              <w:rPr>
                <w:rFonts w:ascii="宋体"/>
                <w:b/>
                <w:bCs/>
                <w:color w:val="000000"/>
                <w:sz w:val="24"/>
                <w:szCs w:val="24"/>
              </w:rPr>
            </w:pPr>
            <w:r>
              <w:rPr>
                <w:rFonts w:hint="eastAsia" w:ascii="宋体" w:hAnsi="宋体" w:cs="宋体"/>
                <w:b/>
                <w:bCs/>
                <w:color w:val="000000"/>
                <w:sz w:val="24"/>
                <w:szCs w:val="24"/>
              </w:rPr>
              <w:t>日期</w:t>
            </w:r>
          </w:p>
        </w:tc>
        <w:tc>
          <w:tcPr>
            <w:tcW w:w="1430" w:type="dxa"/>
            <w:vAlign w:val="center"/>
          </w:tcPr>
          <w:p>
            <w:pPr>
              <w:spacing w:line="360" w:lineRule="auto"/>
              <w:rPr>
                <w:rFonts w:ascii="宋体"/>
                <w:color w:val="000000"/>
                <w:sz w:val="24"/>
                <w:szCs w:val="24"/>
              </w:rPr>
            </w:pPr>
          </w:p>
        </w:tc>
      </w:tr>
    </w:tbl>
    <w:p>
      <w:r>
        <w:rPr>
          <w:rFonts w:hint="eastAsia"/>
        </w:rPr>
        <w:t>备注：商务标开标后，请各授权代表二次报价签字盖章后通过pdf发送到ztb@ntu.edu.cn，联系方式0513-85012138。</w:t>
      </w:r>
    </w:p>
    <w:p/>
    <w:p>
      <w:pPr>
        <w:ind w:firstLine="6020" w:firstLineChars="2150"/>
        <w:rPr>
          <w:sz w:val="28"/>
          <w:szCs w:val="28"/>
        </w:rPr>
      </w:pPr>
      <w:r>
        <w:rPr>
          <w:rFonts w:hint="eastAsia"/>
          <w:sz w:val="28"/>
          <w:szCs w:val="28"/>
        </w:rPr>
        <w:t xml:space="preserve">            </w:t>
      </w:r>
    </w:p>
    <w:sectPr>
      <w:pgSz w:w="16838" w:h="11906" w:orient="landscape"/>
      <w:pgMar w:top="1179" w:right="1440" w:bottom="1486" w:left="1440" w:header="851" w:footer="992" w:gutter="0"/>
      <w:cols w:space="425" w:num="1"/>
      <w:docGrid w:type="linesAndChar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Cambria">
    <w:panose1 w:val="02040503050406030204"/>
    <w:charset w:val="00"/>
    <w:family w:val="roman"/>
    <w:pitch w:val="default"/>
    <w:sig w:usb0="A00002EF" w:usb1="4000004B" w:usb2="00000000" w:usb3="00000000" w:csb0="2000019F" w:csb1="00000000"/>
  </w:font>
  <w:font w:name="Helvetica">
    <w:altName w:val="Arial"/>
    <w:panose1 w:val="020B0604020202020204"/>
    <w:charset w:val="00"/>
    <w:family w:val="swiss"/>
    <w:pitch w:val="default"/>
    <w:sig w:usb0="00000000" w:usb1="00000000" w:usb2="00000009" w:usb3="00000000" w:csb0="000001FF" w:csb1="00000000"/>
  </w:font>
  <w:font w:name="Tahoma">
    <w:panose1 w:val="020B0604030504040204"/>
    <w:charset w:val="00"/>
    <w:family w:val="swiss"/>
    <w:pitch w:val="default"/>
    <w:sig w:usb0="E1002EFF" w:usb1="C000605B" w:usb2="00000029" w:usb3="00000000" w:csb0="200101FF" w:csb1="20280000"/>
  </w:font>
  <w:font w:name="微软雅黑">
    <w:panose1 w:val="020B0503020204020204"/>
    <w:charset w:val="86"/>
    <w:family w:val="swiss"/>
    <w:pitch w:val="default"/>
    <w:sig w:usb0="80000287" w:usb1="280F3C52" w:usb2="00000016" w:usb3="00000000" w:csb0="0004001F" w:csb1="00000000"/>
  </w:font>
  <w:font w:name="Adobe 黑体 Std R">
    <w:altName w:val="黑体"/>
    <w:panose1 w:val="00000000000000000000"/>
    <w:charset w:val="86"/>
    <w:family w:val="swiss"/>
    <w:pitch w:val="default"/>
    <w:sig w:usb0="00000000" w:usb1="00000000" w:usb2="00000010" w:usb3="00000000" w:csb0="00040000" w:csb1="00000000"/>
  </w:font>
  <w:font w:name="楷体_GB2312">
    <w:altName w:val="楷体"/>
    <w:panose1 w:val="00000000000000000000"/>
    <w:charset w:val="86"/>
    <w:family w:val="modern"/>
    <w:pitch w:val="default"/>
    <w:sig w:usb0="00000000" w:usb1="00000000" w:usb2="00000010" w:usb3="00000000" w:csb0="00040000" w:csb1="00000000"/>
  </w:font>
  <w:font w:name="仿宋_GB2312">
    <w:altName w:val="仿宋"/>
    <w:panose1 w:val="00000000000000000000"/>
    <w:charset w:val="86"/>
    <w:family w:val="modern"/>
    <w:pitch w:val="default"/>
    <w:sig w:usb0="00000000" w:usb1="00000000" w:usb2="00000000" w:usb3="00000000" w:csb0="00040000" w:csb1="00000000"/>
  </w:font>
  <w:font w:name="Arial">
    <w:panose1 w:val="020B0604020202020204"/>
    <w:charset w:val="00"/>
    <w:family w:val="swiss"/>
    <w:pitch w:val="default"/>
    <w:sig w:usb0="E0002AFF" w:usb1="C0007843" w:usb2="00000009" w:usb3="00000000" w:csb0="400001FF" w:csb1="FFFF0000"/>
  </w:font>
  <w:font w:name="楷体">
    <w:panose1 w:val="02010609060101010101"/>
    <w:charset w:val="86"/>
    <w:family w:val="auto"/>
    <w:pitch w:val="default"/>
    <w:sig w:usb0="800002BF" w:usb1="38CF7CFA" w:usb2="00000016" w:usb3="00000000" w:csb0="00040001"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1"/>
      <w:jc w:val="center"/>
    </w:pPr>
    <w:r>
      <mc:AlternateContent>
        <mc:Choice Requires="wps">
          <w:drawing>
            <wp:anchor distT="0" distB="0" distL="114300" distR="114300" simplePos="0" relativeHeight="251657216"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pPr>
                            <w:pStyle w:val="11"/>
                            <w:jc w:val="center"/>
                          </w:pPr>
                          <w:r>
                            <w:fldChar w:fldCharType="begin"/>
                          </w:r>
                          <w:r>
                            <w:instrText xml:space="preserve">PAGE   \* MERGEFORMAT</w:instrText>
                          </w:r>
                          <w:r>
                            <w:fldChar w:fldCharType="separate"/>
                          </w:r>
                          <w:r>
                            <w:rPr>
                              <w:lang w:val="zh-CN"/>
                            </w:rPr>
                            <w:t>4</w:t>
                          </w:r>
                          <w:r>
                            <w:rPr>
                              <w:lang w:val="zh-CN"/>
                            </w:rPr>
                            <w:fldChar w:fldCharType="end"/>
                          </w:r>
                        </w:p>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721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">
              <v:fill on="f" focussize="0,0"/>
              <v:stroke on="f" weight="0.5pt"/>
              <v:imagedata o:title=""/>
              <o:lock v:ext="edit" aspectratio="f"/>
              <v:textbox inset="0mm,0mm,0mm,0mm" style="mso-fit-shape-to-text:t;">
                <w:txbxContent>
                  <w:p>
                    <w:pPr>
                      <w:pStyle w:val="11"/>
                      <w:jc w:val="center"/>
                    </w:pPr>
                    <w:r>
                      <w:fldChar w:fldCharType="begin"/>
                    </w:r>
                    <w:r>
                      <w:instrText xml:space="preserve">PAGE   \* MERGEFORMAT</w:instrText>
                    </w:r>
                    <w:r>
                      <w:fldChar w:fldCharType="separate"/>
                    </w:r>
                    <w:r>
                      <w:rPr>
                        <w:lang w:val="zh-CN"/>
                      </w:rPr>
                      <w:t>4</w:t>
                    </w:r>
                    <w:r>
                      <w:rPr>
                        <w:lang w:val="zh-CN"/>
                      </w:rPr>
                      <w:fldChar w:fldCharType="end"/>
                    </w:r>
                  </w:p>
                  <w:p/>
                </w:txbxContent>
              </v:textbox>
            </v:shape>
          </w:pict>
        </mc:Fallback>
      </mc:AlternateContent>
    </w:r>
  </w:p>
  <w:p>
    <w:pPr>
      <w:pStyle w:val="11"/>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1"/>
      <w:framePr w:wrap="around" w:vAnchor="text" w:hAnchor="margin" w:xAlign="center" w:y="1"/>
      <w:rPr>
        <w:rStyle w:val="21"/>
      </w:rPr>
    </w:pPr>
    <w:r>
      <w:rPr>
        <w:rStyle w:val="21"/>
      </w:rPr>
      <w:fldChar w:fldCharType="begin"/>
    </w:r>
    <w:r>
      <w:rPr>
        <w:rStyle w:val="21"/>
      </w:rPr>
      <w:instrText xml:space="preserve">PAGE  </w:instrText>
    </w:r>
    <w:r>
      <w:rPr>
        <w:rStyle w:val="21"/>
      </w:rPr>
      <w:fldChar w:fldCharType="end"/>
    </w:r>
  </w:p>
  <w:p>
    <w:pPr>
      <w:pStyle w:val="11"/>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1"/>
    </w:pPr>
    <w:r>
      <mc:AlternateContent>
        <mc:Choice Requires="wps">
          <w:drawing>
            <wp:anchor distT="0" distB="0" distL="114300" distR="114300" simplePos="0" relativeHeight="251658240"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pPr>
                            <w:pStyle w:val="11"/>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824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">
              <v:fill on="f" focussize="0,0"/>
              <v:stroke on="f" weight="0.5pt"/>
              <v:imagedata o:title=""/>
              <o:lock v:ext="edit" aspectratio="f"/>
              <v:textbox inset="0mm,0mm,0mm,0mm" style="mso-fit-shape-to-text:t;">
                <w:txbxContent>
                  <w:p>
                    <w:pPr>
                      <w:pStyle w:val="11"/>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1"/>
      <w:framePr w:wrap="around" w:vAnchor="text" w:hAnchor="margin" w:xAlign="center" w:y="1"/>
      <w:rPr>
        <w:rStyle w:val="21"/>
      </w:rPr>
    </w:pPr>
    <w:r>
      <w:rPr>
        <w:rStyle w:val="21"/>
      </w:rPr>
      <w:fldChar w:fldCharType="begin"/>
    </w:r>
    <w:r>
      <w:rPr>
        <w:rStyle w:val="21"/>
      </w:rPr>
      <w:instrText xml:space="preserve">PAGE  </w:instrText>
    </w:r>
    <w:r>
      <w:rPr>
        <w:rStyle w:val="21"/>
      </w:rPr>
      <w:fldChar w:fldCharType="separate"/>
    </w:r>
    <w:r>
      <w:rPr>
        <w:rStyle w:val="21"/>
      </w:rPr>
      <w:t>26</w:t>
    </w:r>
    <w:r>
      <w:rPr>
        <w:rStyle w:val="21"/>
      </w:rPr>
      <w:fldChar w:fldCharType="end"/>
    </w:r>
  </w:p>
  <w:p>
    <w:pPr>
      <w:pStyle w:val="11"/>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D5C39F93"/>
    <w:multiLevelType w:val="singleLevel"/>
    <w:tmpl w:val="D5C39F93"/>
    <w:lvl w:ilvl="0" w:tentative="0">
      <w:start w:val="1"/>
      <w:numFmt w:val="decimal"/>
      <w:suff w:val="nothing"/>
      <w:lvlText w:val="%1、"/>
      <w:lvlJc w:val="left"/>
    </w:lvl>
  </w:abstractNum>
  <w:abstractNum w:abstractNumId="1">
    <w:nsid w:val="DDB5F6DA"/>
    <w:multiLevelType w:val="singleLevel"/>
    <w:tmpl w:val="DDB5F6DA"/>
    <w:lvl w:ilvl="0" w:tentative="0">
      <w:start w:val="1"/>
      <w:numFmt w:val="decimal"/>
      <w:suff w:val="nothing"/>
      <w:lvlText w:val="（%1）"/>
      <w:lvlJc w:val="left"/>
    </w:lvl>
  </w:abstractNum>
  <w:abstractNum w:abstractNumId="2">
    <w:nsid w:val="1C8419AA"/>
    <w:multiLevelType w:val="singleLevel"/>
    <w:tmpl w:val="1C8419AA"/>
    <w:lvl w:ilvl="0" w:tentative="0">
      <w:start w:val="1"/>
      <w:numFmt w:val="chineseCounting"/>
      <w:suff w:val="nothing"/>
      <w:lvlText w:val="%1、"/>
      <w:lvlJc w:val="left"/>
      <w:rPr>
        <w:rFonts w:hint="eastAsia"/>
      </w:rPr>
    </w:lvl>
  </w:abstractNum>
  <w:abstractNum w:abstractNumId="3">
    <w:nsid w:val="2A991D75"/>
    <w:multiLevelType w:val="singleLevel"/>
    <w:tmpl w:val="2A991D75"/>
    <w:lvl w:ilvl="0" w:tentative="0">
      <w:start w:val="1"/>
      <w:numFmt w:val="decimal"/>
      <w:suff w:val="nothing"/>
      <w:lvlText w:val="%1、"/>
      <w:lvlJc w:val="left"/>
    </w:lvl>
  </w:abstractNum>
  <w:abstractNum w:abstractNumId="4">
    <w:nsid w:val="702ED04B"/>
    <w:multiLevelType w:val="singleLevel"/>
    <w:tmpl w:val="702ED04B"/>
    <w:lvl w:ilvl="0" w:tentative="0">
      <w:start w:val="4"/>
      <w:numFmt w:val="chineseCounting"/>
      <w:suff w:val="space"/>
      <w:lvlText w:val="第%1部分"/>
      <w:lvlJc w:val="left"/>
      <w:rPr>
        <w:rFonts w:hint="eastAsia"/>
      </w:rPr>
    </w:lvl>
  </w:abstractNum>
  <w:num w:numId="1">
    <w:abstractNumId w:val="2"/>
  </w:num>
  <w:num w:numId="2">
    <w:abstractNumId w:val="1"/>
  </w:num>
  <w:num w:numId="3">
    <w:abstractNumId w:val="3"/>
  </w:num>
  <w:num w:numId="4">
    <w:abstractNumId w:val="0"/>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embedSystemFonts/>
  <w:bordersDoNotSurroundHeader w:val="1"/>
  <w:bordersDoNotSurroundFooter w:val="1"/>
  <w:documentProtection w:enforcement="0"/>
  <w:defaultTabStop w:val="420"/>
  <w:doNotHyphenateCaps/>
  <w:drawingGridHorizontalSpacing w:val="105"/>
  <w:drawingGridVerticalSpacing w:val="156"/>
  <w:displayHorizontalDrawingGridEvery w:val="2"/>
  <w:displayVerticalDrawingGridEvery w:val="2"/>
  <w:noPunctuationKerning w:val="1"/>
  <w:characterSpacingControl w:val="compressPunctuation"/>
  <w:noLineBreaksAfter w:lang="zh-CN" w:val="$([{£¥·‘“〈《「『【〔〖〝﹙﹛﹝＄（．［｛￡￥"/>
  <w:noLineBreaksBefore w:lang="zh-CN" w:val="!%),.:;&gt;?]}¢¨°·ˇˉ―‖’”…‰′″›℃∶、。〃〉》」』】〕〗〞︶︺︾﹀﹄﹚﹜﹞！＂％＇），．：；？］｀｜｝～￠"/>
  <w:doNotValidateAgainstSchema/>
  <w:doNotDemarcateInvalidXml/>
  <w:hdrShapeDefaults>
    <o:shapelayout v:ext="edit">
      <o:idmap v:ext="edit" data="2"/>
    </o:shapelayout>
  </w:hdrShapeDefaults>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321A8"/>
    <w:rsid w:val="00000501"/>
    <w:rsid w:val="00001A56"/>
    <w:rsid w:val="00002648"/>
    <w:rsid w:val="00003395"/>
    <w:rsid w:val="00004DBF"/>
    <w:rsid w:val="00005947"/>
    <w:rsid w:val="00006484"/>
    <w:rsid w:val="0000725E"/>
    <w:rsid w:val="00012689"/>
    <w:rsid w:val="000147DD"/>
    <w:rsid w:val="00021365"/>
    <w:rsid w:val="00021BF3"/>
    <w:rsid w:val="0002312F"/>
    <w:rsid w:val="000239CA"/>
    <w:rsid w:val="00024DA7"/>
    <w:rsid w:val="00025837"/>
    <w:rsid w:val="000274CB"/>
    <w:rsid w:val="0002793A"/>
    <w:rsid w:val="00031B24"/>
    <w:rsid w:val="00032D17"/>
    <w:rsid w:val="00034A43"/>
    <w:rsid w:val="000351C0"/>
    <w:rsid w:val="000417FF"/>
    <w:rsid w:val="00041FEE"/>
    <w:rsid w:val="00042A55"/>
    <w:rsid w:val="000434FE"/>
    <w:rsid w:val="000443C4"/>
    <w:rsid w:val="00044B37"/>
    <w:rsid w:val="00045790"/>
    <w:rsid w:val="00046E5B"/>
    <w:rsid w:val="000477CA"/>
    <w:rsid w:val="00051925"/>
    <w:rsid w:val="00053728"/>
    <w:rsid w:val="00054989"/>
    <w:rsid w:val="000568DD"/>
    <w:rsid w:val="00060724"/>
    <w:rsid w:val="00060ADA"/>
    <w:rsid w:val="00066248"/>
    <w:rsid w:val="00066555"/>
    <w:rsid w:val="0006702C"/>
    <w:rsid w:val="00071B1D"/>
    <w:rsid w:val="0007344D"/>
    <w:rsid w:val="00076040"/>
    <w:rsid w:val="0007612C"/>
    <w:rsid w:val="000767E7"/>
    <w:rsid w:val="00086B43"/>
    <w:rsid w:val="00087074"/>
    <w:rsid w:val="0009236E"/>
    <w:rsid w:val="000925D5"/>
    <w:rsid w:val="00092BB9"/>
    <w:rsid w:val="00093C27"/>
    <w:rsid w:val="00093C37"/>
    <w:rsid w:val="000961F3"/>
    <w:rsid w:val="000A3707"/>
    <w:rsid w:val="000A3FA7"/>
    <w:rsid w:val="000B0908"/>
    <w:rsid w:val="000B0A28"/>
    <w:rsid w:val="000B2555"/>
    <w:rsid w:val="000B5752"/>
    <w:rsid w:val="000B58CD"/>
    <w:rsid w:val="000B7409"/>
    <w:rsid w:val="000B79AB"/>
    <w:rsid w:val="000C0A43"/>
    <w:rsid w:val="000C648C"/>
    <w:rsid w:val="000C6B0F"/>
    <w:rsid w:val="000D1EFE"/>
    <w:rsid w:val="000D36DD"/>
    <w:rsid w:val="000D3F7B"/>
    <w:rsid w:val="000D468A"/>
    <w:rsid w:val="000D5714"/>
    <w:rsid w:val="000E0081"/>
    <w:rsid w:val="000E008C"/>
    <w:rsid w:val="000E1357"/>
    <w:rsid w:val="000E24A3"/>
    <w:rsid w:val="000E2BD1"/>
    <w:rsid w:val="000E2C2E"/>
    <w:rsid w:val="000E3CB4"/>
    <w:rsid w:val="000E4009"/>
    <w:rsid w:val="000E56EE"/>
    <w:rsid w:val="000F0037"/>
    <w:rsid w:val="000F0207"/>
    <w:rsid w:val="000F1079"/>
    <w:rsid w:val="000F1EB9"/>
    <w:rsid w:val="000F272D"/>
    <w:rsid w:val="000F2F91"/>
    <w:rsid w:val="000F3C27"/>
    <w:rsid w:val="001005CB"/>
    <w:rsid w:val="0010325F"/>
    <w:rsid w:val="00103D20"/>
    <w:rsid w:val="00104693"/>
    <w:rsid w:val="0010607B"/>
    <w:rsid w:val="00106C11"/>
    <w:rsid w:val="00114146"/>
    <w:rsid w:val="00114DB4"/>
    <w:rsid w:val="00116DDF"/>
    <w:rsid w:val="001210ED"/>
    <w:rsid w:val="0012182C"/>
    <w:rsid w:val="00121B51"/>
    <w:rsid w:val="001253D1"/>
    <w:rsid w:val="001260E1"/>
    <w:rsid w:val="00126F73"/>
    <w:rsid w:val="00127398"/>
    <w:rsid w:val="0013026B"/>
    <w:rsid w:val="001310C3"/>
    <w:rsid w:val="00133398"/>
    <w:rsid w:val="0013379E"/>
    <w:rsid w:val="00133AAB"/>
    <w:rsid w:val="001348D7"/>
    <w:rsid w:val="00135245"/>
    <w:rsid w:val="00136FBD"/>
    <w:rsid w:val="00140D31"/>
    <w:rsid w:val="00140D70"/>
    <w:rsid w:val="0014199F"/>
    <w:rsid w:val="00142261"/>
    <w:rsid w:val="001444F3"/>
    <w:rsid w:val="0014760E"/>
    <w:rsid w:val="00147AFB"/>
    <w:rsid w:val="00152BA3"/>
    <w:rsid w:val="00155F9B"/>
    <w:rsid w:val="001612D9"/>
    <w:rsid w:val="00161C3C"/>
    <w:rsid w:val="00163CFE"/>
    <w:rsid w:val="00163DDD"/>
    <w:rsid w:val="0016503B"/>
    <w:rsid w:val="00166F0F"/>
    <w:rsid w:val="001705C2"/>
    <w:rsid w:val="0017192B"/>
    <w:rsid w:val="00172074"/>
    <w:rsid w:val="00174242"/>
    <w:rsid w:val="001743E2"/>
    <w:rsid w:val="001752B2"/>
    <w:rsid w:val="00176B4C"/>
    <w:rsid w:val="00176BCE"/>
    <w:rsid w:val="00176E90"/>
    <w:rsid w:val="00177710"/>
    <w:rsid w:val="00177745"/>
    <w:rsid w:val="001804B0"/>
    <w:rsid w:val="001813E6"/>
    <w:rsid w:val="00181F2B"/>
    <w:rsid w:val="001826AD"/>
    <w:rsid w:val="001859F7"/>
    <w:rsid w:val="00185BC3"/>
    <w:rsid w:val="00185BF5"/>
    <w:rsid w:val="00187914"/>
    <w:rsid w:val="00190BE9"/>
    <w:rsid w:val="00191C6F"/>
    <w:rsid w:val="001954A3"/>
    <w:rsid w:val="00195537"/>
    <w:rsid w:val="001963B3"/>
    <w:rsid w:val="001A28E0"/>
    <w:rsid w:val="001A5AB3"/>
    <w:rsid w:val="001B0CD7"/>
    <w:rsid w:val="001B1DD7"/>
    <w:rsid w:val="001B46F0"/>
    <w:rsid w:val="001B4AA5"/>
    <w:rsid w:val="001B65F9"/>
    <w:rsid w:val="001B6BCF"/>
    <w:rsid w:val="001B73D4"/>
    <w:rsid w:val="001C00FD"/>
    <w:rsid w:val="001C23F7"/>
    <w:rsid w:val="001C2D53"/>
    <w:rsid w:val="001C4468"/>
    <w:rsid w:val="001C4A2D"/>
    <w:rsid w:val="001D10C5"/>
    <w:rsid w:val="001D1C36"/>
    <w:rsid w:val="001D2718"/>
    <w:rsid w:val="001D2C67"/>
    <w:rsid w:val="001D2DE3"/>
    <w:rsid w:val="001D344E"/>
    <w:rsid w:val="001D4984"/>
    <w:rsid w:val="001D5019"/>
    <w:rsid w:val="001D6EE0"/>
    <w:rsid w:val="001D728F"/>
    <w:rsid w:val="001D739C"/>
    <w:rsid w:val="001D75ED"/>
    <w:rsid w:val="001D7DC1"/>
    <w:rsid w:val="001D7FD7"/>
    <w:rsid w:val="001E1BBF"/>
    <w:rsid w:val="001E25C2"/>
    <w:rsid w:val="001E4EE1"/>
    <w:rsid w:val="001E6644"/>
    <w:rsid w:val="001E6C13"/>
    <w:rsid w:val="001E7B3B"/>
    <w:rsid w:val="001F09D7"/>
    <w:rsid w:val="001F2289"/>
    <w:rsid w:val="001F2B74"/>
    <w:rsid w:val="001F2F91"/>
    <w:rsid w:val="001F3D72"/>
    <w:rsid w:val="001F48E4"/>
    <w:rsid w:val="001F5C3F"/>
    <w:rsid w:val="001F6675"/>
    <w:rsid w:val="001F6B27"/>
    <w:rsid w:val="001F7169"/>
    <w:rsid w:val="001F73B3"/>
    <w:rsid w:val="001F7581"/>
    <w:rsid w:val="001F7757"/>
    <w:rsid w:val="00200188"/>
    <w:rsid w:val="0020403B"/>
    <w:rsid w:val="00204794"/>
    <w:rsid w:val="00205C7D"/>
    <w:rsid w:val="00205F34"/>
    <w:rsid w:val="00207F1F"/>
    <w:rsid w:val="00211178"/>
    <w:rsid w:val="00211AB0"/>
    <w:rsid w:val="002147E5"/>
    <w:rsid w:val="0021530C"/>
    <w:rsid w:val="002155B0"/>
    <w:rsid w:val="0021613B"/>
    <w:rsid w:val="00220323"/>
    <w:rsid w:val="0022181E"/>
    <w:rsid w:val="00222D35"/>
    <w:rsid w:val="002235DB"/>
    <w:rsid w:val="0022386C"/>
    <w:rsid w:val="00223BC4"/>
    <w:rsid w:val="00225BED"/>
    <w:rsid w:val="00226002"/>
    <w:rsid w:val="00231C80"/>
    <w:rsid w:val="002330D6"/>
    <w:rsid w:val="00234498"/>
    <w:rsid w:val="00234F9D"/>
    <w:rsid w:val="0023593C"/>
    <w:rsid w:val="002362D7"/>
    <w:rsid w:val="00236657"/>
    <w:rsid w:val="002366D5"/>
    <w:rsid w:val="00246DAB"/>
    <w:rsid w:val="00247E62"/>
    <w:rsid w:val="002502F9"/>
    <w:rsid w:val="00255ECB"/>
    <w:rsid w:val="00256DF1"/>
    <w:rsid w:val="0026032A"/>
    <w:rsid w:val="0026111E"/>
    <w:rsid w:val="00262109"/>
    <w:rsid w:val="00263424"/>
    <w:rsid w:val="00266B67"/>
    <w:rsid w:val="00266DF6"/>
    <w:rsid w:val="00266E80"/>
    <w:rsid w:val="00267F4D"/>
    <w:rsid w:val="002725A7"/>
    <w:rsid w:val="002726E7"/>
    <w:rsid w:val="00274541"/>
    <w:rsid w:val="00280023"/>
    <w:rsid w:val="002805B8"/>
    <w:rsid w:val="00281ED2"/>
    <w:rsid w:val="00282443"/>
    <w:rsid w:val="00282872"/>
    <w:rsid w:val="002879B9"/>
    <w:rsid w:val="00287B2D"/>
    <w:rsid w:val="00290B72"/>
    <w:rsid w:val="00291B19"/>
    <w:rsid w:val="00292B2D"/>
    <w:rsid w:val="00294359"/>
    <w:rsid w:val="002943C7"/>
    <w:rsid w:val="002945D3"/>
    <w:rsid w:val="00295D5F"/>
    <w:rsid w:val="00296DBE"/>
    <w:rsid w:val="002A0227"/>
    <w:rsid w:val="002A091E"/>
    <w:rsid w:val="002A4C51"/>
    <w:rsid w:val="002A6EA6"/>
    <w:rsid w:val="002B18A4"/>
    <w:rsid w:val="002B395B"/>
    <w:rsid w:val="002B48A8"/>
    <w:rsid w:val="002B4C8F"/>
    <w:rsid w:val="002B5649"/>
    <w:rsid w:val="002B74CE"/>
    <w:rsid w:val="002C0143"/>
    <w:rsid w:val="002C347A"/>
    <w:rsid w:val="002C3F6B"/>
    <w:rsid w:val="002C4058"/>
    <w:rsid w:val="002C41C5"/>
    <w:rsid w:val="002C5134"/>
    <w:rsid w:val="002C58A0"/>
    <w:rsid w:val="002C65B9"/>
    <w:rsid w:val="002C6DD7"/>
    <w:rsid w:val="002C74EE"/>
    <w:rsid w:val="002C751A"/>
    <w:rsid w:val="002C7752"/>
    <w:rsid w:val="002C7EF9"/>
    <w:rsid w:val="002D0FCA"/>
    <w:rsid w:val="002D1F8E"/>
    <w:rsid w:val="002D2C1C"/>
    <w:rsid w:val="002D42BA"/>
    <w:rsid w:val="002D45D2"/>
    <w:rsid w:val="002D4A2A"/>
    <w:rsid w:val="002D78AE"/>
    <w:rsid w:val="002E0E3E"/>
    <w:rsid w:val="002E129D"/>
    <w:rsid w:val="002E1BD1"/>
    <w:rsid w:val="002E28D2"/>
    <w:rsid w:val="002E3B9F"/>
    <w:rsid w:val="002E3D5A"/>
    <w:rsid w:val="002E43C2"/>
    <w:rsid w:val="002F12BC"/>
    <w:rsid w:val="002F21E3"/>
    <w:rsid w:val="002F3582"/>
    <w:rsid w:val="003000F9"/>
    <w:rsid w:val="00300181"/>
    <w:rsid w:val="00301796"/>
    <w:rsid w:val="00301B81"/>
    <w:rsid w:val="00302AD4"/>
    <w:rsid w:val="00306E39"/>
    <w:rsid w:val="00310976"/>
    <w:rsid w:val="00310BCF"/>
    <w:rsid w:val="00311AE5"/>
    <w:rsid w:val="00311AE6"/>
    <w:rsid w:val="0031585B"/>
    <w:rsid w:val="00315FEF"/>
    <w:rsid w:val="0032019B"/>
    <w:rsid w:val="00322DB7"/>
    <w:rsid w:val="00323698"/>
    <w:rsid w:val="003248C3"/>
    <w:rsid w:val="00325EEC"/>
    <w:rsid w:val="003301D8"/>
    <w:rsid w:val="00330484"/>
    <w:rsid w:val="003363B9"/>
    <w:rsid w:val="003365D8"/>
    <w:rsid w:val="00336E52"/>
    <w:rsid w:val="00337512"/>
    <w:rsid w:val="00340136"/>
    <w:rsid w:val="00340863"/>
    <w:rsid w:val="00341B85"/>
    <w:rsid w:val="003422D0"/>
    <w:rsid w:val="0034276F"/>
    <w:rsid w:val="0034442F"/>
    <w:rsid w:val="0034512C"/>
    <w:rsid w:val="00345908"/>
    <w:rsid w:val="003503D7"/>
    <w:rsid w:val="00352CD3"/>
    <w:rsid w:val="00354CA5"/>
    <w:rsid w:val="00355CE8"/>
    <w:rsid w:val="00361199"/>
    <w:rsid w:val="00362448"/>
    <w:rsid w:val="00362508"/>
    <w:rsid w:val="00363E13"/>
    <w:rsid w:val="00366156"/>
    <w:rsid w:val="003702ED"/>
    <w:rsid w:val="003704B4"/>
    <w:rsid w:val="00370AB0"/>
    <w:rsid w:val="00371718"/>
    <w:rsid w:val="00373220"/>
    <w:rsid w:val="00374CB2"/>
    <w:rsid w:val="003776D0"/>
    <w:rsid w:val="00382F2B"/>
    <w:rsid w:val="003841FE"/>
    <w:rsid w:val="00385824"/>
    <w:rsid w:val="00387F3E"/>
    <w:rsid w:val="00390D10"/>
    <w:rsid w:val="003915D5"/>
    <w:rsid w:val="00391C4C"/>
    <w:rsid w:val="00393A47"/>
    <w:rsid w:val="00393CBA"/>
    <w:rsid w:val="00394471"/>
    <w:rsid w:val="00395B37"/>
    <w:rsid w:val="003977BF"/>
    <w:rsid w:val="003A037F"/>
    <w:rsid w:val="003A1A52"/>
    <w:rsid w:val="003A6D22"/>
    <w:rsid w:val="003A7A7E"/>
    <w:rsid w:val="003B376F"/>
    <w:rsid w:val="003B3B5D"/>
    <w:rsid w:val="003B474A"/>
    <w:rsid w:val="003B60B0"/>
    <w:rsid w:val="003C0236"/>
    <w:rsid w:val="003C255A"/>
    <w:rsid w:val="003C394B"/>
    <w:rsid w:val="003C77E0"/>
    <w:rsid w:val="003C7802"/>
    <w:rsid w:val="003C785A"/>
    <w:rsid w:val="003D0F40"/>
    <w:rsid w:val="003D3AD9"/>
    <w:rsid w:val="003D4EFD"/>
    <w:rsid w:val="003D71A7"/>
    <w:rsid w:val="003E2381"/>
    <w:rsid w:val="003E3064"/>
    <w:rsid w:val="003E42FD"/>
    <w:rsid w:val="003E4D8A"/>
    <w:rsid w:val="003E5E54"/>
    <w:rsid w:val="003F389A"/>
    <w:rsid w:val="003F6371"/>
    <w:rsid w:val="003F7F43"/>
    <w:rsid w:val="0040043F"/>
    <w:rsid w:val="00401145"/>
    <w:rsid w:val="004016AC"/>
    <w:rsid w:val="00404F81"/>
    <w:rsid w:val="00405924"/>
    <w:rsid w:val="004076DA"/>
    <w:rsid w:val="00407D09"/>
    <w:rsid w:val="00410E6C"/>
    <w:rsid w:val="00413CC7"/>
    <w:rsid w:val="00414080"/>
    <w:rsid w:val="00415F44"/>
    <w:rsid w:val="004175D0"/>
    <w:rsid w:val="00417F11"/>
    <w:rsid w:val="00420018"/>
    <w:rsid w:val="00421E54"/>
    <w:rsid w:val="00422AEE"/>
    <w:rsid w:val="00424862"/>
    <w:rsid w:val="0042767A"/>
    <w:rsid w:val="00427A55"/>
    <w:rsid w:val="00430318"/>
    <w:rsid w:val="0043250B"/>
    <w:rsid w:val="00440341"/>
    <w:rsid w:val="00443318"/>
    <w:rsid w:val="00457592"/>
    <w:rsid w:val="004603D3"/>
    <w:rsid w:val="00461C8B"/>
    <w:rsid w:val="004636DE"/>
    <w:rsid w:val="00463C05"/>
    <w:rsid w:val="004640DA"/>
    <w:rsid w:val="00470720"/>
    <w:rsid w:val="00470B60"/>
    <w:rsid w:val="00471430"/>
    <w:rsid w:val="00471A36"/>
    <w:rsid w:val="00473A4E"/>
    <w:rsid w:val="004764AA"/>
    <w:rsid w:val="00477EBA"/>
    <w:rsid w:val="00481D66"/>
    <w:rsid w:val="00482591"/>
    <w:rsid w:val="00482DC1"/>
    <w:rsid w:val="004843CD"/>
    <w:rsid w:val="00486042"/>
    <w:rsid w:val="004861FA"/>
    <w:rsid w:val="00486F81"/>
    <w:rsid w:val="00487FF5"/>
    <w:rsid w:val="00490E9C"/>
    <w:rsid w:val="00491793"/>
    <w:rsid w:val="00493183"/>
    <w:rsid w:val="0049489F"/>
    <w:rsid w:val="00494DD3"/>
    <w:rsid w:val="004966DD"/>
    <w:rsid w:val="00497388"/>
    <w:rsid w:val="004A1D28"/>
    <w:rsid w:val="004A28F6"/>
    <w:rsid w:val="004B0348"/>
    <w:rsid w:val="004B287D"/>
    <w:rsid w:val="004B2BC9"/>
    <w:rsid w:val="004B304A"/>
    <w:rsid w:val="004B311C"/>
    <w:rsid w:val="004B4179"/>
    <w:rsid w:val="004B48E2"/>
    <w:rsid w:val="004B56C1"/>
    <w:rsid w:val="004B6B88"/>
    <w:rsid w:val="004B6B94"/>
    <w:rsid w:val="004C2DA5"/>
    <w:rsid w:val="004C4580"/>
    <w:rsid w:val="004C496B"/>
    <w:rsid w:val="004C5020"/>
    <w:rsid w:val="004C59F1"/>
    <w:rsid w:val="004D421B"/>
    <w:rsid w:val="004D4590"/>
    <w:rsid w:val="004D4B9C"/>
    <w:rsid w:val="004D58FC"/>
    <w:rsid w:val="004D6AAB"/>
    <w:rsid w:val="004D70F5"/>
    <w:rsid w:val="004D7432"/>
    <w:rsid w:val="004E1816"/>
    <w:rsid w:val="004E1F03"/>
    <w:rsid w:val="004E2DE6"/>
    <w:rsid w:val="004E3DC9"/>
    <w:rsid w:val="004E3F28"/>
    <w:rsid w:val="004E6DB9"/>
    <w:rsid w:val="004E785A"/>
    <w:rsid w:val="004F0A40"/>
    <w:rsid w:val="004F2B9D"/>
    <w:rsid w:val="004F3FEB"/>
    <w:rsid w:val="004F53D8"/>
    <w:rsid w:val="004F61C1"/>
    <w:rsid w:val="004F6C83"/>
    <w:rsid w:val="004F7F49"/>
    <w:rsid w:val="005003D5"/>
    <w:rsid w:val="005019BB"/>
    <w:rsid w:val="00502DD2"/>
    <w:rsid w:val="005030BD"/>
    <w:rsid w:val="005048CF"/>
    <w:rsid w:val="00510683"/>
    <w:rsid w:val="00512DD7"/>
    <w:rsid w:val="005142D9"/>
    <w:rsid w:val="00515AFE"/>
    <w:rsid w:val="00521600"/>
    <w:rsid w:val="00521ACC"/>
    <w:rsid w:val="005223D8"/>
    <w:rsid w:val="00524637"/>
    <w:rsid w:val="0052572A"/>
    <w:rsid w:val="005270F1"/>
    <w:rsid w:val="00527C7C"/>
    <w:rsid w:val="005309CF"/>
    <w:rsid w:val="00532285"/>
    <w:rsid w:val="00532593"/>
    <w:rsid w:val="00532C73"/>
    <w:rsid w:val="005359C9"/>
    <w:rsid w:val="00540564"/>
    <w:rsid w:val="00540766"/>
    <w:rsid w:val="00542383"/>
    <w:rsid w:val="00542E29"/>
    <w:rsid w:val="005431C3"/>
    <w:rsid w:val="00547C24"/>
    <w:rsid w:val="005532C1"/>
    <w:rsid w:val="00554D32"/>
    <w:rsid w:val="00556DA8"/>
    <w:rsid w:val="00557472"/>
    <w:rsid w:val="005643FF"/>
    <w:rsid w:val="0056594E"/>
    <w:rsid w:val="00566901"/>
    <w:rsid w:val="00570871"/>
    <w:rsid w:val="005728B8"/>
    <w:rsid w:val="00573F72"/>
    <w:rsid w:val="00574979"/>
    <w:rsid w:val="00574B77"/>
    <w:rsid w:val="00575256"/>
    <w:rsid w:val="00580812"/>
    <w:rsid w:val="0058082F"/>
    <w:rsid w:val="005813EB"/>
    <w:rsid w:val="00581D4C"/>
    <w:rsid w:val="00582138"/>
    <w:rsid w:val="00582A99"/>
    <w:rsid w:val="005846F0"/>
    <w:rsid w:val="00584A53"/>
    <w:rsid w:val="00585610"/>
    <w:rsid w:val="005864DE"/>
    <w:rsid w:val="00586D77"/>
    <w:rsid w:val="00590268"/>
    <w:rsid w:val="0059128F"/>
    <w:rsid w:val="00591C0F"/>
    <w:rsid w:val="00593267"/>
    <w:rsid w:val="005952AF"/>
    <w:rsid w:val="00595646"/>
    <w:rsid w:val="00596258"/>
    <w:rsid w:val="00596502"/>
    <w:rsid w:val="005A2A1F"/>
    <w:rsid w:val="005A48EC"/>
    <w:rsid w:val="005A7E1C"/>
    <w:rsid w:val="005B10A4"/>
    <w:rsid w:val="005B267E"/>
    <w:rsid w:val="005B673F"/>
    <w:rsid w:val="005C5228"/>
    <w:rsid w:val="005C5487"/>
    <w:rsid w:val="005C7DA2"/>
    <w:rsid w:val="005D0A12"/>
    <w:rsid w:val="005D37F9"/>
    <w:rsid w:val="005D667C"/>
    <w:rsid w:val="005D67EF"/>
    <w:rsid w:val="005E01BF"/>
    <w:rsid w:val="005E0B67"/>
    <w:rsid w:val="005E213E"/>
    <w:rsid w:val="005E2366"/>
    <w:rsid w:val="005E487A"/>
    <w:rsid w:val="005E4891"/>
    <w:rsid w:val="005E7B05"/>
    <w:rsid w:val="005F0F58"/>
    <w:rsid w:val="005F12EB"/>
    <w:rsid w:val="005F172C"/>
    <w:rsid w:val="005F20CB"/>
    <w:rsid w:val="005F313C"/>
    <w:rsid w:val="005F39AF"/>
    <w:rsid w:val="005F41BF"/>
    <w:rsid w:val="005F534A"/>
    <w:rsid w:val="005F5531"/>
    <w:rsid w:val="006013A3"/>
    <w:rsid w:val="00601408"/>
    <w:rsid w:val="00601486"/>
    <w:rsid w:val="006020E1"/>
    <w:rsid w:val="00605144"/>
    <w:rsid w:val="0060621C"/>
    <w:rsid w:val="00607591"/>
    <w:rsid w:val="006079D0"/>
    <w:rsid w:val="00607C99"/>
    <w:rsid w:val="006115A9"/>
    <w:rsid w:val="006122AF"/>
    <w:rsid w:val="00612BC7"/>
    <w:rsid w:val="00614BEE"/>
    <w:rsid w:val="00614E31"/>
    <w:rsid w:val="006158E6"/>
    <w:rsid w:val="006169B6"/>
    <w:rsid w:val="00617879"/>
    <w:rsid w:val="00617EEE"/>
    <w:rsid w:val="00621537"/>
    <w:rsid w:val="00621A02"/>
    <w:rsid w:val="00623611"/>
    <w:rsid w:val="00623C07"/>
    <w:rsid w:val="0062418C"/>
    <w:rsid w:val="00624F44"/>
    <w:rsid w:val="0062570E"/>
    <w:rsid w:val="006258FC"/>
    <w:rsid w:val="00625FD2"/>
    <w:rsid w:val="00636683"/>
    <w:rsid w:val="00636AAA"/>
    <w:rsid w:val="006418D3"/>
    <w:rsid w:val="00641A7C"/>
    <w:rsid w:val="00642EC8"/>
    <w:rsid w:val="00644C53"/>
    <w:rsid w:val="00647C7A"/>
    <w:rsid w:val="006515D9"/>
    <w:rsid w:val="00653FB4"/>
    <w:rsid w:val="00654131"/>
    <w:rsid w:val="00655ECA"/>
    <w:rsid w:val="0065635C"/>
    <w:rsid w:val="00661AA8"/>
    <w:rsid w:val="006624B7"/>
    <w:rsid w:val="006626BB"/>
    <w:rsid w:val="00663E9B"/>
    <w:rsid w:val="00664355"/>
    <w:rsid w:val="0066443A"/>
    <w:rsid w:val="00664995"/>
    <w:rsid w:val="006702CF"/>
    <w:rsid w:val="00670B5B"/>
    <w:rsid w:val="006710D7"/>
    <w:rsid w:val="006715F2"/>
    <w:rsid w:val="0067292A"/>
    <w:rsid w:val="006736D5"/>
    <w:rsid w:val="006760B5"/>
    <w:rsid w:val="00677227"/>
    <w:rsid w:val="00677C16"/>
    <w:rsid w:val="00680D07"/>
    <w:rsid w:val="00684063"/>
    <w:rsid w:val="0069376A"/>
    <w:rsid w:val="0069396D"/>
    <w:rsid w:val="006939C2"/>
    <w:rsid w:val="00694276"/>
    <w:rsid w:val="00694F40"/>
    <w:rsid w:val="00695596"/>
    <w:rsid w:val="006956A3"/>
    <w:rsid w:val="00697188"/>
    <w:rsid w:val="006A06A4"/>
    <w:rsid w:val="006A5F06"/>
    <w:rsid w:val="006A6CC3"/>
    <w:rsid w:val="006A7316"/>
    <w:rsid w:val="006B0532"/>
    <w:rsid w:val="006B172C"/>
    <w:rsid w:val="006B1CE9"/>
    <w:rsid w:val="006B3AE7"/>
    <w:rsid w:val="006B5F06"/>
    <w:rsid w:val="006B7049"/>
    <w:rsid w:val="006B7F75"/>
    <w:rsid w:val="006C1E6A"/>
    <w:rsid w:val="006C466F"/>
    <w:rsid w:val="006C6AC6"/>
    <w:rsid w:val="006C6F8B"/>
    <w:rsid w:val="006C7080"/>
    <w:rsid w:val="006C717A"/>
    <w:rsid w:val="006D1AE3"/>
    <w:rsid w:val="006E0CBD"/>
    <w:rsid w:val="006E1107"/>
    <w:rsid w:val="006E2D0E"/>
    <w:rsid w:val="006E6395"/>
    <w:rsid w:val="006E78A2"/>
    <w:rsid w:val="006F4B84"/>
    <w:rsid w:val="006F4EDD"/>
    <w:rsid w:val="006F4F47"/>
    <w:rsid w:val="006F5A80"/>
    <w:rsid w:val="006F5E85"/>
    <w:rsid w:val="00702D0F"/>
    <w:rsid w:val="0070793C"/>
    <w:rsid w:val="00707DF8"/>
    <w:rsid w:val="00710949"/>
    <w:rsid w:val="0071104D"/>
    <w:rsid w:val="00716621"/>
    <w:rsid w:val="007176D5"/>
    <w:rsid w:val="007217B9"/>
    <w:rsid w:val="00721A03"/>
    <w:rsid w:val="00722F34"/>
    <w:rsid w:val="00723EC7"/>
    <w:rsid w:val="00724D36"/>
    <w:rsid w:val="0072733C"/>
    <w:rsid w:val="007274D2"/>
    <w:rsid w:val="007316D5"/>
    <w:rsid w:val="00731C64"/>
    <w:rsid w:val="007321A8"/>
    <w:rsid w:val="007338F9"/>
    <w:rsid w:val="00735D69"/>
    <w:rsid w:val="00735FC2"/>
    <w:rsid w:val="0073706D"/>
    <w:rsid w:val="00743B9C"/>
    <w:rsid w:val="00744B94"/>
    <w:rsid w:val="00745542"/>
    <w:rsid w:val="0074604C"/>
    <w:rsid w:val="00750C73"/>
    <w:rsid w:val="007537F1"/>
    <w:rsid w:val="00754DD8"/>
    <w:rsid w:val="00755048"/>
    <w:rsid w:val="007601BD"/>
    <w:rsid w:val="007622E3"/>
    <w:rsid w:val="0076316B"/>
    <w:rsid w:val="00764C4D"/>
    <w:rsid w:val="00765527"/>
    <w:rsid w:val="00765F40"/>
    <w:rsid w:val="00773E47"/>
    <w:rsid w:val="00773F45"/>
    <w:rsid w:val="007741D0"/>
    <w:rsid w:val="00775DEB"/>
    <w:rsid w:val="00776699"/>
    <w:rsid w:val="0077781A"/>
    <w:rsid w:val="0078090F"/>
    <w:rsid w:val="007810CE"/>
    <w:rsid w:val="007834A5"/>
    <w:rsid w:val="00784638"/>
    <w:rsid w:val="00784936"/>
    <w:rsid w:val="00785061"/>
    <w:rsid w:val="00791F84"/>
    <w:rsid w:val="007927D4"/>
    <w:rsid w:val="007950C2"/>
    <w:rsid w:val="007951A6"/>
    <w:rsid w:val="007956AF"/>
    <w:rsid w:val="00795FE2"/>
    <w:rsid w:val="007963EF"/>
    <w:rsid w:val="00796807"/>
    <w:rsid w:val="007A038A"/>
    <w:rsid w:val="007A117A"/>
    <w:rsid w:val="007A28E4"/>
    <w:rsid w:val="007A3D70"/>
    <w:rsid w:val="007A6295"/>
    <w:rsid w:val="007A6378"/>
    <w:rsid w:val="007A6D86"/>
    <w:rsid w:val="007B0562"/>
    <w:rsid w:val="007B07DB"/>
    <w:rsid w:val="007B1DD5"/>
    <w:rsid w:val="007B2C0A"/>
    <w:rsid w:val="007B42AD"/>
    <w:rsid w:val="007B579D"/>
    <w:rsid w:val="007B6075"/>
    <w:rsid w:val="007C030A"/>
    <w:rsid w:val="007C0636"/>
    <w:rsid w:val="007C6533"/>
    <w:rsid w:val="007C7C27"/>
    <w:rsid w:val="007D2036"/>
    <w:rsid w:val="007D255C"/>
    <w:rsid w:val="007D44B1"/>
    <w:rsid w:val="007D4700"/>
    <w:rsid w:val="007D59AB"/>
    <w:rsid w:val="007D5E38"/>
    <w:rsid w:val="007E5F01"/>
    <w:rsid w:val="007E68BC"/>
    <w:rsid w:val="007E76E8"/>
    <w:rsid w:val="007F4913"/>
    <w:rsid w:val="007F5248"/>
    <w:rsid w:val="007F7796"/>
    <w:rsid w:val="008015B9"/>
    <w:rsid w:val="00801BC7"/>
    <w:rsid w:val="008025AB"/>
    <w:rsid w:val="008044BA"/>
    <w:rsid w:val="008044D4"/>
    <w:rsid w:val="00807CA5"/>
    <w:rsid w:val="008102CE"/>
    <w:rsid w:val="008103DC"/>
    <w:rsid w:val="00811354"/>
    <w:rsid w:val="00812341"/>
    <w:rsid w:val="00812E18"/>
    <w:rsid w:val="00813983"/>
    <w:rsid w:val="00815753"/>
    <w:rsid w:val="00815FB9"/>
    <w:rsid w:val="008209B8"/>
    <w:rsid w:val="0082152D"/>
    <w:rsid w:val="0082249B"/>
    <w:rsid w:val="00822CE4"/>
    <w:rsid w:val="00823832"/>
    <w:rsid w:val="0082418E"/>
    <w:rsid w:val="00824763"/>
    <w:rsid w:val="00825740"/>
    <w:rsid w:val="00826B06"/>
    <w:rsid w:val="00827E33"/>
    <w:rsid w:val="008303A1"/>
    <w:rsid w:val="00831CC6"/>
    <w:rsid w:val="00832DEE"/>
    <w:rsid w:val="008330D3"/>
    <w:rsid w:val="008343E7"/>
    <w:rsid w:val="008359E0"/>
    <w:rsid w:val="008361B2"/>
    <w:rsid w:val="00840832"/>
    <w:rsid w:val="00840B28"/>
    <w:rsid w:val="00841CE5"/>
    <w:rsid w:val="00843071"/>
    <w:rsid w:val="0084349B"/>
    <w:rsid w:val="00844BA1"/>
    <w:rsid w:val="00845B57"/>
    <w:rsid w:val="00845DD5"/>
    <w:rsid w:val="00846B43"/>
    <w:rsid w:val="00847519"/>
    <w:rsid w:val="00853EDA"/>
    <w:rsid w:val="00863249"/>
    <w:rsid w:val="00864234"/>
    <w:rsid w:val="008649D3"/>
    <w:rsid w:val="00865C24"/>
    <w:rsid w:val="00867A62"/>
    <w:rsid w:val="00870496"/>
    <w:rsid w:val="008722A1"/>
    <w:rsid w:val="00872ED1"/>
    <w:rsid w:val="00876117"/>
    <w:rsid w:val="008809E7"/>
    <w:rsid w:val="00887D17"/>
    <w:rsid w:val="00890ABC"/>
    <w:rsid w:val="00890D15"/>
    <w:rsid w:val="00891FF8"/>
    <w:rsid w:val="00893B2D"/>
    <w:rsid w:val="008940E8"/>
    <w:rsid w:val="00894436"/>
    <w:rsid w:val="00895950"/>
    <w:rsid w:val="00896333"/>
    <w:rsid w:val="008A0376"/>
    <w:rsid w:val="008A0476"/>
    <w:rsid w:val="008A1E78"/>
    <w:rsid w:val="008A1FBA"/>
    <w:rsid w:val="008A2E72"/>
    <w:rsid w:val="008B227F"/>
    <w:rsid w:val="008B2DF2"/>
    <w:rsid w:val="008B3F9F"/>
    <w:rsid w:val="008B4557"/>
    <w:rsid w:val="008B4E10"/>
    <w:rsid w:val="008B5C62"/>
    <w:rsid w:val="008C1348"/>
    <w:rsid w:val="008C1BE3"/>
    <w:rsid w:val="008C311B"/>
    <w:rsid w:val="008C36AC"/>
    <w:rsid w:val="008C4EB6"/>
    <w:rsid w:val="008C580E"/>
    <w:rsid w:val="008C7608"/>
    <w:rsid w:val="008C7FD8"/>
    <w:rsid w:val="008D3054"/>
    <w:rsid w:val="008D30B7"/>
    <w:rsid w:val="008D4924"/>
    <w:rsid w:val="008D495C"/>
    <w:rsid w:val="008D66C5"/>
    <w:rsid w:val="008D68FC"/>
    <w:rsid w:val="008D756A"/>
    <w:rsid w:val="008E4405"/>
    <w:rsid w:val="008E6242"/>
    <w:rsid w:val="008E67A3"/>
    <w:rsid w:val="008F1F1D"/>
    <w:rsid w:val="008F2D95"/>
    <w:rsid w:val="008F35F0"/>
    <w:rsid w:val="008F4A55"/>
    <w:rsid w:val="008F7BC2"/>
    <w:rsid w:val="0090042B"/>
    <w:rsid w:val="00900EDE"/>
    <w:rsid w:val="00901559"/>
    <w:rsid w:val="00902DA8"/>
    <w:rsid w:val="00903337"/>
    <w:rsid w:val="009041D2"/>
    <w:rsid w:val="00906214"/>
    <w:rsid w:val="00906F6F"/>
    <w:rsid w:val="009128C0"/>
    <w:rsid w:val="00912904"/>
    <w:rsid w:val="00915A58"/>
    <w:rsid w:val="009168E1"/>
    <w:rsid w:val="009200BB"/>
    <w:rsid w:val="00920349"/>
    <w:rsid w:val="0092039A"/>
    <w:rsid w:val="009230AF"/>
    <w:rsid w:val="00923D29"/>
    <w:rsid w:val="009253A6"/>
    <w:rsid w:val="00926102"/>
    <w:rsid w:val="009279B9"/>
    <w:rsid w:val="0093131A"/>
    <w:rsid w:val="00933B20"/>
    <w:rsid w:val="00934F4B"/>
    <w:rsid w:val="00935175"/>
    <w:rsid w:val="00935589"/>
    <w:rsid w:val="00940993"/>
    <w:rsid w:val="00942C57"/>
    <w:rsid w:val="00943C62"/>
    <w:rsid w:val="00944152"/>
    <w:rsid w:val="00944FDD"/>
    <w:rsid w:val="009451A1"/>
    <w:rsid w:val="00945568"/>
    <w:rsid w:val="009548A0"/>
    <w:rsid w:val="0095614C"/>
    <w:rsid w:val="00957BCA"/>
    <w:rsid w:val="00962509"/>
    <w:rsid w:val="00964260"/>
    <w:rsid w:val="00964F3C"/>
    <w:rsid w:val="009658D7"/>
    <w:rsid w:val="0096735A"/>
    <w:rsid w:val="00967C7B"/>
    <w:rsid w:val="00971223"/>
    <w:rsid w:val="009720D4"/>
    <w:rsid w:val="00972BC6"/>
    <w:rsid w:val="00974820"/>
    <w:rsid w:val="009749D3"/>
    <w:rsid w:val="00974BDF"/>
    <w:rsid w:val="0097578C"/>
    <w:rsid w:val="009757AE"/>
    <w:rsid w:val="00982498"/>
    <w:rsid w:val="00982B65"/>
    <w:rsid w:val="009842D3"/>
    <w:rsid w:val="00984436"/>
    <w:rsid w:val="009853F5"/>
    <w:rsid w:val="00985F92"/>
    <w:rsid w:val="00986E86"/>
    <w:rsid w:val="009870AA"/>
    <w:rsid w:val="009906F7"/>
    <w:rsid w:val="009917DD"/>
    <w:rsid w:val="0099399A"/>
    <w:rsid w:val="00994A82"/>
    <w:rsid w:val="00995B07"/>
    <w:rsid w:val="00996C0B"/>
    <w:rsid w:val="009972E6"/>
    <w:rsid w:val="009974D1"/>
    <w:rsid w:val="009A28EC"/>
    <w:rsid w:val="009A2CFD"/>
    <w:rsid w:val="009A380D"/>
    <w:rsid w:val="009A3C0E"/>
    <w:rsid w:val="009A4C5B"/>
    <w:rsid w:val="009A6093"/>
    <w:rsid w:val="009A7648"/>
    <w:rsid w:val="009A79AD"/>
    <w:rsid w:val="009B008A"/>
    <w:rsid w:val="009B0E0C"/>
    <w:rsid w:val="009B2B8C"/>
    <w:rsid w:val="009B366D"/>
    <w:rsid w:val="009B580A"/>
    <w:rsid w:val="009B5F55"/>
    <w:rsid w:val="009C0601"/>
    <w:rsid w:val="009C0A6E"/>
    <w:rsid w:val="009C15CB"/>
    <w:rsid w:val="009C1CB1"/>
    <w:rsid w:val="009C27FC"/>
    <w:rsid w:val="009C55E0"/>
    <w:rsid w:val="009C7ED3"/>
    <w:rsid w:val="009D2E5E"/>
    <w:rsid w:val="009D2E86"/>
    <w:rsid w:val="009D3763"/>
    <w:rsid w:val="009D4353"/>
    <w:rsid w:val="009D4481"/>
    <w:rsid w:val="009D4584"/>
    <w:rsid w:val="009D4F34"/>
    <w:rsid w:val="009D5E0A"/>
    <w:rsid w:val="009D7B7A"/>
    <w:rsid w:val="009E055D"/>
    <w:rsid w:val="009E13FE"/>
    <w:rsid w:val="009E1FEF"/>
    <w:rsid w:val="009E2062"/>
    <w:rsid w:val="009E2E53"/>
    <w:rsid w:val="009E3013"/>
    <w:rsid w:val="009F047D"/>
    <w:rsid w:val="009F0663"/>
    <w:rsid w:val="009F0A45"/>
    <w:rsid w:val="009F0EEB"/>
    <w:rsid w:val="009F1B70"/>
    <w:rsid w:val="009F4BE4"/>
    <w:rsid w:val="009F4DEB"/>
    <w:rsid w:val="009F6932"/>
    <w:rsid w:val="00A0067A"/>
    <w:rsid w:val="00A026CA"/>
    <w:rsid w:val="00A028BE"/>
    <w:rsid w:val="00A02C4D"/>
    <w:rsid w:val="00A036ED"/>
    <w:rsid w:val="00A063DC"/>
    <w:rsid w:val="00A12119"/>
    <w:rsid w:val="00A12E4F"/>
    <w:rsid w:val="00A13E0F"/>
    <w:rsid w:val="00A13E70"/>
    <w:rsid w:val="00A1658F"/>
    <w:rsid w:val="00A22BA5"/>
    <w:rsid w:val="00A24AFC"/>
    <w:rsid w:val="00A2675C"/>
    <w:rsid w:val="00A3028C"/>
    <w:rsid w:val="00A32CD0"/>
    <w:rsid w:val="00A352DC"/>
    <w:rsid w:val="00A361E5"/>
    <w:rsid w:val="00A37030"/>
    <w:rsid w:val="00A37F8A"/>
    <w:rsid w:val="00A411BB"/>
    <w:rsid w:val="00A41273"/>
    <w:rsid w:val="00A41432"/>
    <w:rsid w:val="00A41751"/>
    <w:rsid w:val="00A42223"/>
    <w:rsid w:val="00A42731"/>
    <w:rsid w:val="00A4578A"/>
    <w:rsid w:val="00A45B6C"/>
    <w:rsid w:val="00A500FC"/>
    <w:rsid w:val="00A50255"/>
    <w:rsid w:val="00A50288"/>
    <w:rsid w:val="00A51BF1"/>
    <w:rsid w:val="00A52449"/>
    <w:rsid w:val="00A531F2"/>
    <w:rsid w:val="00A55316"/>
    <w:rsid w:val="00A56C7F"/>
    <w:rsid w:val="00A56F3A"/>
    <w:rsid w:val="00A60034"/>
    <w:rsid w:val="00A60225"/>
    <w:rsid w:val="00A60696"/>
    <w:rsid w:val="00A60C0F"/>
    <w:rsid w:val="00A61F23"/>
    <w:rsid w:val="00A62DBD"/>
    <w:rsid w:val="00A62EF3"/>
    <w:rsid w:val="00A65304"/>
    <w:rsid w:val="00A67635"/>
    <w:rsid w:val="00A806B5"/>
    <w:rsid w:val="00A81D73"/>
    <w:rsid w:val="00A83310"/>
    <w:rsid w:val="00A84CCF"/>
    <w:rsid w:val="00A8627D"/>
    <w:rsid w:val="00A8675F"/>
    <w:rsid w:val="00A8679E"/>
    <w:rsid w:val="00A86946"/>
    <w:rsid w:val="00A91D7F"/>
    <w:rsid w:val="00A93629"/>
    <w:rsid w:val="00A9426A"/>
    <w:rsid w:val="00A94E60"/>
    <w:rsid w:val="00A96711"/>
    <w:rsid w:val="00A972C0"/>
    <w:rsid w:val="00A9737B"/>
    <w:rsid w:val="00AA0AE1"/>
    <w:rsid w:val="00AA14A9"/>
    <w:rsid w:val="00AA1DE3"/>
    <w:rsid w:val="00AA2B0E"/>
    <w:rsid w:val="00AA2D7F"/>
    <w:rsid w:val="00AA4687"/>
    <w:rsid w:val="00AA5DA8"/>
    <w:rsid w:val="00AA5F1A"/>
    <w:rsid w:val="00AA70E0"/>
    <w:rsid w:val="00AB3B17"/>
    <w:rsid w:val="00AB48AE"/>
    <w:rsid w:val="00AB7A44"/>
    <w:rsid w:val="00AC1A29"/>
    <w:rsid w:val="00AC1EF3"/>
    <w:rsid w:val="00AC27F8"/>
    <w:rsid w:val="00AC336A"/>
    <w:rsid w:val="00AC3407"/>
    <w:rsid w:val="00AC415D"/>
    <w:rsid w:val="00AC6BDD"/>
    <w:rsid w:val="00AD1A3E"/>
    <w:rsid w:val="00AD31C2"/>
    <w:rsid w:val="00AD45BC"/>
    <w:rsid w:val="00AD6FCD"/>
    <w:rsid w:val="00AD7043"/>
    <w:rsid w:val="00AD767D"/>
    <w:rsid w:val="00AD785C"/>
    <w:rsid w:val="00AE060B"/>
    <w:rsid w:val="00AE0BA7"/>
    <w:rsid w:val="00AE0E6A"/>
    <w:rsid w:val="00AE0E71"/>
    <w:rsid w:val="00AE1407"/>
    <w:rsid w:val="00AE167A"/>
    <w:rsid w:val="00AE211D"/>
    <w:rsid w:val="00AE2FC3"/>
    <w:rsid w:val="00AE40D7"/>
    <w:rsid w:val="00AE6448"/>
    <w:rsid w:val="00AE6921"/>
    <w:rsid w:val="00AF02C4"/>
    <w:rsid w:val="00AF0336"/>
    <w:rsid w:val="00AF0F6C"/>
    <w:rsid w:val="00AF149E"/>
    <w:rsid w:val="00AF333E"/>
    <w:rsid w:val="00AF5126"/>
    <w:rsid w:val="00AF6A10"/>
    <w:rsid w:val="00AF7949"/>
    <w:rsid w:val="00B0011D"/>
    <w:rsid w:val="00B04050"/>
    <w:rsid w:val="00B054D9"/>
    <w:rsid w:val="00B05599"/>
    <w:rsid w:val="00B05C23"/>
    <w:rsid w:val="00B05C4A"/>
    <w:rsid w:val="00B06C74"/>
    <w:rsid w:val="00B109A7"/>
    <w:rsid w:val="00B10D60"/>
    <w:rsid w:val="00B12C7F"/>
    <w:rsid w:val="00B13A8C"/>
    <w:rsid w:val="00B158B7"/>
    <w:rsid w:val="00B15C19"/>
    <w:rsid w:val="00B169B3"/>
    <w:rsid w:val="00B200B3"/>
    <w:rsid w:val="00B219DB"/>
    <w:rsid w:val="00B24626"/>
    <w:rsid w:val="00B265FF"/>
    <w:rsid w:val="00B26CD4"/>
    <w:rsid w:val="00B26D25"/>
    <w:rsid w:val="00B3029F"/>
    <w:rsid w:val="00B32A68"/>
    <w:rsid w:val="00B33A25"/>
    <w:rsid w:val="00B33A8E"/>
    <w:rsid w:val="00B35113"/>
    <w:rsid w:val="00B359D8"/>
    <w:rsid w:val="00B35ECE"/>
    <w:rsid w:val="00B367B6"/>
    <w:rsid w:val="00B410FD"/>
    <w:rsid w:val="00B411E0"/>
    <w:rsid w:val="00B42553"/>
    <w:rsid w:val="00B42A54"/>
    <w:rsid w:val="00B4478C"/>
    <w:rsid w:val="00B45D22"/>
    <w:rsid w:val="00B50AE4"/>
    <w:rsid w:val="00B53D50"/>
    <w:rsid w:val="00B5444E"/>
    <w:rsid w:val="00B544D8"/>
    <w:rsid w:val="00B56ED1"/>
    <w:rsid w:val="00B57180"/>
    <w:rsid w:val="00B604CB"/>
    <w:rsid w:val="00B61680"/>
    <w:rsid w:val="00B61AB6"/>
    <w:rsid w:val="00B61E89"/>
    <w:rsid w:val="00B62147"/>
    <w:rsid w:val="00B64128"/>
    <w:rsid w:val="00B64130"/>
    <w:rsid w:val="00B64163"/>
    <w:rsid w:val="00B64403"/>
    <w:rsid w:val="00B65F90"/>
    <w:rsid w:val="00B66441"/>
    <w:rsid w:val="00B72168"/>
    <w:rsid w:val="00B723D4"/>
    <w:rsid w:val="00B72AAC"/>
    <w:rsid w:val="00B735C5"/>
    <w:rsid w:val="00B75EDF"/>
    <w:rsid w:val="00B779D8"/>
    <w:rsid w:val="00B77E69"/>
    <w:rsid w:val="00B800C7"/>
    <w:rsid w:val="00B81EB9"/>
    <w:rsid w:val="00B82AD9"/>
    <w:rsid w:val="00B8415E"/>
    <w:rsid w:val="00B85A4E"/>
    <w:rsid w:val="00B906CF"/>
    <w:rsid w:val="00B92ACF"/>
    <w:rsid w:val="00B92DD2"/>
    <w:rsid w:val="00B92F00"/>
    <w:rsid w:val="00BA1A83"/>
    <w:rsid w:val="00BA37D5"/>
    <w:rsid w:val="00BA43D7"/>
    <w:rsid w:val="00BB1638"/>
    <w:rsid w:val="00BB4937"/>
    <w:rsid w:val="00BC1C7C"/>
    <w:rsid w:val="00BC26D5"/>
    <w:rsid w:val="00BC350F"/>
    <w:rsid w:val="00BC4287"/>
    <w:rsid w:val="00BC42D9"/>
    <w:rsid w:val="00BC49A8"/>
    <w:rsid w:val="00BC5853"/>
    <w:rsid w:val="00BC7F4C"/>
    <w:rsid w:val="00BD0189"/>
    <w:rsid w:val="00BD0C0C"/>
    <w:rsid w:val="00BD0E65"/>
    <w:rsid w:val="00BD16DA"/>
    <w:rsid w:val="00BD45CF"/>
    <w:rsid w:val="00BD4D3B"/>
    <w:rsid w:val="00BD5A84"/>
    <w:rsid w:val="00BD63DE"/>
    <w:rsid w:val="00BD669D"/>
    <w:rsid w:val="00BE06E0"/>
    <w:rsid w:val="00BE0CF7"/>
    <w:rsid w:val="00BE204F"/>
    <w:rsid w:val="00BE35B8"/>
    <w:rsid w:val="00BE4CFD"/>
    <w:rsid w:val="00BE6FF0"/>
    <w:rsid w:val="00BE773E"/>
    <w:rsid w:val="00BE79B6"/>
    <w:rsid w:val="00BE7EF6"/>
    <w:rsid w:val="00BF160B"/>
    <w:rsid w:val="00BF227C"/>
    <w:rsid w:val="00BF2659"/>
    <w:rsid w:val="00BF39EA"/>
    <w:rsid w:val="00BF5651"/>
    <w:rsid w:val="00BF799C"/>
    <w:rsid w:val="00C00834"/>
    <w:rsid w:val="00C00A54"/>
    <w:rsid w:val="00C0264A"/>
    <w:rsid w:val="00C030FE"/>
    <w:rsid w:val="00C03BFB"/>
    <w:rsid w:val="00C068A6"/>
    <w:rsid w:val="00C069B0"/>
    <w:rsid w:val="00C07C00"/>
    <w:rsid w:val="00C1071F"/>
    <w:rsid w:val="00C10915"/>
    <w:rsid w:val="00C12EAA"/>
    <w:rsid w:val="00C13F2D"/>
    <w:rsid w:val="00C171AE"/>
    <w:rsid w:val="00C17384"/>
    <w:rsid w:val="00C17E9C"/>
    <w:rsid w:val="00C2117B"/>
    <w:rsid w:val="00C22247"/>
    <w:rsid w:val="00C23361"/>
    <w:rsid w:val="00C23CA4"/>
    <w:rsid w:val="00C23D44"/>
    <w:rsid w:val="00C26F5F"/>
    <w:rsid w:val="00C300DD"/>
    <w:rsid w:val="00C30D63"/>
    <w:rsid w:val="00C30E90"/>
    <w:rsid w:val="00C35D44"/>
    <w:rsid w:val="00C35E86"/>
    <w:rsid w:val="00C37926"/>
    <w:rsid w:val="00C37D6D"/>
    <w:rsid w:val="00C37FBB"/>
    <w:rsid w:val="00C4284E"/>
    <w:rsid w:val="00C44288"/>
    <w:rsid w:val="00C44932"/>
    <w:rsid w:val="00C449DE"/>
    <w:rsid w:val="00C454EA"/>
    <w:rsid w:val="00C459D2"/>
    <w:rsid w:val="00C470AE"/>
    <w:rsid w:val="00C501CB"/>
    <w:rsid w:val="00C51CD5"/>
    <w:rsid w:val="00C5256C"/>
    <w:rsid w:val="00C52EE2"/>
    <w:rsid w:val="00C53E2E"/>
    <w:rsid w:val="00C54594"/>
    <w:rsid w:val="00C55589"/>
    <w:rsid w:val="00C55CB1"/>
    <w:rsid w:val="00C56731"/>
    <w:rsid w:val="00C570B7"/>
    <w:rsid w:val="00C57F0E"/>
    <w:rsid w:val="00C602FF"/>
    <w:rsid w:val="00C60397"/>
    <w:rsid w:val="00C60823"/>
    <w:rsid w:val="00C616C4"/>
    <w:rsid w:val="00C61790"/>
    <w:rsid w:val="00C64EA2"/>
    <w:rsid w:val="00C6514C"/>
    <w:rsid w:val="00C745F8"/>
    <w:rsid w:val="00C746FA"/>
    <w:rsid w:val="00C75BF1"/>
    <w:rsid w:val="00C77BAF"/>
    <w:rsid w:val="00C8053F"/>
    <w:rsid w:val="00C8375C"/>
    <w:rsid w:val="00C84688"/>
    <w:rsid w:val="00C8468D"/>
    <w:rsid w:val="00C85D16"/>
    <w:rsid w:val="00C86994"/>
    <w:rsid w:val="00C8748D"/>
    <w:rsid w:val="00C87553"/>
    <w:rsid w:val="00C90B8E"/>
    <w:rsid w:val="00C9222C"/>
    <w:rsid w:val="00C92C1C"/>
    <w:rsid w:val="00C93053"/>
    <w:rsid w:val="00C93848"/>
    <w:rsid w:val="00C93F37"/>
    <w:rsid w:val="00C94320"/>
    <w:rsid w:val="00C95392"/>
    <w:rsid w:val="00CA4C86"/>
    <w:rsid w:val="00CA5564"/>
    <w:rsid w:val="00CA66F9"/>
    <w:rsid w:val="00CA7EA1"/>
    <w:rsid w:val="00CB01B5"/>
    <w:rsid w:val="00CB1CB6"/>
    <w:rsid w:val="00CB2302"/>
    <w:rsid w:val="00CB25A6"/>
    <w:rsid w:val="00CB2FCD"/>
    <w:rsid w:val="00CB3D10"/>
    <w:rsid w:val="00CB4E7B"/>
    <w:rsid w:val="00CB58F8"/>
    <w:rsid w:val="00CB59B7"/>
    <w:rsid w:val="00CB5F12"/>
    <w:rsid w:val="00CB7B21"/>
    <w:rsid w:val="00CB7ECE"/>
    <w:rsid w:val="00CC032D"/>
    <w:rsid w:val="00CC0521"/>
    <w:rsid w:val="00CC12C0"/>
    <w:rsid w:val="00CC3928"/>
    <w:rsid w:val="00CC4E14"/>
    <w:rsid w:val="00CC5648"/>
    <w:rsid w:val="00CD00B2"/>
    <w:rsid w:val="00CD044D"/>
    <w:rsid w:val="00CD1F8D"/>
    <w:rsid w:val="00CD2B85"/>
    <w:rsid w:val="00CD2BD8"/>
    <w:rsid w:val="00CD4382"/>
    <w:rsid w:val="00CD43C2"/>
    <w:rsid w:val="00CD4A7E"/>
    <w:rsid w:val="00CD4DA4"/>
    <w:rsid w:val="00CD6B34"/>
    <w:rsid w:val="00CD6F9F"/>
    <w:rsid w:val="00CE3C32"/>
    <w:rsid w:val="00CE4AAA"/>
    <w:rsid w:val="00CE54A3"/>
    <w:rsid w:val="00CE5D8F"/>
    <w:rsid w:val="00CF06DD"/>
    <w:rsid w:val="00CF1E57"/>
    <w:rsid w:val="00CF44DC"/>
    <w:rsid w:val="00CF4C32"/>
    <w:rsid w:val="00CF60D2"/>
    <w:rsid w:val="00CF7AC3"/>
    <w:rsid w:val="00D000CE"/>
    <w:rsid w:val="00D01A0C"/>
    <w:rsid w:val="00D01B83"/>
    <w:rsid w:val="00D01EB7"/>
    <w:rsid w:val="00D02091"/>
    <w:rsid w:val="00D06298"/>
    <w:rsid w:val="00D07AA0"/>
    <w:rsid w:val="00D1264D"/>
    <w:rsid w:val="00D13530"/>
    <w:rsid w:val="00D15957"/>
    <w:rsid w:val="00D17713"/>
    <w:rsid w:val="00D2041A"/>
    <w:rsid w:val="00D21DA7"/>
    <w:rsid w:val="00D22D44"/>
    <w:rsid w:val="00D230BF"/>
    <w:rsid w:val="00D24103"/>
    <w:rsid w:val="00D3072D"/>
    <w:rsid w:val="00D311F6"/>
    <w:rsid w:val="00D31D1A"/>
    <w:rsid w:val="00D35E7E"/>
    <w:rsid w:val="00D35FAB"/>
    <w:rsid w:val="00D3726B"/>
    <w:rsid w:val="00D37956"/>
    <w:rsid w:val="00D41C8F"/>
    <w:rsid w:val="00D427DA"/>
    <w:rsid w:val="00D42EA8"/>
    <w:rsid w:val="00D44518"/>
    <w:rsid w:val="00D44AE5"/>
    <w:rsid w:val="00D47A2A"/>
    <w:rsid w:val="00D47FA9"/>
    <w:rsid w:val="00D502C7"/>
    <w:rsid w:val="00D50CEA"/>
    <w:rsid w:val="00D556C6"/>
    <w:rsid w:val="00D56BF5"/>
    <w:rsid w:val="00D56E05"/>
    <w:rsid w:val="00D5708F"/>
    <w:rsid w:val="00D571C6"/>
    <w:rsid w:val="00D62163"/>
    <w:rsid w:val="00D628C2"/>
    <w:rsid w:val="00D629E4"/>
    <w:rsid w:val="00D66246"/>
    <w:rsid w:val="00D707ED"/>
    <w:rsid w:val="00D70B36"/>
    <w:rsid w:val="00D72501"/>
    <w:rsid w:val="00D72B76"/>
    <w:rsid w:val="00D7368D"/>
    <w:rsid w:val="00D76C65"/>
    <w:rsid w:val="00D8034C"/>
    <w:rsid w:val="00D81C11"/>
    <w:rsid w:val="00D8566A"/>
    <w:rsid w:val="00D8599B"/>
    <w:rsid w:val="00D903AA"/>
    <w:rsid w:val="00D904E7"/>
    <w:rsid w:val="00D90750"/>
    <w:rsid w:val="00D90C26"/>
    <w:rsid w:val="00D91009"/>
    <w:rsid w:val="00D92970"/>
    <w:rsid w:val="00D94D3E"/>
    <w:rsid w:val="00D95491"/>
    <w:rsid w:val="00D9734D"/>
    <w:rsid w:val="00DA0323"/>
    <w:rsid w:val="00DA20F6"/>
    <w:rsid w:val="00DA2D3E"/>
    <w:rsid w:val="00DA4AAA"/>
    <w:rsid w:val="00DA66B0"/>
    <w:rsid w:val="00DB030E"/>
    <w:rsid w:val="00DB0AD6"/>
    <w:rsid w:val="00DB1041"/>
    <w:rsid w:val="00DB1188"/>
    <w:rsid w:val="00DB292B"/>
    <w:rsid w:val="00DB2E88"/>
    <w:rsid w:val="00DB3999"/>
    <w:rsid w:val="00DB4415"/>
    <w:rsid w:val="00DB4443"/>
    <w:rsid w:val="00DB45D2"/>
    <w:rsid w:val="00DB54E4"/>
    <w:rsid w:val="00DB57A9"/>
    <w:rsid w:val="00DB7440"/>
    <w:rsid w:val="00DC02D1"/>
    <w:rsid w:val="00DC1007"/>
    <w:rsid w:val="00DC1606"/>
    <w:rsid w:val="00DC1A68"/>
    <w:rsid w:val="00DC2943"/>
    <w:rsid w:val="00DC3584"/>
    <w:rsid w:val="00DC3D46"/>
    <w:rsid w:val="00DC4D73"/>
    <w:rsid w:val="00DC5076"/>
    <w:rsid w:val="00DC6973"/>
    <w:rsid w:val="00DC6C74"/>
    <w:rsid w:val="00DC796A"/>
    <w:rsid w:val="00DD01DF"/>
    <w:rsid w:val="00DD234C"/>
    <w:rsid w:val="00DD2610"/>
    <w:rsid w:val="00DD533D"/>
    <w:rsid w:val="00DD5866"/>
    <w:rsid w:val="00DD5E3F"/>
    <w:rsid w:val="00DD6A0D"/>
    <w:rsid w:val="00DD7896"/>
    <w:rsid w:val="00DD7E79"/>
    <w:rsid w:val="00DE1283"/>
    <w:rsid w:val="00DE3B24"/>
    <w:rsid w:val="00DE408F"/>
    <w:rsid w:val="00DE74EF"/>
    <w:rsid w:val="00DE765E"/>
    <w:rsid w:val="00DF72BE"/>
    <w:rsid w:val="00E04154"/>
    <w:rsid w:val="00E07721"/>
    <w:rsid w:val="00E07E39"/>
    <w:rsid w:val="00E1084A"/>
    <w:rsid w:val="00E117C3"/>
    <w:rsid w:val="00E11989"/>
    <w:rsid w:val="00E127AC"/>
    <w:rsid w:val="00E133C5"/>
    <w:rsid w:val="00E13CFD"/>
    <w:rsid w:val="00E150D9"/>
    <w:rsid w:val="00E15B9A"/>
    <w:rsid w:val="00E17905"/>
    <w:rsid w:val="00E17EFC"/>
    <w:rsid w:val="00E20246"/>
    <w:rsid w:val="00E21B34"/>
    <w:rsid w:val="00E255A7"/>
    <w:rsid w:val="00E2651C"/>
    <w:rsid w:val="00E272FD"/>
    <w:rsid w:val="00E31481"/>
    <w:rsid w:val="00E32C82"/>
    <w:rsid w:val="00E3415B"/>
    <w:rsid w:val="00E35AB7"/>
    <w:rsid w:val="00E35F3C"/>
    <w:rsid w:val="00E4033C"/>
    <w:rsid w:val="00E430AF"/>
    <w:rsid w:val="00E4324B"/>
    <w:rsid w:val="00E434B8"/>
    <w:rsid w:val="00E43975"/>
    <w:rsid w:val="00E43B42"/>
    <w:rsid w:val="00E44873"/>
    <w:rsid w:val="00E46797"/>
    <w:rsid w:val="00E525F0"/>
    <w:rsid w:val="00E53DDE"/>
    <w:rsid w:val="00E573CE"/>
    <w:rsid w:val="00E60055"/>
    <w:rsid w:val="00E6319C"/>
    <w:rsid w:val="00E63FDB"/>
    <w:rsid w:val="00E64A73"/>
    <w:rsid w:val="00E6692B"/>
    <w:rsid w:val="00E669C3"/>
    <w:rsid w:val="00E70065"/>
    <w:rsid w:val="00E70A23"/>
    <w:rsid w:val="00E7126A"/>
    <w:rsid w:val="00E717F7"/>
    <w:rsid w:val="00E7206A"/>
    <w:rsid w:val="00E72B8E"/>
    <w:rsid w:val="00E75295"/>
    <w:rsid w:val="00E759B8"/>
    <w:rsid w:val="00E76B27"/>
    <w:rsid w:val="00E8346D"/>
    <w:rsid w:val="00E83603"/>
    <w:rsid w:val="00E86023"/>
    <w:rsid w:val="00E91B60"/>
    <w:rsid w:val="00E925F1"/>
    <w:rsid w:val="00E93B8E"/>
    <w:rsid w:val="00E94056"/>
    <w:rsid w:val="00E94B1B"/>
    <w:rsid w:val="00E9719E"/>
    <w:rsid w:val="00EA0CF1"/>
    <w:rsid w:val="00EA212D"/>
    <w:rsid w:val="00EA258C"/>
    <w:rsid w:val="00EA5103"/>
    <w:rsid w:val="00EB0CF1"/>
    <w:rsid w:val="00EB0D6A"/>
    <w:rsid w:val="00EB1B4F"/>
    <w:rsid w:val="00EB4C22"/>
    <w:rsid w:val="00EB673D"/>
    <w:rsid w:val="00EB6CC8"/>
    <w:rsid w:val="00EC07EA"/>
    <w:rsid w:val="00EC1C75"/>
    <w:rsid w:val="00EC1D01"/>
    <w:rsid w:val="00EC36D4"/>
    <w:rsid w:val="00ED1269"/>
    <w:rsid w:val="00ED1335"/>
    <w:rsid w:val="00ED48A8"/>
    <w:rsid w:val="00ED4F16"/>
    <w:rsid w:val="00EE0059"/>
    <w:rsid w:val="00EE1802"/>
    <w:rsid w:val="00EE3725"/>
    <w:rsid w:val="00EE4340"/>
    <w:rsid w:val="00EE47E7"/>
    <w:rsid w:val="00EE56B7"/>
    <w:rsid w:val="00EE60A2"/>
    <w:rsid w:val="00EE6837"/>
    <w:rsid w:val="00EE716B"/>
    <w:rsid w:val="00EF06A7"/>
    <w:rsid w:val="00EF1D77"/>
    <w:rsid w:val="00EF2C03"/>
    <w:rsid w:val="00EF38E5"/>
    <w:rsid w:val="00EF559A"/>
    <w:rsid w:val="00EF5E16"/>
    <w:rsid w:val="00EF61D6"/>
    <w:rsid w:val="00F0158F"/>
    <w:rsid w:val="00F01D34"/>
    <w:rsid w:val="00F027EA"/>
    <w:rsid w:val="00F03008"/>
    <w:rsid w:val="00F05690"/>
    <w:rsid w:val="00F062A7"/>
    <w:rsid w:val="00F072FD"/>
    <w:rsid w:val="00F10FF5"/>
    <w:rsid w:val="00F11193"/>
    <w:rsid w:val="00F1721A"/>
    <w:rsid w:val="00F20D19"/>
    <w:rsid w:val="00F21F62"/>
    <w:rsid w:val="00F22D48"/>
    <w:rsid w:val="00F23257"/>
    <w:rsid w:val="00F241C3"/>
    <w:rsid w:val="00F249EE"/>
    <w:rsid w:val="00F31135"/>
    <w:rsid w:val="00F316F1"/>
    <w:rsid w:val="00F35FEB"/>
    <w:rsid w:val="00F36CFE"/>
    <w:rsid w:val="00F43C02"/>
    <w:rsid w:val="00F442EA"/>
    <w:rsid w:val="00F55681"/>
    <w:rsid w:val="00F562BC"/>
    <w:rsid w:val="00F568D5"/>
    <w:rsid w:val="00F578F2"/>
    <w:rsid w:val="00F60744"/>
    <w:rsid w:val="00F61EC2"/>
    <w:rsid w:val="00F62C27"/>
    <w:rsid w:val="00F62D21"/>
    <w:rsid w:val="00F6438D"/>
    <w:rsid w:val="00F64834"/>
    <w:rsid w:val="00F649DB"/>
    <w:rsid w:val="00F652BE"/>
    <w:rsid w:val="00F673AB"/>
    <w:rsid w:val="00F70EE9"/>
    <w:rsid w:val="00F716AD"/>
    <w:rsid w:val="00F71EA6"/>
    <w:rsid w:val="00F73CDF"/>
    <w:rsid w:val="00F77D99"/>
    <w:rsid w:val="00F817C4"/>
    <w:rsid w:val="00F81AFD"/>
    <w:rsid w:val="00F81F03"/>
    <w:rsid w:val="00F8246B"/>
    <w:rsid w:val="00F84BAB"/>
    <w:rsid w:val="00F86140"/>
    <w:rsid w:val="00F87180"/>
    <w:rsid w:val="00F906DD"/>
    <w:rsid w:val="00F9099D"/>
    <w:rsid w:val="00F95AE8"/>
    <w:rsid w:val="00F9609C"/>
    <w:rsid w:val="00FA164C"/>
    <w:rsid w:val="00FA16C2"/>
    <w:rsid w:val="00FA23D2"/>
    <w:rsid w:val="00FB0017"/>
    <w:rsid w:val="00FB0213"/>
    <w:rsid w:val="00FB233E"/>
    <w:rsid w:val="00FB52CF"/>
    <w:rsid w:val="00FB7D75"/>
    <w:rsid w:val="00FC211A"/>
    <w:rsid w:val="00FC39A7"/>
    <w:rsid w:val="00FC4783"/>
    <w:rsid w:val="00FC4D32"/>
    <w:rsid w:val="00FC62EC"/>
    <w:rsid w:val="00FD19BC"/>
    <w:rsid w:val="00FD1C5D"/>
    <w:rsid w:val="00FD342F"/>
    <w:rsid w:val="00FD4318"/>
    <w:rsid w:val="00FE205A"/>
    <w:rsid w:val="00FE33A6"/>
    <w:rsid w:val="00FE76BE"/>
    <w:rsid w:val="00FE7888"/>
    <w:rsid w:val="00FE7DFC"/>
    <w:rsid w:val="00FF0A90"/>
    <w:rsid w:val="00FF2333"/>
    <w:rsid w:val="00FF28BB"/>
    <w:rsid w:val="00FF3D5C"/>
    <w:rsid w:val="00FF4476"/>
    <w:rsid w:val="00FF4B43"/>
    <w:rsid w:val="00FF66B6"/>
    <w:rsid w:val="00FF6B5D"/>
    <w:rsid w:val="00FF7ED4"/>
    <w:rsid w:val="01000C11"/>
    <w:rsid w:val="012B4516"/>
    <w:rsid w:val="0132177F"/>
    <w:rsid w:val="01325E6F"/>
    <w:rsid w:val="014F55D0"/>
    <w:rsid w:val="015E7122"/>
    <w:rsid w:val="017D7889"/>
    <w:rsid w:val="018507EC"/>
    <w:rsid w:val="018C327A"/>
    <w:rsid w:val="01922C27"/>
    <w:rsid w:val="01976970"/>
    <w:rsid w:val="019C65E3"/>
    <w:rsid w:val="01AA657D"/>
    <w:rsid w:val="01B037FC"/>
    <w:rsid w:val="01B722BF"/>
    <w:rsid w:val="01C67E56"/>
    <w:rsid w:val="01D5007D"/>
    <w:rsid w:val="01E44900"/>
    <w:rsid w:val="01EA4EC7"/>
    <w:rsid w:val="022B38ED"/>
    <w:rsid w:val="022F729C"/>
    <w:rsid w:val="02365545"/>
    <w:rsid w:val="026819EE"/>
    <w:rsid w:val="02733DF6"/>
    <w:rsid w:val="02B4092B"/>
    <w:rsid w:val="02BD1D92"/>
    <w:rsid w:val="02C0757B"/>
    <w:rsid w:val="02C2112C"/>
    <w:rsid w:val="02EE21F4"/>
    <w:rsid w:val="030E1637"/>
    <w:rsid w:val="03203EAB"/>
    <w:rsid w:val="03297FAD"/>
    <w:rsid w:val="033843AE"/>
    <w:rsid w:val="033C1265"/>
    <w:rsid w:val="034C6B8E"/>
    <w:rsid w:val="036A44EC"/>
    <w:rsid w:val="03742F22"/>
    <w:rsid w:val="037E5EB1"/>
    <w:rsid w:val="039A3E0D"/>
    <w:rsid w:val="03B018E2"/>
    <w:rsid w:val="03B26943"/>
    <w:rsid w:val="03B35810"/>
    <w:rsid w:val="03B87D48"/>
    <w:rsid w:val="03CA5678"/>
    <w:rsid w:val="03E31787"/>
    <w:rsid w:val="03E959D4"/>
    <w:rsid w:val="03EF16F2"/>
    <w:rsid w:val="04026677"/>
    <w:rsid w:val="040808B7"/>
    <w:rsid w:val="04151274"/>
    <w:rsid w:val="041C0553"/>
    <w:rsid w:val="041D441F"/>
    <w:rsid w:val="04336FF7"/>
    <w:rsid w:val="04464718"/>
    <w:rsid w:val="044E5EF4"/>
    <w:rsid w:val="047925FE"/>
    <w:rsid w:val="04882623"/>
    <w:rsid w:val="04887CFF"/>
    <w:rsid w:val="04B734BD"/>
    <w:rsid w:val="04BB766F"/>
    <w:rsid w:val="04C73568"/>
    <w:rsid w:val="04CA5B5D"/>
    <w:rsid w:val="04F73588"/>
    <w:rsid w:val="04FE0CA6"/>
    <w:rsid w:val="04FE591D"/>
    <w:rsid w:val="050062A0"/>
    <w:rsid w:val="05137474"/>
    <w:rsid w:val="05181B67"/>
    <w:rsid w:val="05204C49"/>
    <w:rsid w:val="05247F37"/>
    <w:rsid w:val="052A3992"/>
    <w:rsid w:val="053F13D0"/>
    <w:rsid w:val="05487586"/>
    <w:rsid w:val="0549269F"/>
    <w:rsid w:val="05646300"/>
    <w:rsid w:val="05675654"/>
    <w:rsid w:val="05731C61"/>
    <w:rsid w:val="057A45E9"/>
    <w:rsid w:val="05855E86"/>
    <w:rsid w:val="05900714"/>
    <w:rsid w:val="05974749"/>
    <w:rsid w:val="05A87E65"/>
    <w:rsid w:val="05AB3710"/>
    <w:rsid w:val="05CD45BB"/>
    <w:rsid w:val="05CE0C04"/>
    <w:rsid w:val="05EB340C"/>
    <w:rsid w:val="05F1175A"/>
    <w:rsid w:val="06456DED"/>
    <w:rsid w:val="065B1858"/>
    <w:rsid w:val="06715726"/>
    <w:rsid w:val="067812BD"/>
    <w:rsid w:val="068059EA"/>
    <w:rsid w:val="069161FE"/>
    <w:rsid w:val="06AF7A24"/>
    <w:rsid w:val="06B05168"/>
    <w:rsid w:val="06BE115A"/>
    <w:rsid w:val="06C25618"/>
    <w:rsid w:val="06D26200"/>
    <w:rsid w:val="06DA337F"/>
    <w:rsid w:val="06EF6354"/>
    <w:rsid w:val="070617CA"/>
    <w:rsid w:val="071171A4"/>
    <w:rsid w:val="0713140A"/>
    <w:rsid w:val="07261D64"/>
    <w:rsid w:val="074E79F8"/>
    <w:rsid w:val="075573B4"/>
    <w:rsid w:val="075A6107"/>
    <w:rsid w:val="077F1259"/>
    <w:rsid w:val="07C031AB"/>
    <w:rsid w:val="07C06BF5"/>
    <w:rsid w:val="07C4793E"/>
    <w:rsid w:val="07E41B10"/>
    <w:rsid w:val="07F433A5"/>
    <w:rsid w:val="07FD630F"/>
    <w:rsid w:val="08085CB9"/>
    <w:rsid w:val="0829035F"/>
    <w:rsid w:val="0846217C"/>
    <w:rsid w:val="08552934"/>
    <w:rsid w:val="087645D9"/>
    <w:rsid w:val="08945C7C"/>
    <w:rsid w:val="089D6714"/>
    <w:rsid w:val="08B13986"/>
    <w:rsid w:val="08CD6B12"/>
    <w:rsid w:val="08F925C4"/>
    <w:rsid w:val="0901772F"/>
    <w:rsid w:val="090844CB"/>
    <w:rsid w:val="09105542"/>
    <w:rsid w:val="091E0EB2"/>
    <w:rsid w:val="093C3176"/>
    <w:rsid w:val="095D5D6F"/>
    <w:rsid w:val="096F0A6F"/>
    <w:rsid w:val="097C3A7D"/>
    <w:rsid w:val="09980582"/>
    <w:rsid w:val="09A276FF"/>
    <w:rsid w:val="09B75B22"/>
    <w:rsid w:val="09D20075"/>
    <w:rsid w:val="09D95B72"/>
    <w:rsid w:val="09E5350F"/>
    <w:rsid w:val="09FF33FB"/>
    <w:rsid w:val="0A001929"/>
    <w:rsid w:val="0A273B4B"/>
    <w:rsid w:val="0A2B417A"/>
    <w:rsid w:val="0A432720"/>
    <w:rsid w:val="0A4957CA"/>
    <w:rsid w:val="0A5104EC"/>
    <w:rsid w:val="0A520A25"/>
    <w:rsid w:val="0A84615E"/>
    <w:rsid w:val="0A9A50A6"/>
    <w:rsid w:val="0AB17D9E"/>
    <w:rsid w:val="0AB451A5"/>
    <w:rsid w:val="0AB64AC7"/>
    <w:rsid w:val="0AB900D6"/>
    <w:rsid w:val="0AF376CB"/>
    <w:rsid w:val="0AFA0563"/>
    <w:rsid w:val="0B0C0FA9"/>
    <w:rsid w:val="0B137A48"/>
    <w:rsid w:val="0B173171"/>
    <w:rsid w:val="0B1B4ED2"/>
    <w:rsid w:val="0B311EC3"/>
    <w:rsid w:val="0B486523"/>
    <w:rsid w:val="0B652D8D"/>
    <w:rsid w:val="0B7215A5"/>
    <w:rsid w:val="0B843060"/>
    <w:rsid w:val="0B9D371E"/>
    <w:rsid w:val="0BA25EA5"/>
    <w:rsid w:val="0BAE1DBD"/>
    <w:rsid w:val="0BAF5B40"/>
    <w:rsid w:val="0BB34F73"/>
    <w:rsid w:val="0BB85A84"/>
    <w:rsid w:val="0BC506AE"/>
    <w:rsid w:val="0BDD5137"/>
    <w:rsid w:val="0BEA42CE"/>
    <w:rsid w:val="0BF2135D"/>
    <w:rsid w:val="0BF3372D"/>
    <w:rsid w:val="0BFA38E7"/>
    <w:rsid w:val="0BFD4A6B"/>
    <w:rsid w:val="0BFD587E"/>
    <w:rsid w:val="0C035D75"/>
    <w:rsid w:val="0C0768BB"/>
    <w:rsid w:val="0C40770F"/>
    <w:rsid w:val="0C563D14"/>
    <w:rsid w:val="0C59584F"/>
    <w:rsid w:val="0C791FDC"/>
    <w:rsid w:val="0C7A4BBB"/>
    <w:rsid w:val="0C7E745D"/>
    <w:rsid w:val="0CA50128"/>
    <w:rsid w:val="0CBF4FA3"/>
    <w:rsid w:val="0CC40555"/>
    <w:rsid w:val="0CD54A84"/>
    <w:rsid w:val="0CD7258D"/>
    <w:rsid w:val="0D1335B3"/>
    <w:rsid w:val="0D171578"/>
    <w:rsid w:val="0D2320BC"/>
    <w:rsid w:val="0D2E51C4"/>
    <w:rsid w:val="0D351891"/>
    <w:rsid w:val="0D4A73A0"/>
    <w:rsid w:val="0D547B02"/>
    <w:rsid w:val="0D7A7AA3"/>
    <w:rsid w:val="0D831D72"/>
    <w:rsid w:val="0D9038C4"/>
    <w:rsid w:val="0DB35870"/>
    <w:rsid w:val="0DBF77AF"/>
    <w:rsid w:val="0DC02294"/>
    <w:rsid w:val="0DC076AF"/>
    <w:rsid w:val="0DC71126"/>
    <w:rsid w:val="0DC72299"/>
    <w:rsid w:val="0DCE29C3"/>
    <w:rsid w:val="0DCE6507"/>
    <w:rsid w:val="0DD219E3"/>
    <w:rsid w:val="0DE443E7"/>
    <w:rsid w:val="0DF26C66"/>
    <w:rsid w:val="0E1B5198"/>
    <w:rsid w:val="0E227CB3"/>
    <w:rsid w:val="0E276E15"/>
    <w:rsid w:val="0E2B198F"/>
    <w:rsid w:val="0E2D0499"/>
    <w:rsid w:val="0E341879"/>
    <w:rsid w:val="0E3F4D9E"/>
    <w:rsid w:val="0E421A0E"/>
    <w:rsid w:val="0E4D48EF"/>
    <w:rsid w:val="0E6450A4"/>
    <w:rsid w:val="0E6752F4"/>
    <w:rsid w:val="0E751BA1"/>
    <w:rsid w:val="0E8B1C28"/>
    <w:rsid w:val="0E911178"/>
    <w:rsid w:val="0E97709C"/>
    <w:rsid w:val="0EA8389B"/>
    <w:rsid w:val="0EF02737"/>
    <w:rsid w:val="0EF07645"/>
    <w:rsid w:val="0EF93E50"/>
    <w:rsid w:val="0EFD04E2"/>
    <w:rsid w:val="0F07339E"/>
    <w:rsid w:val="0F0A2FEA"/>
    <w:rsid w:val="0F1412C6"/>
    <w:rsid w:val="0F3A1CA9"/>
    <w:rsid w:val="0F3A74B7"/>
    <w:rsid w:val="0F544E0D"/>
    <w:rsid w:val="0F5737CB"/>
    <w:rsid w:val="0F913524"/>
    <w:rsid w:val="0F9F4887"/>
    <w:rsid w:val="0FB63DA8"/>
    <w:rsid w:val="0FBE2AD0"/>
    <w:rsid w:val="0FD45D51"/>
    <w:rsid w:val="10083DAB"/>
    <w:rsid w:val="101468E8"/>
    <w:rsid w:val="1021511E"/>
    <w:rsid w:val="105D5A16"/>
    <w:rsid w:val="10641FFD"/>
    <w:rsid w:val="106D5A79"/>
    <w:rsid w:val="107C4312"/>
    <w:rsid w:val="10850A8C"/>
    <w:rsid w:val="108D4E43"/>
    <w:rsid w:val="109C0C20"/>
    <w:rsid w:val="10B11221"/>
    <w:rsid w:val="10BD4638"/>
    <w:rsid w:val="10C427E7"/>
    <w:rsid w:val="10D026D8"/>
    <w:rsid w:val="11085AFB"/>
    <w:rsid w:val="110B59EB"/>
    <w:rsid w:val="111671C3"/>
    <w:rsid w:val="111833A7"/>
    <w:rsid w:val="1176634C"/>
    <w:rsid w:val="11925957"/>
    <w:rsid w:val="119A0913"/>
    <w:rsid w:val="11A77C5C"/>
    <w:rsid w:val="11AA203B"/>
    <w:rsid w:val="11AF1D20"/>
    <w:rsid w:val="11B0401E"/>
    <w:rsid w:val="11B73ECC"/>
    <w:rsid w:val="11B77850"/>
    <w:rsid w:val="11BC1676"/>
    <w:rsid w:val="11C372EA"/>
    <w:rsid w:val="11CB7B92"/>
    <w:rsid w:val="11D54330"/>
    <w:rsid w:val="11DB3D6E"/>
    <w:rsid w:val="11E144F5"/>
    <w:rsid w:val="11FB2FB9"/>
    <w:rsid w:val="12153334"/>
    <w:rsid w:val="121F2125"/>
    <w:rsid w:val="122A1E7D"/>
    <w:rsid w:val="122A2FA8"/>
    <w:rsid w:val="1237033E"/>
    <w:rsid w:val="123C1FA8"/>
    <w:rsid w:val="125A2397"/>
    <w:rsid w:val="12780BB9"/>
    <w:rsid w:val="12812F1D"/>
    <w:rsid w:val="12830EC5"/>
    <w:rsid w:val="128950E0"/>
    <w:rsid w:val="129516B8"/>
    <w:rsid w:val="12A83EDB"/>
    <w:rsid w:val="12A95DE1"/>
    <w:rsid w:val="12B45037"/>
    <w:rsid w:val="12C15D2E"/>
    <w:rsid w:val="12C24ACE"/>
    <w:rsid w:val="12C42C29"/>
    <w:rsid w:val="12CD5AC5"/>
    <w:rsid w:val="12D74217"/>
    <w:rsid w:val="12E37CBA"/>
    <w:rsid w:val="12E45480"/>
    <w:rsid w:val="12F97517"/>
    <w:rsid w:val="13181836"/>
    <w:rsid w:val="131E6FC7"/>
    <w:rsid w:val="131E74A0"/>
    <w:rsid w:val="1325405E"/>
    <w:rsid w:val="13290A06"/>
    <w:rsid w:val="132C5ABC"/>
    <w:rsid w:val="13450C10"/>
    <w:rsid w:val="135122B5"/>
    <w:rsid w:val="13525EBA"/>
    <w:rsid w:val="13570E89"/>
    <w:rsid w:val="13622F43"/>
    <w:rsid w:val="13690D74"/>
    <w:rsid w:val="136B278E"/>
    <w:rsid w:val="136C5542"/>
    <w:rsid w:val="13744552"/>
    <w:rsid w:val="138E726A"/>
    <w:rsid w:val="13983929"/>
    <w:rsid w:val="13A179F4"/>
    <w:rsid w:val="13A442A8"/>
    <w:rsid w:val="13A97791"/>
    <w:rsid w:val="13AD7E9D"/>
    <w:rsid w:val="13B35C03"/>
    <w:rsid w:val="13C05D44"/>
    <w:rsid w:val="13CC756C"/>
    <w:rsid w:val="13D26799"/>
    <w:rsid w:val="13E6068B"/>
    <w:rsid w:val="13FF0B11"/>
    <w:rsid w:val="1400651F"/>
    <w:rsid w:val="14203229"/>
    <w:rsid w:val="142B5328"/>
    <w:rsid w:val="14336329"/>
    <w:rsid w:val="14395A9E"/>
    <w:rsid w:val="143A2395"/>
    <w:rsid w:val="143C75B8"/>
    <w:rsid w:val="143D235C"/>
    <w:rsid w:val="14440DD6"/>
    <w:rsid w:val="14595415"/>
    <w:rsid w:val="146714FF"/>
    <w:rsid w:val="14765250"/>
    <w:rsid w:val="14794206"/>
    <w:rsid w:val="147D5A62"/>
    <w:rsid w:val="148C2065"/>
    <w:rsid w:val="1491544C"/>
    <w:rsid w:val="14B561A9"/>
    <w:rsid w:val="14BF4BFF"/>
    <w:rsid w:val="14C36BD3"/>
    <w:rsid w:val="14DE284A"/>
    <w:rsid w:val="14E54E26"/>
    <w:rsid w:val="14EC0715"/>
    <w:rsid w:val="14F965FA"/>
    <w:rsid w:val="1506156F"/>
    <w:rsid w:val="15124050"/>
    <w:rsid w:val="15291699"/>
    <w:rsid w:val="15362BF4"/>
    <w:rsid w:val="15494ADC"/>
    <w:rsid w:val="156C72CF"/>
    <w:rsid w:val="157215B9"/>
    <w:rsid w:val="15797A6D"/>
    <w:rsid w:val="15A509AE"/>
    <w:rsid w:val="15A81A8D"/>
    <w:rsid w:val="15B63C85"/>
    <w:rsid w:val="15BA044A"/>
    <w:rsid w:val="15CD1E29"/>
    <w:rsid w:val="15DE702A"/>
    <w:rsid w:val="15E30106"/>
    <w:rsid w:val="15ED0D22"/>
    <w:rsid w:val="15F4159D"/>
    <w:rsid w:val="160936DA"/>
    <w:rsid w:val="161D18DD"/>
    <w:rsid w:val="16202816"/>
    <w:rsid w:val="16254006"/>
    <w:rsid w:val="162F0925"/>
    <w:rsid w:val="163B1725"/>
    <w:rsid w:val="165259DC"/>
    <w:rsid w:val="16702EA2"/>
    <w:rsid w:val="16722CC2"/>
    <w:rsid w:val="168953B6"/>
    <w:rsid w:val="168A4452"/>
    <w:rsid w:val="169D0565"/>
    <w:rsid w:val="16B53A51"/>
    <w:rsid w:val="16DA642F"/>
    <w:rsid w:val="16E411EE"/>
    <w:rsid w:val="16EC1831"/>
    <w:rsid w:val="16F826F4"/>
    <w:rsid w:val="16FE218F"/>
    <w:rsid w:val="17342C5E"/>
    <w:rsid w:val="174646AF"/>
    <w:rsid w:val="175C3531"/>
    <w:rsid w:val="17686188"/>
    <w:rsid w:val="17697D38"/>
    <w:rsid w:val="17746E15"/>
    <w:rsid w:val="17914AD0"/>
    <w:rsid w:val="17AB7EA9"/>
    <w:rsid w:val="17B768F3"/>
    <w:rsid w:val="17C841E7"/>
    <w:rsid w:val="17E97116"/>
    <w:rsid w:val="17EC7461"/>
    <w:rsid w:val="1800556F"/>
    <w:rsid w:val="180915E0"/>
    <w:rsid w:val="180A55D1"/>
    <w:rsid w:val="18180DC9"/>
    <w:rsid w:val="181B2996"/>
    <w:rsid w:val="1827141A"/>
    <w:rsid w:val="188F0A5B"/>
    <w:rsid w:val="18A60248"/>
    <w:rsid w:val="18A66125"/>
    <w:rsid w:val="18C4473C"/>
    <w:rsid w:val="18CA393D"/>
    <w:rsid w:val="18D77F5E"/>
    <w:rsid w:val="18E853F1"/>
    <w:rsid w:val="18F86A88"/>
    <w:rsid w:val="19113F10"/>
    <w:rsid w:val="19141F14"/>
    <w:rsid w:val="19225E04"/>
    <w:rsid w:val="193B0130"/>
    <w:rsid w:val="196067EF"/>
    <w:rsid w:val="1966142A"/>
    <w:rsid w:val="19682DC4"/>
    <w:rsid w:val="19716E97"/>
    <w:rsid w:val="198731C5"/>
    <w:rsid w:val="198D15EC"/>
    <w:rsid w:val="19F03851"/>
    <w:rsid w:val="19F23801"/>
    <w:rsid w:val="19F6319D"/>
    <w:rsid w:val="19FC3924"/>
    <w:rsid w:val="19FD51B5"/>
    <w:rsid w:val="19FE7025"/>
    <w:rsid w:val="1A0821AC"/>
    <w:rsid w:val="1A45552A"/>
    <w:rsid w:val="1A5F6EFB"/>
    <w:rsid w:val="1A5F6F3D"/>
    <w:rsid w:val="1A716BEA"/>
    <w:rsid w:val="1A913F4F"/>
    <w:rsid w:val="1A951256"/>
    <w:rsid w:val="1A986FB6"/>
    <w:rsid w:val="1AAC6DB9"/>
    <w:rsid w:val="1ABF7762"/>
    <w:rsid w:val="1AC04435"/>
    <w:rsid w:val="1AC55ED2"/>
    <w:rsid w:val="1AE8653C"/>
    <w:rsid w:val="1B1A61E6"/>
    <w:rsid w:val="1B205A81"/>
    <w:rsid w:val="1B423990"/>
    <w:rsid w:val="1B51712A"/>
    <w:rsid w:val="1B557C8E"/>
    <w:rsid w:val="1B5B668E"/>
    <w:rsid w:val="1B63776A"/>
    <w:rsid w:val="1B7920EF"/>
    <w:rsid w:val="1B7E27F9"/>
    <w:rsid w:val="1B9B007B"/>
    <w:rsid w:val="1B9C7739"/>
    <w:rsid w:val="1BAA0078"/>
    <w:rsid w:val="1BDB7713"/>
    <w:rsid w:val="1BE935D1"/>
    <w:rsid w:val="1C12322D"/>
    <w:rsid w:val="1C2F2196"/>
    <w:rsid w:val="1C3F4BC3"/>
    <w:rsid w:val="1C5A6C90"/>
    <w:rsid w:val="1C640481"/>
    <w:rsid w:val="1C7A2767"/>
    <w:rsid w:val="1C8559F5"/>
    <w:rsid w:val="1C9C5A38"/>
    <w:rsid w:val="1CA93CDB"/>
    <w:rsid w:val="1CAC55C6"/>
    <w:rsid w:val="1CAF4D0C"/>
    <w:rsid w:val="1CE93C4E"/>
    <w:rsid w:val="1CEA68C2"/>
    <w:rsid w:val="1D0320C7"/>
    <w:rsid w:val="1D094480"/>
    <w:rsid w:val="1D2929D1"/>
    <w:rsid w:val="1D3D7967"/>
    <w:rsid w:val="1D4276D3"/>
    <w:rsid w:val="1D465F48"/>
    <w:rsid w:val="1D4C4ACC"/>
    <w:rsid w:val="1D69351D"/>
    <w:rsid w:val="1D814916"/>
    <w:rsid w:val="1D8D4EA6"/>
    <w:rsid w:val="1D9259A4"/>
    <w:rsid w:val="1D98786C"/>
    <w:rsid w:val="1DAD1937"/>
    <w:rsid w:val="1DB363FB"/>
    <w:rsid w:val="1DB97CF3"/>
    <w:rsid w:val="1DC55586"/>
    <w:rsid w:val="1DCA0463"/>
    <w:rsid w:val="1DCA74D4"/>
    <w:rsid w:val="1DD45A7F"/>
    <w:rsid w:val="1DD510F6"/>
    <w:rsid w:val="1DDB5445"/>
    <w:rsid w:val="1DE2585E"/>
    <w:rsid w:val="1DF12A90"/>
    <w:rsid w:val="1DFA36A8"/>
    <w:rsid w:val="1DFC1F79"/>
    <w:rsid w:val="1E0662E9"/>
    <w:rsid w:val="1E1F07F3"/>
    <w:rsid w:val="1E275C18"/>
    <w:rsid w:val="1E3B6CF2"/>
    <w:rsid w:val="1E4426C4"/>
    <w:rsid w:val="1E494DE9"/>
    <w:rsid w:val="1E537B92"/>
    <w:rsid w:val="1E677466"/>
    <w:rsid w:val="1E740F39"/>
    <w:rsid w:val="1E7A5498"/>
    <w:rsid w:val="1E8E4FBD"/>
    <w:rsid w:val="1E8F577C"/>
    <w:rsid w:val="1E950EDC"/>
    <w:rsid w:val="1EBF0036"/>
    <w:rsid w:val="1EC31EBF"/>
    <w:rsid w:val="1EC904E0"/>
    <w:rsid w:val="1EE4701E"/>
    <w:rsid w:val="1F0A18D7"/>
    <w:rsid w:val="1F0D1228"/>
    <w:rsid w:val="1F1B508C"/>
    <w:rsid w:val="1F1D311C"/>
    <w:rsid w:val="1F263A21"/>
    <w:rsid w:val="1F2A5D7D"/>
    <w:rsid w:val="1F43355B"/>
    <w:rsid w:val="1F545BF6"/>
    <w:rsid w:val="1F7777D0"/>
    <w:rsid w:val="1F81028B"/>
    <w:rsid w:val="1FA2762A"/>
    <w:rsid w:val="1FBA2122"/>
    <w:rsid w:val="1FCC701B"/>
    <w:rsid w:val="1FD574A3"/>
    <w:rsid w:val="1FE21635"/>
    <w:rsid w:val="1FE978AA"/>
    <w:rsid w:val="202876F3"/>
    <w:rsid w:val="2029043E"/>
    <w:rsid w:val="20385C22"/>
    <w:rsid w:val="203A1DD4"/>
    <w:rsid w:val="20456259"/>
    <w:rsid w:val="2066763B"/>
    <w:rsid w:val="206A4A2D"/>
    <w:rsid w:val="206F0785"/>
    <w:rsid w:val="20833AD7"/>
    <w:rsid w:val="208E5B48"/>
    <w:rsid w:val="20954FD4"/>
    <w:rsid w:val="20C31650"/>
    <w:rsid w:val="20E03495"/>
    <w:rsid w:val="20F45779"/>
    <w:rsid w:val="20F70A67"/>
    <w:rsid w:val="2103143D"/>
    <w:rsid w:val="21361F46"/>
    <w:rsid w:val="213C387D"/>
    <w:rsid w:val="2153546F"/>
    <w:rsid w:val="215432B3"/>
    <w:rsid w:val="21747ED9"/>
    <w:rsid w:val="21871EB0"/>
    <w:rsid w:val="219B6FE1"/>
    <w:rsid w:val="21A53B47"/>
    <w:rsid w:val="21B35B1F"/>
    <w:rsid w:val="21BB2067"/>
    <w:rsid w:val="21C14A2B"/>
    <w:rsid w:val="21E8019D"/>
    <w:rsid w:val="21F217CF"/>
    <w:rsid w:val="21F8170A"/>
    <w:rsid w:val="220A6A7F"/>
    <w:rsid w:val="220E358B"/>
    <w:rsid w:val="222239FA"/>
    <w:rsid w:val="222D697F"/>
    <w:rsid w:val="22313BC2"/>
    <w:rsid w:val="22416AE6"/>
    <w:rsid w:val="2249294D"/>
    <w:rsid w:val="22496C5D"/>
    <w:rsid w:val="22614FF4"/>
    <w:rsid w:val="22654135"/>
    <w:rsid w:val="227650FF"/>
    <w:rsid w:val="228E658B"/>
    <w:rsid w:val="229A7B49"/>
    <w:rsid w:val="22B60D5B"/>
    <w:rsid w:val="22CA2889"/>
    <w:rsid w:val="22CA3B5E"/>
    <w:rsid w:val="22F93035"/>
    <w:rsid w:val="23050C1B"/>
    <w:rsid w:val="230F44E4"/>
    <w:rsid w:val="2316224A"/>
    <w:rsid w:val="231C08F0"/>
    <w:rsid w:val="231D1893"/>
    <w:rsid w:val="231F4284"/>
    <w:rsid w:val="2341607B"/>
    <w:rsid w:val="2343030B"/>
    <w:rsid w:val="235432AA"/>
    <w:rsid w:val="2362489B"/>
    <w:rsid w:val="23660DD2"/>
    <w:rsid w:val="236A71D2"/>
    <w:rsid w:val="236C029E"/>
    <w:rsid w:val="2374672C"/>
    <w:rsid w:val="237C4225"/>
    <w:rsid w:val="23993D4F"/>
    <w:rsid w:val="23A633E0"/>
    <w:rsid w:val="23A77AA6"/>
    <w:rsid w:val="23AB2533"/>
    <w:rsid w:val="23AF0592"/>
    <w:rsid w:val="23B85E7F"/>
    <w:rsid w:val="23BA1F86"/>
    <w:rsid w:val="23C030E3"/>
    <w:rsid w:val="23C70DEE"/>
    <w:rsid w:val="23C8597D"/>
    <w:rsid w:val="23CB5A2D"/>
    <w:rsid w:val="23D42587"/>
    <w:rsid w:val="23EA3185"/>
    <w:rsid w:val="240D04FD"/>
    <w:rsid w:val="24113DDF"/>
    <w:rsid w:val="24235829"/>
    <w:rsid w:val="24465BD6"/>
    <w:rsid w:val="245751FB"/>
    <w:rsid w:val="247D0B3F"/>
    <w:rsid w:val="248045C9"/>
    <w:rsid w:val="248C6998"/>
    <w:rsid w:val="24926161"/>
    <w:rsid w:val="24BB67DA"/>
    <w:rsid w:val="24D5593B"/>
    <w:rsid w:val="24DF565B"/>
    <w:rsid w:val="24E15BCC"/>
    <w:rsid w:val="24F113CE"/>
    <w:rsid w:val="25000494"/>
    <w:rsid w:val="250A33A5"/>
    <w:rsid w:val="250F6914"/>
    <w:rsid w:val="25163F59"/>
    <w:rsid w:val="25513403"/>
    <w:rsid w:val="25595B63"/>
    <w:rsid w:val="255A5877"/>
    <w:rsid w:val="25617BFF"/>
    <w:rsid w:val="25664B2F"/>
    <w:rsid w:val="25825AE5"/>
    <w:rsid w:val="259514A5"/>
    <w:rsid w:val="25A66F79"/>
    <w:rsid w:val="25AC2D9E"/>
    <w:rsid w:val="25B7747F"/>
    <w:rsid w:val="25CF6908"/>
    <w:rsid w:val="25E75056"/>
    <w:rsid w:val="260168EC"/>
    <w:rsid w:val="26086E23"/>
    <w:rsid w:val="26133867"/>
    <w:rsid w:val="263D436F"/>
    <w:rsid w:val="26456D04"/>
    <w:rsid w:val="26477DF9"/>
    <w:rsid w:val="2648322C"/>
    <w:rsid w:val="264D4118"/>
    <w:rsid w:val="266301BD"/>
    <w:rsid w:val="267A2591"/>
    <w:rsid w:val="26814A1A"/>
    <w:rsid w:val="26817C1F"/>
    <w:rsid w:val="268D79FA"/>
    <w:rsid w:val="26922CEB"/>
    <w:rsid w:val="26985445"/>
    <w:rsid w:val="269A1D7A"/>
    <w:rsid w:val="26BD427B"/>
    <w:rsid w:val="26C96618"/>
    <w:rsid w:val="26D53EA4"/>
    <w:rsid w:val="26D55185"/>
    <w:rsid w:val="26E743BD"/>
    <w:rsid w:val="26FD6C3F"/>
    <w:rsid w:val="270264D6"/>
    <w:rsid w:val="27040ABF"/>
    <w:rsid w:val="271960F6"/>
    <w:rsid w:val="272518C6"/>
    <w:rsid w:val="273D5A69"/>
    <w:rsid w:val="273F35CD"/>
    <w:rsid w:val="27462BF3"/>
    <w:rsid w:val="276E2E51"/>
    <w:rsid w:val="27754A21"/>
    <w:rsid w:val="278272C7"/>
    <w:rsid w:val="27902602"/>
    <w:rsid w:val="279027CF"/>
    <w:rsid w:val="279268BB"/>
    <w:rsid w:val="279C1571"/>
    <w:rsid w:val="27A74CBA"/>
    <w:rsid w:val="27B1695A"/>
    <w:rsid w:val="27C57CD6"/>
    <w:rsid w:val="27E21FC4"/>
    <w:rsid w:val="27E56229"/>
    <w:rsid w:val="27EE0C86"/>
    <w:rsid w:val="280D33CB"/>
    <w:rsid w:val="281848D0"/>
    <w:rsid w:val="28284575"/>
    <w:rsid w:val="282F33A9"/>
    <w:rsid w:val="28491DA0"/>
    <w:rsid w:val="284E443C"/>
    <w:rsid w:val="28502F37"/>
    <w:rsid w:val="2863517E"/>
    <w:rsid w:val="28725994"/>
    <w:rsid w:val="287D00DA"/>
    <w:rsid w:val="287D298D"/>
    <w:rsid w:val="287F415D"/>
    <w:rsid w:val="28883F8E"/>
    <w:rsid w:val="288A717A"/>
    <w:rsid w:val="289E4E75"/>
    <w:rsid w:val="28A65185"/>
    <w:rsid w:val="28B1093E"/>
    <w:rsid w:val="28BC5F81"/>
    <w:rsid w:val="28CF23CC"/>
    <w:rsid w:val="28D01F1E"/>
    <w:rsid w:val="28DB7BA3"/>
    <w:rsid w:val="28E06974"/>
    <w:rsid w:val="28EF6093"/>
    <w:rsid w:val="28F414B9"/>
    <w:rsid w:val="28F81109"/>
    <w:rsid w:val="2902497E"/>
    <w:rsid w:val="290B1BA7"/>
    <w:rsid w:val="29177FC6"/>
    <w:rsid w:val="29300081"/>
    <w:rsid w:val="29364E98"/>
    <w:rsid w:val="294C44DB"/>
    <w:rsid w:val="29514CC7"/>
    <w:rsid w:val="295674A6"/>
    <w:rsid w:val="29613BAF"/>
    <w:rsid w:val="296D570C"/>
    <w:rsid w:val="2977389B"/>
    <w:rsid w:val="297E66A8"/>
    <w:rsid w:val="29966144"/>
    <w:rsid w:val="2996680C"/>
    <w:rsid w:val="29991ECE"/>
    <w:rsid w:val="29B241ED"/>
    <w:rsid w:val="29B62502"/>
    <w:rsid w:val="29BA05CB"/>
    <w:rsid w:val="29D633C8"/>
    <w:rsid w:val="29DE1340"/>
    <w:rsid w:val="29EA4BA1"/>
    <w:rsid w:val="29F40B6A"/>
    <w:rsid w:val="29F950BE"/>
    <w:rsid w:val="29FF03E2"/>
    <w:rsid w:val="2A045B79"/>
    <w:rsid w:val="2A215309"/>
    <w:rsid w:val="2A297F8E"/>
    <w:rsid w:val="2A3656AF"/>
    <w:rsid w:val="2A556D2C"/>
    <w:rsid w:val="2A807093"/>
    <w:rsid w:val="2A835292"/>
    <w:rsid w:val="2A8B6729"/>
    <w:rsid w:val="2AA67F86"/>
    <w:rsid w:val="2AA93007"/>
    <w:rsid w:val="2AB0518A"/>
    <w:rsid w:val="2ACC3CEB"/>
    <w:rsid w:val="2ACF1AF5"/>
    <w:rsid w:val="2AD6358E"/>
    <w:rsid w:val="2AF317BE"/>
    <w:rsid w:val="2B162FB2"/>
    <w:rsid w:val="2B1D5663"/>
    <w:rsid w:val="2B1F4E68"/>
    <w:rsid w:val="2B2007A7"/>
    <w:rsid w:val="2B3628AA"/>
    <w:rsid w:val="2B412EE7"/>
    <w:rsid w:val="2B4B12C6"/>
    <w:rsid w:val="2B591B32"/>
    <w:rsid w:val="2B633C43"/>
    <w:rsid w:val="2B713DEA"/>
    <w:rsid w:val="2B7600F5"/>
    <w:rsid w:val="2B780A0A"/>
    <w:rsid w:val="2B7B09C6"/>
    <w:rsid w:val="2B7F5C1B"/>
    <w:rsid w:val="2B7F5E47"/>
    <w:rsid w:val="2B8E0A1B"/>
    <w:rsid w:val="2B8E115B"/>
    <w:rsid w:val="2BB140F9"/>
    <w:rsid w:val="2BD20902"/>
    <w:rsid w:val="2BD75A66"/>
    <w:rsid w:val="2BDC1C57"/>
    <w:rsid w:val="2BEC3CE7"/>
    <w:rsid w:val="2C046640"/>
    <w:rsid w:val="2C1D61A9"/>
    <w:rsid w:val="2C2E4FDD"/>
    <w:rsid w:val="2C3D08D3"/>
    <w:rsid w:val="2C5E2BDB"/>
    <w:rsid w:val="2C5E32FF"/>
    <w:rsid w:val="2C777592"/>
    <w:rsid w:val="2C7B54E9"/>
    <w:rsid w:val="2C7C6103"/>
    <w:rsid w:val="2C8F212E"/>
    <w:rsid w:val="2C951D91"/>
    <w:rsid w:val="2CA130EB"/>
    <w:rsid w:val="2CB37765"/>
    <w:rsid w:val="2CC30495"/>
    <w:rsid w:val="2CC77569"/>
    <w:rsid w:val="2CCA50FE"/>
    <w:rsid w:val="2CCC22C2"/>
    <w:rsid w:val="2CCD48B0"/>
    <w:rsid w:val="2CD34499"/>
    <w:rsid w:val="2CDB3F5B"/>
    <w:rsid w:val="2CE21205"/>
    <w:rsid w:val="2CE65805"/>
    <w:rsid w:val="2CEB6936"/>
    <w:rsid w:val="2CF042CE"/>
    <w:rsid w:val="2CF23489"/>
    <w:rsid w:val="2D156A50"/>
    <w:rsid w:val="2D1845AD"/>
    <w:rsid w:val="2D283DBC"/>
    <w:rsid w:val="2D4A7AEA"/>
    <w:rsid w:val="2D6963EB"/>
    <w:rsid w:val="2D7205A7"/>
    <w:rsid w:val="2D736F46"/>
    <w:rsid w:val="2D81043D"/>
    <w:rsid w:val="2D8C4195"/>
    <w:rsid w:val="2D8E5020"/>
    <w:rsid w:val="2DAF2005"/>
    <w:rsid w:val="2DB12BA6"/>
    <w:rsid w:val="2DBE6FB3"/>
    <w:rsid w:val="2DD2315C"/>
    <w:rsid w:val="2DD33B3F"/>
    <w:rsid w:val="2DD53B5F"/>
    <w:rsid w:val="2DD97172"/>
    <w:rsid w:val="2DDA1739"/>
    <w:rsid w:val="2DF12781"/>
    <w:rsid w:val="2DFF13CD"/>
    <w:rsid w:val="2E007E09"/>
    <w:rsid w:val="2E1A6A71"/>
    <w:rsid w:val="2E362CE2"/>
    <w:rsid w:val="2E387DDE"/>
    <w:rsid w:val="2E3A263E"/>
    <w:rsid w:val="2E436D6D"/>
    <w:rsid w:val="2E4D3A43"/>
    <w:rsid w:val="2E596B76"/>
    <w:rsid w:val="2E60152C"/>
    <w:rsid w:val="2E680F22"/>
    <w:rsid w:val="2E683CAB"/>
    <w:rsid w:val="2E7A63C7"/>
    <w:rsid w:val="2ECA269A"/>
    <w:rsid w:val="2EEA1A3C"/>
    <w:rsid w:val="2EF04229"/>
    <w:rsid w:val="2F003ED4"/>
    <w:rsid w:val="2F016042"/>
    <w:rsid w:val="2F126F65"/>
    <w:rsid w:val="2F1A7D73"/>
    <w:rsid w:val="2F262F0D"/>
    <w:rsid w:val="2F2F3827"/>
    <w:rsid w:val="2F5953AE"/>
    <w:rsid w:val="2F6D772B"/>
    <w:rsid w:val="2F9208FB"/>
    <w:rsid w:val="2F964C1C"/>
    <w:rsid w:val="2F974EC7"/>
    <w:rsid w:val="2FDD60EE"/>
    <w:rsid w:val="2FE23E36"/>
    <w:rsid w:val="2FF1277C"/>
    <w:rsid w:val="2FF235E4"/>
    <w:rsid w:val="300822CD"/>
    <w:rsid w:val="301A320D"/>
    <w:rsid w:val="303138E1"/>
    <w:rsid w:val="303D5D7F"/>
    <w:rsid w:val="303F6D45"/>
    <w:rsid w:val="30401E60"/>
    <w:rsid w:val="3054445B"/>
    <w:rsid w:val="3070629D"/>
    <w:rsid w:val="307E61EF"/>
    <w:rsid w:val="30950A63"/>
    <w:rsid w:val="30A54B9C"/>
    <w:rsid w:val="30A91737"/>
    <w:rsid w:val="30AF06F8"/>
    <w:rsid w:val="30B810A7"/>
    <w:rsid w:val="30C535F5"/>
    <w:rsid w:val="30D97690"/>
    <w:rsid w:val="30F357D1"/>
    <w:rsid w:val="3121377B"/>
    <w:rsid w:val="313D0470"/>
    <w:rsid w:val="313E640C"/>
    <w:rsid w:val="317735A5"/>
    <w:rsid w:val="31807E6D"/>
    <w:rsid w:val="31A03335"/>
    <w:rsid w:val="31C05C0F"/>
    <w:rsid w:val="31C750B7"/>
    <w:rsid w:val="31D031B1"/>
    <w:rsid w:val="31D105FC"/>
    <w:rsid w:val="31DE336C"/>
    <w:rsid w:val="31EA64EA"/>
    <w:rsid w:val="31F562CF"/>
    <w:rsid w:val="31F63C77"/>
    <w:rsid w:val="31F8323A"/>
    <w:rsid w:val="32006970"/>
    <w:rsid w:val="32057492"/>
    <w:rsid w:val="321B5335"/>
    <w:rsid w:val="323175EC"/>
    <w:rsid w:val="32321CC3"/>
    <w:rsid w:val="324C71F2"/>
    <w:rsid w:val="325A1978"/>
    <w:rsid w:val="3277774C"/>
    <w:rsid w:val="327D10C5"/>
    <w:rsid w:val="32A336F1"/>
    <w:rsid w:val="32D95984"/>
    <w:rsid w:val="32E12DC7"/>
    <w:rsid w:val="32E83484"/>
    <w:rsid w:val="332422DE"/>
    <w:rsid w:val="33251866"/>
    <w:rsid w:val="332834A2"/>
    <w:rsid w:val="33595663"/>
    <w:rsid w:val="335B21BA"/>
    <w:rsid w:val="335D4A2E"/>
    <w:rsid w:val="335F0DB7"/>
    <w:rsid w:val="336C4519"/>
    <w:rsid w:val="337401DB"/>
    <w:rsid w:val="33777499"/>
    <w:rsid w:val="33827444"/>
    <w:rsid w:val="33834676"/>
    <w:rsid w:val="3386296A"/>
    <w:rsid w:val="339517CD"/>
    <w:rsid w:val="339C230C"/>
    <w:rsid w:val="339E670C"/>
    <w:rsid w:val="33B72E48"/>
    <w:rsid w:val="33CA5E8B"/>
    <w:rsid w:val="33DC2D60"/>
    <w:rsid w:val="33FA278D"/>
    <w:rsid w:val="3422625D"/>
    <w:rsid w:val="34405881"/>
    <w:rsid w:val="345E0D4F"/>
    <w:rsid w:val="3470615C"/>
    <w:rsid w:val="347739B9"/>
    <w:rsid w:val="349B5AB7"/>
    <w:rsid w:val="34AD7F20"/>
    <w:rsid w:val="34C035C7"/>
    <w:rsid w:val="34D54296"/>
    <w:rsid w:val="34DE637C"/>
    <w:rsid w:val="34E4082A"/>
    <w:rsid w:val="34EA0EF5"/>
    <w:rsid w:val="34EE13A6"/>
    <w:rsid w:val="34EE4663"/>
    <w:rsid w:val="34F11DF9"/>
    <w:rsid w:val="35051C8B"/>
    <w:rsid w:val="351B0411"/>
    <w:rsid w:val="352B4AB9"/>
    <w:rsid w:val="35323564"/>
    <w:rsid w:val="354163DA"/>
    <w:rsid w:val="356C0D4C"/>
    <w:rsid w:val="356C5F0F"/>
    <w:rsid w:val="35760406"/>
    <w:rsid w:val="35770DEE"/>
    <w:rsid w:val="35A428F7"/>
    <w:rsid w:val="35B032EA"/>
    <w:rsid w:val="35D65468"/>
    <w:rsid w:val="35D83387"/>
    <w:rsid w:val="35F87365"/>
    <w:rsid w:val="360A3837"/>
    <w:rsid w:val="360A514B"/>
    <w:rsid w:val="360C3B1C"/>
    <w:rsid w:val="361175C6"/>
    <w:rsid w:val="36223C8C"/>
    <w:rsid w:val="362B0A80"/>
    <w:rsid w:val="36400BD9"/>
    <w:rsid w:val="3645067C"/>
    <w:rsid w:val="364C1BFE"/>
    <w:rsid w:val="36677DE3"/>
    <w:rsid w:val="36795FA6"/>
    <w:rsid w:val="369158D8"/>
    <w:rsid w:val="369465F1"/>
    <w:rsid w:val="36986CE1"/>
    <w:rsid w:val="36B358C3"/>
    <w:rsid w:val="36D23EBA"/>
    <w:rsid w:val="36FB008E"/>
    <w:rsid w:val="37043969"/>
    <w:rsid w:val="372C6AF2"/>
    <w:rsid w:val="37486036"/>
    <w:rsid w:val="375E3465"/>
    <w:rsid w:val="376376A9"/>
    <w:rsid w:val="37907337"/>
    <w:rsid w:val="37986BFC"/>
    <w:rsid w:val="379C1A3E"/>
    <w:rsid w:val="37A36A0B"/>
    <w:rsid w:val="37C112E3"/>
    <w:rsid w:val="37D471B5"/>
    <w:rsid w:val="37DB7BBA"/>
    <w:rsid w:val="37DF0935"/>
    <w:rsid w:val="37E90E3B"/>
    <w:rsid w:val="37F4368B"/>
    <w:rsid w:val="38117D7B"/>
    <w:rsid w:val="38196ED7"/>
    <w:rsid w:val="383251B5"/>
    <w:rsid w:val="385D5A9D"/>
    <w:rsid w:val="3879020B"/>
    <w:rsid w:val="38837E5E"/>
    <w:rsid w:val="3897400D"/>
    <w:rsid w:val="38A11D1F"/>
    <w:rsid w:val="38A8736F"/>
    <w:rsid w:val="38BF1C2C"/>
    <w:rsid w:val="38C37913"/>
    <w:rsid w:val="38D529D1"/>
    <w:rsid w:val="38D65BC2"/>
    <w:rsid w:val="38E567EC"/>
    <w:rsid w:val="38EF5EA4"/>
    <w:rsid w:val="38F53EC8"/>
    <w:rsid w:val="391D290F"/>
    <w:rsid w:val="39317AC6"/>
    <w:rsid w:val="394638C7"/>
    <w:rsid w:val="39543366"/>
    <w:rsid w:val="39682DBF"/>
    <w:rsid w:val="397151AD"/>
    <w:rsid w:val="397A061B"/>
    <w:rsid w:val="399B30CE"/>
    <w:rsid w:val="39CC4060"/>
    <w:rsid w:val="39E7210F"/>
    <w:rsid w:val="39EF74E1"/>
    <w:rsid w:val="3A042E81"/>
    <w:rsid w:val="3A0D2C1E"/>
    <w:rsid w:val="3A2B7F03"/>
    <w:rsid w:val="3A3710FF"/>
    <w:rsid w:val="3A3B3DF5"/>
    <w:rsid w:val="3A4B41BB"/>
    <w:rsid w:val="3A5A5D80"/>
    <w:rsid w:val="3A5D274B"/>
    <w:rsid w:val="3A65212D"/>
    <w:rsid w:val="3A697240"/>
    <w:rsid w:val="3A6F24C9"/>
    <w:rsid w:val="3A8810F7"/>
    <w:rsid w:val="3A967599"/>
    <w:rsid w:val="3AB12FFE"/>
    <w:rsid w:val="3AC50F10"/>
    <w:rsid w:val="3AC85F9B"/>
    <w:rsid w:val="3AD469A9"/>
    <w:rsid w:val="3AEB48AD"/>
    <w:rsid w:val="3B0D1C5F"/>
    <w:rsid w:val="3B1E36CE"/>
    <w:rsid w:val="3B20284E"/>
    <w:rsid w:val="3B223101"/>
    <w:rsid w:val="3B465E28"/>
    <w:rsid w:val="3B562645"/>
    <w:rsid w:val="3B59493D"/>
    <w:rsid w:val="3B5974D6"/>
    <w:rsid w:val="3B5E431C"/>
    <w:rsid w:val="3B696CB3"/>
    <w:rsid w:val="3B7868EA"/>
    <w:rsid w:val="3B8213F1"/>
    <w:rsid w:val="3B932D1C"/>
    <w:rsid w:val="3BA60438"/>
    <w:rsid w:val="3BED1680"/>
    <w:rsid w:val="3BF51516"/>
    <w:rsid w:val="3BFE0A26"/>
    <w:rsid w:val="3C02753D"/>
    <w:rsid w:val="3C196F9C"/>
    <w:rsid w:val="3C1D79B0"/>
    <w:rsid w:val="3C2F6A22"/>
    <w:rsid w:val="3C3A3F88"/>
    <w:rsid w:val="3C3F7ACF"/>
    <w:rsid w:val="3C41536A"/>
    <w:rsid w:val="3C4D166C"/>
    <w:rsid w:val="3C67781A"/>
    <w:rsid w:val="3C8857A8"/>
    <w:rsid w:val="3C8D3A18"/>
    <w:rsid w:val="3C902C99"/>
    <w:rsid w:val="3C9463C3"/>
    <w:rsid w:val="3CAB5B29"/>
    <w:rsid w:val="3CB2747C"/>
    <w:rsid w:val="3CBF4CB8"/>
    <w:rsid w:val="3CD03FBC"/>
    <w:rsid w:val="3CE410B5"/>
    <w:rsid w:val="3CED55BA"/>
    <w:rsid w:val="3D090E54"/>
    <w:rsid w:val="3D19421A"/>
    <w:rsid w:val="3D2B5A17"/>
    <w:rsid w:val="3D720DB5"/>
    <w:rsid w:val="3D7864E4"/>
    <w:rsid w:val="3D8D3FAD"/>
    <w:rsid w:val="3D9803F5"/>
    <w:rsid w:val="3D9A33F0"/>
    <w:rsid w:val="3DD11687"/>
    <w:rsid w:val="3DE54031"/>
    <w:rsid w:val="3DEF55CF"/>
    <w:rsid w:val="3DEF78A6"/>
    <w:rsid w:val="3DF02CE8"/>
    <w:rsid w:val="3DF32AE3"/>
    <w:rsid w:val="3DF6454D"/>
    <w:rsid w:val="3E167579"/>
    <w:rsid w:val="3E2A648A"/>
    <w:rsid w:val="3E3176F5"/>
    <w:rsid w:val="3E565E15"/>
    <w:rsid w:val="3E626146"/>
    <w:rsid w:val="3E6753A7"/>
    <w:rsid w:val="3E7370F0"/>
    <w:rsid w:val="3E7657C1"/>
    <w:rsid w:val="3E8120F2"/>
    <w:rsid w:val="3E821BB9"/>
    <w:rsid w:val="3E863F82"/>
    <w:rsid w:val="3E8A26F0"/>
    <w:rsid w:val="3E8C3EBC"/>
    <w:rsid w:val="3E8D2BA2"/>
    <w:rsid w:val="3E8F3F58"/>
    <w:rsid w:val="3E97473C"/>
    <w:rsid w:val="3E9E26F8"/>
    <w:rsid w:val="3E9F0EEB"/>
    <w:rsid w:val="3EAB33AF"/>
    <w:rsid w:val="3EAD3A35"/>
    <w:rsid w:val="3EB7087F"/>
    <w:rsid w:val="3EBD57EA"/>
    <w:rsid w:val="3EBF49A5"/>
    <w:rsid w:val="3EC3240E"/>
    <w:rsid w:val="3EEB6277"/>
    <w:rsid w:val="3EF9019B"/>
    <w:rsid w:val="3F1C7661"/>
    <w:rsid w:val="3F38587E"/>
    <w:rsid w:val="3F513F67"/>
    <w:rsid w:val="3F552116"/>
    <w:rsid w:val="3F5C3104"/>
    <w:rsid w:val="3F6320C6"/>
    <w:rsid w:val="3F6326E7"/>
    <w:rsid w:val="3F675548"/>
    <w:rsid w:val="3F782139"/>
    <w:rsid w:val="3FA4529F"/>
    <w:rsid w:val="3FB11A27"/>
    <w:rsid w:val="3FBE6962"/>
    <w:rsid w:val="3FC002E4"/>
    <w:rsid w:val="3FFD4A32"/>
    <w:rsid w:val="401E0116"/>
    <w:rsid w:val="40285962"/>
    <w:rsid w:val="402A6114"/>
    <w:rsid w:val="402A7126"/>
    <w:rsid w:val="40330457"/>
    <w:rsid w:val="403F42C4"/>
    <w:rsid w:val="404569BB"/>
    <w:rsid w:val="4046499A"/>
    <w:rsid w:val="404A6CB0"/>
    <w:rsid w:val="407C1D6B"/>
    <w:rsid w:val="40832FB8"/>
    <w:rsid w:val="40887D83"/>
    <w:rsid w:val="4099291F"/>
    <w:rsid w:val="409B048E"/>
    <w:rsid w:val="409F2F91"/>
    <w:rsid w:val="40B16244"/>
    <w:rsid w:val="40B9494D"/>
    <w:rsid w:val="40C22F9C"/>
    <w:rsid w:val="40D143EB"/>
    <w:rsid w:val="40D249AE"/>
    <w:rsid w:val="40E2408C"/>
    <w:rsid w:val="40E255CC"/>
    <w:rsid w:val="41012430"/>
    <w:rsid w:val="41111110"/>
    <w:rsid w:val="41356921"/>
    <w:rsid w:val="41380CFA"/>
    <w:rsid w:val="413B6128"/>
    <w:rsid w:val="41456147"/>
    <w:rsid w:val="415315E0"/>
    <w:rsid w:val="416625F3"/>
    <w:rsid w:val="41663778"/>
    <w:rsid w:val="417C1FD1"/>
    <w:rsid w:val="419730EB"/>
    <w:rsid w:val="41BD0E6B"/>
    <w:rsid w:val="41CD4126"/>
    <w:rsid w:val="41E70B37"/>
    <w:rsid w:val="41E83257"/>
    <w:rsid w:val="41F53017"/>
    <w:rsid w:val="4217668B"/>
    <w:rsid w:val="421B20CA"/>
    <w:rsid w:val="423E0564"/>
    <w:rsid w:val="423F1D0A"/>
    <w:rsid w:val="4246195C"/>
    <w:rsid w:val="425634CB"/>
    <w:rsid w:val="426C7BDE"/>
    <w:rsid w:val="42922ED3"/>
    <w:rsid w:val="429402FF"/>
    <w:rsid w:val="42982841"/>
    <w:rsid w:val="42DB5B4F"/>
    <w:rsid w:val="42F47721"/>
    <w:rsid w:val="42F66020"/>
    <w:rsid w:val="43006CA5"/>
    <w:rsid w:val="431B56D4"/>
    <w:rsid w:val="432420DE"/>
    <w:rsid w:val="43242A51"/>
    <w:rsid w:val="432468A3"/>
    <w:rsid w:val="43294E5B"/>
    <w:rsid w:val="43324AFE"/>
    <w:rsid w:val="435E319F"/>
    <w:rsid w:val="43703DF4"/>
    <w:rsid w:val="43714FAE"/>
    <w:rsid w:val="438563DB"/>
    <w:rsid w:val="439715BE"/>
    <w:rsid w:val="439E7F73"/>
    <w:rsid w:val="43C67D83"/>
    <w:rsid w:val="43F8461D"/>
    <w:rsid w:val="44110683"/>
    <w:rsid w:val="44362CAB"/>
    <w:rsid w:val="44387A13"/>
    <w:rsid w:val="447369F6"/>
    <w:rsid w:val="44762010"/>
    <w:rsid w:val="447F027A"/>
    <w:rsid w:val="449C4FA7"/>
    <w:rsid w:val="44AE06AC"/>
    <w:rsid w:val="44B14645"/>
    <w:rsid w:val="44B84BB6"/>
    <w:rsid w:val="44C548A6"/>
    <w:rsid w:val="44CA4DD8"/>
    <w:rsid w:val="44D032A1"/>
    <w:rsid w:val="44FB7D1F"/>
    <w:rsid w:val="451C5FF0"/>
    <w:rsid w:val="452F73AE"/>
    <w:rsid w:val="45301568"/>
    <w:rsid w:val="45320520"/>
    <w:rsid w:val="45342A6C"/>
    <w:rsid w:val="45684AB8"/>
    <w:rsid w:val="456A37F4"/>
    <w:rsid w:val="45783576"/>
    <w:rsid w:val="45797285"/>
    <w:rsid w:val="45A06BE6"/>
    <w:rsid w:val="45A3429D"/>
    <w:rsid w:val="45B910BF"/>
    <w:rsid w:val="45BA0C26"/>
    <w:rsid w:val="45BA4193"/>
    <w:rsid w:val="45BD6242"/>
    <w:rsid w:val="45C45FBD"/>
    <w:rsid w:val="45CC516E"/>
    <w:rsid w:val="45D04DE5"/>
    <w:rsid w:val="45D07693"/>
    <w:rsid w:val="45DB75B2"/>
    <w:rsid w:val="45F53CDE"/>
    <w:rsid w:val="45F66B31"/>
    <w:rsid w:val="46014D2D"/>
    <w:rsid w:val="460C534F"/>
    <w:rsid w:val="460E3BB6"/>
    <w:rsid w:val="461458F2"/>
    <w:rsid w:val="46236E0E"/>
    <w:rsid w:val="4633538E"/>
    <w:rsid w:val="463C41CB"/>
    <w:rsid w:val="46412096"/>
    <w:rsid w:val="46732DB9"/>
    <w:rsid w:val="4679123C"/>
    <w:rsid w:val="467A2A42"/>
    <w:rsid w:val="467C0A11"/>
    <w:rsid w:val="468345BD"/>
    <w:rsid w:val="46AD57CC"/>
    <w:rsid w:val="46AE3B5F"/>
    <w:rsid w:val="46B359C3"/>
    <w:rsid w:val="46C336FD"/>
    <w:rsid w:val="46E450C8"/>
    <w:rsid w:val="46EA618B"/>
    <w:rsid w:val="47002C67"/>
    <w:rsid w:val="470A78F6"/>
    <w:rsid w:val="4720115A"/>
    <w:rsid w:val="47283911"/>
    <w:rsid w:val="472857BA"/>
    <w:rsid w:val="472D1F54"/>
    <w:rsid w:val="473209C1"/>
    <w:rsid w:val="473455A6"/>
    <w:rsid w:val="474C6298"/>
    <w:rsid w:val="47550655"/>
    <w:rsid w:val="47660CF3"/>
    <w:rsid w:val="47683E55"/>
    <w:rsid w:val="47B24382"/>
    <w:rsid w:val="47BE3A29"/>
    <w:rsid w:val="47CF6A92"/>
    <w:rsid w:val="47F25BB7"/>
    <w:rsid w:val="48211D77"/>
    <w:rsid w:val="48220B26"/>
    <w:rsid w:val="48317EA4"/>
    <w:rsid w:val="4833413D"/>
    <w:rsid w:val="48356CD8"/>
    <w:rsid w:val="48496D2F"/>
    <w:rsid w:val="48586D8C"/>
    <w:rsid w:val="48622D34"/>
    <w:rsid w:val="48631FD8"/>
    <w:rsid w:val="48713297"/>
    <w:rsid w:val="488E1166"/>
    <w:rsid w:val="489612F0"/>
    <w:rsid w:val="48A05D5C"/>
    <w:rsid w:val="48A902FC"/>
    <w:rsid w:val="48B00A41"/>
    <w:rsid w:val="48B937FC"/>
    <w:rsid w:val="48C51B40"/>
    <w:rsid w:val="48C707AF"/>
    <w:rsid w:val="48C93F9D"/>
    <w:rsid w:val="48E8022A"/>
    <w:rsid w:val="48E85E7C"/>
    <w:rsid w:val="48EC5270"/>
    <w:rsid w:val="49021555"/>
    <w:rsid w:val="490F5E03"/>
    <w:rsid w:val="491C5F73"/>
    <w:rsid w:val="49370B47"/>
    <w:rsid w:val="493E4D85"/>
    <w:rsid w:val="49534493"/>
    <w:rsid w:val="495B7567"/>
    <w:rsid w:val="496A7853"/>
    <w:rsid w:val="496B1102"/>
    <w:rsid w:val="496E2C9C"/>
    <w:rsid w:val="49751384"/>
    <w:rsid w:val="497F6455"/>
    <w:rsid w:val="498A2E46"/>
    <w:rsid w:val="498D51F7"/>
    <w:rsid w:val="498F5BBD"/>
    <w:rsid w:val="49AB6C17"/>
    <w:rsid w:val="49BC558F"/>
    <w:rsid w:val="49CD507B"/>
    <w:rsid w:val="49D0366C"/>
    <w:rsid w:val="49D86895"/>
    <w:rsid w:val="49EE12A1"/>
    <w:rsid w:val="4A0822CA"/>
    <w:rsid w:val="4A0B0090"/>
    <w:rsid w:val="4A1E2F82"/>
    <w:rsid w:val="4A32081F"/>
    <w:rsid w:val="4A3279A2"/>
    <w:rsid w:val="4A366712"/>
    <w:rsid w:val="4A474023"/>
    <w:rsid w:val="4A4826DD"/>
    <w:rsid w:val="4A4F6682"/>
    <w:rsid w:val="4A5956DC"/>
    <w:rsid w:val="4A665594"/>
    <w:rsid w:val="4A6C511C"/>
    <w:rsid w:val="4A846360"/>
    <w:rsid w:val="4AE008C1"/>
    <w:rsid w:val="4AEA1368"/>
    <w:rsid w:val="4AED2CED"/>
    <w:rsid w:val="4AEE2F26"/>
    <w:rsid w:val="4B185AE4"/>
    <w:rsid w:val="4B217A3F"/>
    <w:rsid w:val="4B274885"/>
    <w:rsid w:val="4B294DF0"/>
    <w:rsid w:val="4B2E71D3"/>
    <w:rsid w:val="4B3564CD"/>
    <w:rsid w:val="4B562604"/>
    <w:rsid w:val="4B8E1872"/>
    <w:rsid w:val="4B8F27F9"/>
    <w:rsid w:val="4B93567C"/>
    <w:rsid w:val="4BA33381"/>
    <w:rsid w:val="4BD45C31"/>
    <w:rsid w:val="4BE07C10"/>
    <w:rsid w:val="4BF23341"/>
    <w:rsid w:val="4C235544"/>
    <w:rsid w:val="4C3E4DA3"/>
    <w:rsid w:val="4C595858"/>
    <w:rsid w:val="4C5C1FAA"/>
    <w:rsid w:val="4C642831"/>
    <w:rsid w:val="4C6832B0"/>
    <w:rsid w:val="4C6A3BC2"/>
    <w:rsid w:val="4C6C10CD"/>
    <w:rsid w:val="4C817AA0"/>
    <w:rsid w:val="4C991329"/>
    <w:rsid w:val="4C9B0CBC"/>
    <w:rsid w:val="4CA878FE"/>
    <w:rsid w:val="4CB5460C"/>
    <w:rsid w:val="4CCC6A6B"/>
    <w:rsid w:val="4D0B4A92"/>
    <w:rsid w:val="4D127544"/>
    <w:rsid w:val="4D355435"/>
    <w:rsid w:val="4D376E9A"/>
    <w:rsid w:val="4D3C11C2"/>
    <w:rsid w:val="4D4047FA"/>
    <w:rsid w:val="4D5E367D"/>
    <w:rsid w:val="4D6027E0"/>
    <w:rsid w:val="4D931A2C"/>
    <w:rsid w:val="4D9E31EF"/>
    <w:rsid w:val="4DA50C05"/>
    <w:rsid w:val="4DA65D1D"/>
    <w:rsid w:val="4DA93B37"/>
    <w:rsid w:val="4DBA276A"/>
    <w:rsid w:val="4DC64CDF"/>
    <w:rsid w:val="4DCE1B4E"/>
    <w:rsid w:val="4DF909DA"/>
    <w:rsid w:val="4E052078"/>
    <w:rsid w:val="4E070FFC"/>
    <w:rsid w:val="4E130BD8"/>
    <w:rsid w:val="4E161EAA"/>
    <w:rsid w:val="4E1C1804"/>
    <w:rsid w:val="4E1F6E03"/>
    <w:rsid w:val="4E383BE4"/>
    <w:rsid w:val="4E3B6041"/>
    <w:rsid w:val="4E4033F8"/>
    <w:rsid w:val="4E413A75"/>
    <w:rsid w:val="4E4D59C8"/>
    <w:rsid w:val="4E4F153F"/>
    <w:rsid w:val="4E5255C0"/>
    <w:rsid w:val="4E613234"/>
    <w:rsid w:val="4E642CDD"/>
    <w:rsid w:val="4E812AC6"/>
    <w:rsid w:val="4E9046DA"/>
    <w:rsid w:val="4EA35924"/>
    <w:rsid w:val="4EB82B4F"/>
    <w:rsid w:val="4EBB3A57"/>
    <w:rsid w:val="4EDF6862"/>
    <w:rsid w:val="4EEC33D2"/>
    <w:rsid w:val="4EFE0138"/>
    <w:rsid w:val="4F212841"/>
    <w:rsid w:val="4F2F01DA"/>
    <w:rsid w:val="4F3566E7"/>
    <w:rsid w:val="4F460971"/>
    <w:rsid w:val="4F495380"/>
    <w:rsid w:val="4F540F39"/>
    <w:rsid w:val="4F7E32E5"/>
    <w:rsid w:val="4F836CD3"/>
    <w:rsid w:val="4F8B6356"/>
    <w:rsid w:val="4F9616BF"/>
    <w:rsid w:val="4F99540F"/>
    <w:rsid w:val="4FAE76F0"/>
    <w:rsid w:val="4FC1303C"/>
    <w:rsid w:val="4FCB263E"/>
    <w:rsid w:val="4FF576F2"/>
    <w:rsid w:val="50083102"/>
    <w:rsid w:val="500A1B2E"/>
    <w:rsid w:val="500D7F32"/>
    <w:rsid w:val="502817DB"/>
    <w:rsid w:val="503D09DD"/>
    <w:rsid w:val="504D7C74"/>
    <w:rsid w:val="50646A46"/>
    <w:rsid w:val="506940A9"/>
    <w:rsid w:val="50733DA9"/>
    <w:rsid w:val="507735FA"/>
    <w:rsid w:val="507D43D2"/>
    <w:rsid w:val="50956C8D"/>
    <w:rsid w:val="50AA056C"/>
    <w:rsid w:val="50BA61D5"/>
    <w:rsid w:val="50BB5A28"/>
    <w:rsid w:val="50BE0156"/>
    <w:rsid w:val="50C23538"/>
    <w:rsid w:val="50C51C7A"/>
    <w:rsid w:val="50CC233E"/>
    <w:rsid w:val="50DF3245"/>
    <w:rsid w:val="51041016"/>
    <w:rsid w:val="51182B56"/>
    <w:rsid w:val="511B7CE4"/>
    <w:rsid w:val="511E4A28"/>
    <w:rsid w:val="51360F1B"/>
    <w:rsid w:val="51380CB9"/>
    <w:rsid w:val="513F774B"/>
    <w:rsid w:val="51423177"/>
    <w:rsid w:val="515F6C52"/>
    <w:rsid w:val="51662DB7"/>
    <w:rsid w:val="517A11BB"/>
    <w:rsid w:val="519E364E"/>
    <w:rsid w:val="51AF1B50"/>
    <w:rsid w:val="51B737B2"/>
    <w:rsid w:val="51DD172B"/>
    <w:rsid w:val="51DE2AB6"/>
    <w:rsid w:val="51E67CE5"/>
    <w:rsid w:val="51F70B52"/>
    <w:rsid w:val="52245DF4"/>
    <w:rsid w:val="522A673F"/>
    <w:rsid w:val="523423A2"/>
    <w:rsid w:val="5237043A"/>
    <w:rsid w:val="523760E7"/>
    <w:rsid w:val="5243438B"/>
    <w:rsid w:val="524A4CF9"/>
    <w:rsid w:val="528F552D"/>
    <w:rsid w:val="5291762E"/>
    <w:rsid w:val="52AC05EB"/>
    <w:rsid w:val="52B1300A"/>
    <w:rsid w:val="52B226D2"/>
    <w:rsid w:val="52BE6A48"/>
    <w:rsid w:val="52C539D9"/>
    <w:rsid w:val="52C57626"/>
    <w:rsid w:val="52C835CC"/>
    <w:rsid w:val="52DA3FF5"/>
    <w:rsid w:val="52EA076F"/>
    <w:rsid w:val="53016652"/>
    <w:rsid w:val="530217B0"/>
    <w:rsid w:val="531C535E"/>
    <w:rsid w:val="5336782C"/>
    <w:rsid w:val="534C1391"/>
    <w:rsid w:val="535A66FA"/>
    <w:rsid w:val="536C461E"/>
    <w:rsid w:val="536F2393"/>
    <w:rsid w:val="537C1F67"/>
    <w:rsid w:val="5387116E"/>
    <w:rsid w:val="538B12FB"/>
    <w:rsid w:val="53AF5B3D"/>
    <w:rsid w:val="53BC0542"/>
    <w:rsid w:val="53E52F43"/>
    <w:rsid w:val="53F04D3A"/>
    <w:rsid w:val="53FD6F3F"/>
    <w:rsid w:val="5423220D"/>
    <w:rsid w:val="542C279F"/>
    <w:rsid w:val="543316F1"/>
    <w:rsid w:val="54451999"/>
    <w:rsid w:val="545938EE"/>
    <w:rsid w:val="54594203"/>
    <w:rsid w:val="545A2513"/>
    <w:rsid w:val="545F78B9"/>
    <w:rsid w:val="54631C11"/>
    <w:rsid w:val="5474704A"/>
    <w:rsid w:val="5497114E"/>
    <w:rsid w:val="549C2746"/>
    <w:rsid w:val="54B275D5"/>
    <w:rsid w:val="54B73CA6"/>
    <w:rsid w:val="54BB7A70"/>
    <w:rsid w:val="54C936AB"/>
    <w:rsid w:val="54CA7CD9"/>
    <w:rsid w:val="54CD2B4F"/>
    <w:rsid w:val="54DF0C67"/>
    <w:rsid w:val="54F26665"/>
    <w:rsid w:val="54FC7072"/>
    <w:rsid w:val="5553527F"/>
    <w:rsid w:val="5557651B"/>
    <w:rsid w:val="555C7857"/>
    <w:rsid w:val="55600479"/>
    <w:rsid w:val="5561184E"/>
    <w:rsid w:val="556E3B33"/>
    <w:rsid w:val="559B71D4"/>
    <w:rsid w:val="559E5C8F"/>
    <w:rsid w:val="55DA6277"/>
    <w:rsid w:val="56085309"/>
    <w:rsid w:val="561D7753"/>
    <w:rsid w:val="561E2B4A"/>
    <w:rsid w:val="562A676F"/>
    <w:rsid w:val="562B4B02"/>
    <w:rsid w:val="563A4486"/>
    <w:rsid w:val="563D4CC9"/>
    <w:rsid w:val="564236A9"/>
    <w:rsid w:val="56655BDD"/>
    <w:rsid w:val="56B34255"/>
    <w:rsid w:val="56B52202"/>
    <w:rsid w:val="56BF48D5"/>
    <w:rsid w:val="56C5316E"/>
    <w:rsid w:val="56CF1B95"/>
    <w:rsid w:val="56DA292B"/>
    <w:rsid w:val="56E0597D"/>
    <w:rsid w:val="56F62020"/>
    <w:rsid w:val="56F76172"/>
    <w:rsid w:val="56FE07C4"/>
    <w:rsid w:val="57044477"/>
    <w:rsid w:val="57074C58"/>
    <w:rsid w:val="570815C7"/>
    <w:rsid w:val="57262B3A"/>
    <w:rsid w:val="573B6E8A"/>
    <w:rsid w:val="57415D45"/>
    <w:rsid w:val="574771DE"/>
    <w:rsid w:val="577E183A"/>
    <w:rsid w:val="578A40EF"/>
    <w:rsid w:val="578E160C"/>
    <w:rsid w:val="57D74033"/>
    <w:rsid w:val="58042731"/>
    <w:rsid w:val="58100431"/>
    <w:rsid w:val="58104A3C"/>
    <w:rsid w:val="58105D37"/>
    <w:rsid w:val="5821347C"/>
    <w:rsid w:val="58327A00"/>
    <w:rsid w:val="58436291"/>
    <w:rsid w:val="584F0B38"/>
    <w:rsid w:val="58945E09"/>
    <w:rsid w:val="58B34387"/>
    <w:rsid w:val="592349C6"/>
    <w:rsid w:val="592F3FC2"/>
    <w:rsid w:val="59376F0A"/>
    <w:rsid w:val="594F79F5"/>
    <w:rsid w:val="5950338D"/>
    <w:rsid w:val="59592CEF"/>
    <w:rsid w:val="596E50C7"/>
    <w:rsid w:val="597D5AA9"/>
    <w:rsid w:val="59896E73"/>
    <w:rsid w:val="59A51022"/>
    <w:rsid w:val="59A53896"/>
    <w:rsid w:val="59B1553B"/>
    <w:rsid w:val="59B267D1"/>
    <w:rsid w:val="59CB35D5"/>
    <w:rsid w:val="59D0294C"/>
    <w:rsid w:val="59DD6C38"/>
    <w:rsid w:val="5A1D78DF"/>
    <w:rsid w:val="5A237BE1"/>
    <w:rsid w:val="5A4D6066"/>
    <w:rsid w:val="5A57055D"/>
    <w:rsid w:val="5A5E514F"/>
    <w:rsid w:val="5A677643"/>
    <w:rsid w:val="5A700E3A"/>
    <w:rsid w:val="5A751C97"/>
    <w:rsid w:val="5A823C09"/>
    <w:rsid w:val="5A82627C"/>
    <w:rsid w:val="5A837A09"/>
    <w:rsid w:val="5A8A11ED"/>
    <w:rsid w:val="5A8E34CB"/>
    <w:rsid w:val="5A975F51"/>
    <w:rsid w:val="5A9F0979"/>
    <w:rsid w:val="5AC10CE4"/>
    <w:rsid w:val="5AC14639"/>
    <w:rsid w:val="5AE11061"/>
    <w:rsid w:val="5AE16889"/>
    <w:rsid w:val="5AE56C2C"/>
    <w:rsid w:val="5AE872A5"/>
    <w:rsid w:val="5B0F5B76"/>
    <w:rsid w:val="5B12093E"/>
    <w:rsid w:val="5B133EAA"/>
    <w:rsid w:val="5B4852BD"/>
    <w:rsid w:val="5B5C6F22"/>
    <w:rsid w:val="5B6320CA"/>
    <w:rsid w:val="5B633D5A"/>
    <w:rsid w:val="5B7C2E47"/>
    <w:rsid w:val="5BA01450"/>
    <w:rsid w:val="5BA25E7A"/>
    <w:rsid w:val="5BA87335"/>
    <w:rsid w:val="5BAE4543"/>
    <w:rsid w:val="5BB52D7C"/>
    <w:rsid w:val="5BB95C3D"/>
    <w:rsid w:val="5BC608E5"/>
    <w:rsid w:val="5BD66996"/>
    <w:rsid w:val="5BD72E33"/>
    <w:rsid w:val="5BD90270"/>
    <w:rsid w:val="5BDF508D"/>
    <w:rsid w:val="5C09736C"/>
    <w:rsid w:val="5C1F05A0"/>
    <w:rsid w:val="5C2F308F"/>
    <w:rsid w:val="5C326F48"/>
    <w:rsid w:val="5C48079C"/>
    <w:rsid w:val="5C537882"/>
    <w:rsid w:val="5C5C6A97"/>
    <w:rsid w:val="5C630C19"/>
    <w:rsid w:val="5C635746"/>
    <w:rsid w:val="5C7E6AAC"/>
    <w:rsid w:val="5C8A5626"/>
    <w:rsid w:val="5CA1564C"/>
    <w:rsid w:val="5CAF7B06"/>
    <w:rsid w:val="5CC55E53"/>
    <w:rsid w:val="5CD434FD"/>
    <w:rsid w:val="5CE23B76"/>
    <w:rsid w:val="5CE35EDB"/>
    <w:rsid w:val="5CF737CE"/>
    <w:rsid w:val="5CFF32FC"/>
    <w:rsid w:val="5D0D341B"/>
    <w:rsid w:val="5D0F5729"/>
    <w:rsid w:val="5D2160E4"/>
    <w:rsid w:val="5D22631E"/>
    <w:rsid w:val="5D2E6D42"/>
    <w:rsid w:val="5D410D0D"/>
    <w:rsid w:val="5D437419"/>
    <w:rsid w:val="5D4D3B08"/>
    <w:rsid w:val="5D5823DB"/>
    <w:rsid w:val="5D5C4EE6"/>
    <w:rsid w:val="5D5F2639"/>
    <w:rsid w:val="5D71765E"/>
    <w:rsid w:val="5D7B2579"/>
    <w:rsid w:val="5D851D43"/>
    <w:rsid w:val="5D8B4669"/>
    <w:rsid w:val="5D913204"/>
    <w:rsid w:val="5D98342C"/>
    <w:rsid w:val="5DAD6E04"/>
    <w:rsid w:val="5DC51A90"/>
    <w:rsid w:val="5DCA2541"/>
    <w:rsid w:val="5DCC0F63"/>
    <w:rsid w:val="5DD34832"/>
    <w:rsid w:val="5DE30111"/>
    <w:rsid w:val="5DE4003F"/>
    <w:rsid w:val="5DE44A96"/>
    <w:rsid w:val="5E053681"/>
    <w:rsid w:val="5E083729"/>
    <w:rsid w:val="5E0B038F"/>
    <w:rsid w:val="5E190FFD"/>
    <w:rsid w:val="5E4A550B"/>
    <w:rsid w:val="5E564DD3"/>
    <w:rsid w:val="5E567218"/>
    <w:rsid w:val="5E700E12"/>
    <w:rsid w:val="5E7F70BA"/>
    <w:rsid w:val="5E806656"/>
    <w:rsid w:val="5E880035"/>
    <w:rsid w:val="5E89562D"/>
    <w:rsid w:val="5E896103"/>
    <w:rsid w:val="5E9E7884"/>
    <w:rsid w:val="5EA27018"/>
    <w:rsid w:val="5EAE4180"/>
    <w:rsid w:val="5EB822A1"/>
    <w:rsid w:val="5ED37834"/>
    <w:rsid w:val="5ED52941"/>
    <w:rsid w:val="5ED61986"/>
    <w:rsid w:val="5ED91976"/>
    <w:rsid w:val="5EEF7BCC"/>
    <w:rsid w:val="5F0005FA"/>
    <w:rsid w:val="5F024D6D"/>
    <w:rsid w:val="5F0A4F62"/>
    <w:rsid w:val="5F0D3616"/>
    <w:rsid w:val="5F2B25AB"/>
    <w:rsid w:val="5F4C7386"/>
    <w:rsid w:val="5F5052F2"/>
    <w:rsid w:val="5F653A46"/>
    <w:rsid w:val="5F653AC2"/>
    <w:rsid w:val="5F67250D"/>
    <w:rsid w:val="5F6B3CD9"/>
    <w:rsid w:val="5F7115F0"/>
    <w:rsid w:val="5F816172"/>
    <w:rsid w:val="5F88308F"/>
    <w:rsid w:val="5FA00BC4"/>
    <w:rsid w:val="5FB35057"/>
    <w:rsid w:val="5FB45B18"/>
    <w:rsid w:val="5FC1637D"/>
    <w:rsid w:val="5FC84375"/>
    <w:rsid w:val="5FC97B95"/>
    <w:rsid w:val="5FD937E8"/>
    <w:rsid w:val="5FE1595C"/>
    <w:rsid w:val="5FE73585"/>
    <w:rsid w:val="5FF50CF4"/>
    <w:rsid w:val="5FF77A35"/>
    <w:rsid w:val="60020B09"/>
    <w:rsid w:val="6005024E"/>
    <w:rsid w:val="60224DBC"/>
    <w:rsid w:val="60255DB5"/>
    <w:rsid w:val="60304E0F"/>
    <w:rsid w:val="603518E7"/>
    <w:rsid w:val="603F7D97"/>
    <w:rsid w:val="604114DC"/>
    <w:rsid w:val="6046444E"/>
    <w:rsid w:val="604F3544"/>
    <w:rsid w:val="60601CCF"/>
    <w:rsid w:val="606C0DDA"/>
    <w:rsid w:val="606C296A"/>
    <w:rsid w:val="606D33F9"/>
    <w:rsid w:val="607540BD"/>
    <w:rsid w:val="607654C7"/>
    <w:rsid w:val="608445B8"/>
    <w:rsid w:val="60855FE7"/>
    <w:rsid w:val="60904B93"/>
    <w:rsid w:val="60A72BA7"/>
    <w:rsid w:val="60A80C15"/>
    <w:rsid w:val="60B57BF9"/>
    <w:rsid w:val="60BA0787"/>
    <w:rsid w:val="60BE5B95"/>
    <w:rsid w:val="60CE628F"/>
    <w:rsid w:val="60E44033"/>
    <w:rsid w:val="60E54025"/>
    <w:rsid w:val="60EB579B"/>
    <w:rsid w:val="61037179"/>
    <w:rsid w:val="611B2A54"/>
    <w:rsid w:val="611B52F0"/>
    <w:rsid w:val="61275749"/>
    <w:rsid w:val="6135212B"/>
    <w:rsid w:val="615701E2"/>
    <w:rsid w:val="61636704"/>
    <w:rsid w:val="61685552"/>
    <w:rsid w:val="616A7200"/>
    <w:rsid w:val="61851BE3"/>
    <w:rsid w:val="61D067EB"/>
    <w:rsid w:val="61D6149D"/>
    <w:rsid w:val="61D96A74"/>
    <w:rsid w:val="61E14FAB"/>
    <w:rsid w:val="61EF61CA"/>
    <w:rsid w:val="61F11C79"/>
    <w:rsid w:val="62232626"/>
    <w:rsid w:val="62250739"/>
    <w:rsid w:val="622E4144"/>
    <w:rsid w:val="62385550"/>
    <w:rsid w:val="6256754B"/>
    <w:rsid w:val="62815497"/>
    <w:rsid w:val="629279CF"/>
    <w:rsid w:val="62947C0D"/>
    <w:rsid w:val="62992C35"/>
    <w:rsid w:val="629B6F24"/>
    <w:rsid w:val="62A86A25"/>
    <w:rsid w:val="62BC5D2C"/>
    <w:rsid w:val="62CF61AF"/>
    <w:rsid w:val="62F21EBF"/>
    <w:rsid w:val="62F31A67"/>
    <w:rsid w:val="630821DF"/>
    <w:rsid w:val="632D2457"/>
    <w:rsid w:val="633D18CD"/>
    <w:rsid w:val="63407599"/>
    <w:rsid w:val="6347741E"/>
    <w:rsid w:val="635F6899"/>
    <w:rsid w:val="6363182E"/>
    <w:rsid w:val="63641865"/>
    <w:rsid w:val="63752C7F"/>
    <w:rsid w:val="63755A0D"/>
    <w:rsid w:val="63780511"/>
    <w:rsid w:val="63834122"/>
    <w:rsid w:val="6390039D"/>
    <w:rsid w:val="63A37FC8"/>
    <w:rsid w:val="63A50092"/>
    <w:rsid w:val="63AA5CBF"/>
    <w:rsid w:val="63CD3197"/>
    <w:rsid w:val="63E0201A"/>
    <w:rsid w:val="63EF6AC5"/>
    <w:rsid w:val="63F10302"/>
    <w:rsid w:val="63F12655"/>
    <w:rsid w:val="64067C28"/>
    <w:rsid w:val="640E44B5"/>
    <w:rsid w:val="640E5E57"/>
    <w:rsid w:val="643F16E3"/>
    <w:rsid w:val="646628E1"/>
    <w:rsid w:val="646A30C4"/>
    <w:rsid w:val="64742128"/>
    <w:rsid w:val="648209C2"/>
    <w:rsid w:val="64B17EEA"/>
    <w:rsid w:val="64C3608D"/>
    <w:rsid w:val="64D47899"/>
    <w:rsid w:val="64E87E89"/>
    <w:rsid w:val="64EB16A2"/>
    <w:rsid w:val="64F7293B"/>
    <w:rsid w:val="64F953EE"/>
    <w:rsid w:val="650A10E5"/>
    <w:rsid w:val="650D400F"/>
    <w:rsid w:val="65151F50"/>
    <w:rsid w:val="651D56AC"/>
    <w:rsid w:val="65255D55"/>
    <w:rsid w:val="65287208"/>
    <w:rsid w:val="652F6AA1"/>
    <w:rsid w:val="65354F60"/>
    <w:rsid w:val="653C120D"/>
    <w:rsid w:val="654A0EB7"/>
    <w:rsid w:val="654E1A77"/>
    <w:rsid w:val="654E49BB"/>
    <w:rsid w:val="656364C3"/>
    <w:rsid w:val="65652F5A"/>
    <w:rsid w:val="656F353A"/>
    <w:rsid w:val="6575237F"/>
    <w:rsid w:val="659347C9"/>
    <w:rsid w:val="65960F83"/>
    <w:rsid w:val="65A20B32"/>
    <w:rsid w:val="65A41488"/>
    <w:rsid w:val="65A87388"/>
    <w:rsid w:val="65AA5032"/>
    <w:rsid w:val="65B33AF2"/>
    <w:rsid w:val="65B8534A"/>
    <w:rsid w:val="65C54EFC"/>
    <w:rsid w:val="65E04001"/>
    <w:rsid w:val="65E66FA3"/>
    <w:rsid w:val="65F021F0"/>
    <w:rsid w:val="65F130AA"/>
    <w:rsid w:val="65F95D5E"/>
    <w:rsid w:val="66004466"/>
    <w:rsid w:val="6606187B"/>
    <w:rsid w:val="661F2D31"/>
    <w:rsid w:val="662D10B0"/>
    <w:rsid w:val="6630595E"/>
    <w:rsid w:val="663C711A"/>
    <w:rsid w:val="666250EF"/>
    <w:rsid w:val="66653143"/>
    <w:rsid w:val="66655391"/>
    <w:rsid w:val="66742B47"/>
    <w:rsid w:val="6676164F"/>
    <w:rsid w:val="66780B22"/>
    <w:rsid w:val="6685380A"/>
    <w:rsid w:val="66962A18"/>
    <w:rsid w:val="66972A35"/>
    <w:rsid w:val="66B23521"/>
    <w:rsid w:val="66BA7CEA"/>
    <w:rsid w:val="66EF1279"/>
    <w:rsid w:val="66FF1439"/>
    <w:rsid w:val="67001554"/>
    <w:rsid w:val="672E4318"/>
    <w:rsid w:val="672F517C"/>
    <w:rsid w:val="67364CCA"/>
    <w:rsid w:val="673657C2"/>
    <w:rsid w:val="67434A46"/>
    <w:rsid w:val="67495C5F"/>
    <w:rsid w:val="67496BD9"/>
    <w:rsid w:val="67620127"/>
    <w:rsid w:val="676327DD"/>
    <w:rsid w:val="676330B0"/>
    <w:rsid w:val="676A4E5D"/>
    <w:rsid w:val="67727E58"/>
    <w:rsid w:val="67792490"/>
    <w:rsid w:val="678328A9"/>
    <w:rsid w:val="678D5191"/>
    <w:rsid w:val="67A10160"/>
    <w:rsid w:val="67B764CD"/>
    <w:rsid w:val="67BA414C"/>
    <w:rsid w:val="67D727FF"/>
    <w:rsid w:val="67D92749"/>
    <w:rsid w:val="67DA4C88"/>
    <w:rsid w:val="67DC74F6"/>
    <w:rsid w:val="67DD545B"/>
    <w:rsid w:val="67FC2E76"/>
    <w:rsid w:val="68323206"/>
    <w:rsid w:val="68427D92"/>
    <w:rsid w:val="68444B48"/>
    <w:rsid w:val="684632F8"/>
    <w:rsid w:val="684B641C"/>
    <w:rsid w:val="68565812"/>
    <w:rsid w:val="6870245B"/>
    <w:rsid w:val="68785AF3"/>
    <w:rsid w:val="68786673"/>
    <w:rsid w:val="68952D43"/>
    <w:rsid w:val="689F7993"/>
    <w:rsid w:val="68A24EAD"/>
    <w:rsid w:val="68AB03D1"/>
    <w:rsid w:val="68C72940"/>
    <w:rsid w:val="68DF55FA"/>
    <w:rsid w:val="68DF5733"/>
    <w:rsid w:val="68FB7C7D"/>
    <w:rsid w:val="690A6ACA"/>
    <w:rsid w:val="69245EAE"/>
    <w:rsid w:val="692A3FA8"/>
    <w:rsid w:val="69393CC2"/>
    <w:rsid w:val="6947263A"/>
    <w:rsid w:val="69474CB9"/>
    <w:rsid w:val="694B4BED"/>
    <w:rsid w:val="6956349E"/>
    <w:rsid w:val="6969342D"/>
    <w:rsid w:val="69716EEE"/>
    <w:rsid w:val="697E4967"/>
    <w:rsid w:val="69931E3B"/>
    <w:rsid w:val="69977250"/>
    <w:rsid w:val="69A73A9E"/>
    <w:rsid w:val="69AA553E"/>
    <w:rsid w:val="69B96D38"/>
    <w:rsid w:val="69DC26D4"/>
    <w:rsid w:val="69E80D07"/>
    <w:rsid w:val="6A06053A"/>
    <w:rsid w:val="6A0C2173"/>
    <w:rsid w:val="6A18587A"/>
    <w:rsid w:val="6A534474"/>
    <w:rsid w:val="6A5A2B1C"/>
    <w:rsid w:val="6A707E49"/>
    <w:rsid w:val="6A750204"/>
    <w:rsid w:val="6A887B05"/>
    <w:rsid w:val="6A8C77B9"/>
    <w:rsid w:val="6A8F3D6C"/>
    <w:rsid w:val="6A90152B"/>
    <w:rsid w:val="6AAD66A2"/>
    <w:rsid w:val="6ABA5511"/>
    <w:rsid w:val="6ABB1184"/>
    <w:rsid w:val="6AC85099"/>
    <w:rsid w:val="6ACE6B60"/>
    <w:rsid w:val="6AE21739"/>
    <w:rsid w:val="6AE83641"/>
    <w:rsid w:val="6AE97361"/>
    <w:rsid w:val="6B110315"/>
    <w:rsid w:val="6B130A88"/>
    <w:rsid w:val="6B2F0BA5"/>
    <w:rsid w:val="6B472AA9"/>
    <w:rsid w:val="6B5353FD"/>
    <w:rsid w:val="6B723F25"/>
    <w:rsid w:val="6B823998"/>
    <w:rsid w:val="6B890681"/>
    <w:rsid w:val="6B9C326B"/>
    <w:rsid w:val="6BEC0D47"/>
    <w:rsid w:val="6BF17779"/>
    <w:rsid w:val="6BF43A46"/>
    <w:rsid w:val="6C01778B"/>
    <w:rsid w:val="6C0539D4"/>
    <w:rsid w:val="6C0E0891"/>
    <w:rsid w:val="6C102C96"/>
    <w:rsid w:val="6C1A2993"/>
    <w:rsid w:val="6C292B63"/>
    <w:rsid w:val="6C4A51F6"/>
    <w:rsid w:val="6C500911"/>
    <w:rsid w:val="6C6B4C9B"/>
    <w:rsid w:val="6C72458C"/>
    <w:rsid w:val="6C8506A0"/>
    <w:rsid w:val="6CAF4A1F"/>
    <w:rsid w:val="6CCD2AED"/>
    <w:rsid w:val="6CD23FF6"/>
    <w:rsid w:val="6CDA6679"/>
    <w:rsid w:val="6CED382E"/>
    <w:rsid w:val="6CED50EF"/>
    <w:rsid w:val="6CF5465E"/>
    <w:rsid w:val="6CF901B0"/>
    <w:rsid w:val="6D055B06"/>
    <w:rsid w:val="6D0B13AC"/>
    <w:rsid w:val="6D162126"/>
    <w:rsid w:val="6D1774DF"/>
    <w:rsid w:val="6D190F40"/>
    <w:rsid w:val="6D3429CB"/>
    <w:rsid w:val="6D3567A3"/>
    <w:rsid w:val="6D370A2C"/>
    <w:rsid w:val="6D382F12"/>
    <w:rsid w:val="6D587242"/>
    <w:rsid w:val="6D5E32C5"/>
    <w:rsid w:val="6D6B1634"/>
    <w:rsid w:val="6D823161"/>
    <w:rsid w:val="6DB730D0"/>
    <w:rsid w:val="6DBC7847"/>
    <w:rsid w:val="6DBD3788"/>
    <w:rsid w:val="6DD10F68"/>
    <w:rsid w:val="6DDD1224"/>
    <w:rsid w:val="6DE624D6"/>
    <w:rsid w:val="6E1E3895"/>
    <w:rsid w:val="6E1E7E16"/>
    <w:rsid w:val="6E21082D"/>
    <w:rsid w:val="6E297AAA"/>
    <w:rsid w:val="6E560CC6"/>
    <w:rsid w:val="6E586DCA"/>
    <w:rsid w:val="6E5B7EE6"/>
    <w:rsid w:val="6E5C46FE"/>
    <w:rsid w:val="6E5F10AF"/>
    <w:rsid w:val="6E811760"/>
    <w:rsid w:val="6E90181D"/>
    <w:rsid w:val="6E9850E9"/>
    <w:rsid w:val="6EA12555"/>
    <w:rsid w:val="6EAD33F1"/>
    <w:rsid w:val="6ECC478D"/>
    <w:rsid w:val="6EDA63A7"/>
    <w:rsid w:val="6EE503CC"/>
    <w:rsid w:val="6EFA1AB8"/>
    <w:rsid w:val="6EFD261C"/>
    <w:rsid w:val="6F077BA9"/>
    <w:rsid w:val="6F2A55DF"/>
    <w:rsid w:val="6F2F2EF5"/>
    <w:rsid w:val="6F35722B"/>
    <w:rsid w:val="6F396DD0"/>
    <w:rsid w:val="6F3C4A72"/>
    <w:rsid w:val="6F494EC7"/>
    <w:rsid w:val="6F5144B9"/>
    <w:rsid w:val="6F6B52F8"/>
    <w:rsid w:val="6F6F7B17"/>
    <w:rsid w:val="6F78341B"/>
    <w:rsid w:val="6F947C5D"/>
    <w:rsid w:val="6F99347F"/>
    <w:rsid w:val="6FAC0F59"/>
    <w:rsid w:val="6FB04B66"/>
    <w:rsid w:val="6FD741A9"/>
    <w:rsid w:val="6FE33FA4"/>
    <w:rsid w:val="6FE3646D"/>
    <w:rsid w:val="700C4449"/>
    <w:rsid w:val="701222E3"/>
    <w:rsid w:val="701B58E0"/>
    <w:rsid w:val="7041750E"/>
    <w:rsid w:val="704A226B"/>
    <w:rsid w:val="70554001"/>
    <w:rsid w:val="70824C00"/>
    <w:rsid w:val="70993551"/>
    <w:rsid w:val="7099489E"/>
    <w:rsid w:val="70A013D5"/>
    <w:rsid w:val="70B31595"/>
    <w:rsid w:val="70B839AB"/>
    <w:rsid w:val="70B964EE"/>
    <w:rsid w:val="70BF7AB1"/>
    <w:rsid w:val="70CC4745"/>
    <w:rsid w:val="70CF432F"/>
    <w:rsid w:val="70E436E5"/>
    <w:rsid w:val="70EF6B0D"/>
    <w:rsid w:val="70F220D8"/>
    <w:rsid w:val="70F73AD5"/>
    <w:rsid w:val="71017C70"/>
    <w:rsid w:val="711A3886"/>
    <w:rsid w:val="712C60A6"/>
    <w:rsid w:val="71393F59"/>
    <w:rsid w:val="713B578E"/>
    <w:rsid w:val="716F7D2A"/>
    <w:rsid w:val="717E4ECD"/>
    <w:rsid w:val="718051EE"/>
    <w:rsid w:val="719E1891"/>
    <w:rsid w:val="71A14E1B"/>
    <w:rsid w:val="71A20657"/>
    <w:rsid w:val="71A35CA3"/>
    <w:rsid w:val="71A7270B"/>
    <w:rsid w:val="71AA6102"/>
    <w:rsid w:val="71B430EA"/>
    <w:rsid w:val="71BA4CB5"/>
    <w:rsid w:val="71CC443F"/>
    <w:rsid w:val="71DC4485"/>
    <w:rsid w:val="72007729"/>
    <w:rsid w:val="72166A8C"/>
    <w:rsid w:val="721D04D7"/>
    <w:rsid w:val="72214A11"/>
    <w:rsid w:val="72366526"/>
    <w:rsid w:val="723D55E1"/>
    <w:rsid w:val="723E2EAE"/>
    <w:rsid w:val="72580B8D"/>
    <w:rsid w:val="725C17BB"/>
    <w:rsid w:val="725D2C30"/>
    <w:rsid w:val="7276378B"/>
    <w:rsid w:val="727C1DD0"/>
    <w:rsid w:val="72A649B5"/>
    <w:rsid w:val="72B66877"/>
    <w:rsid w:val="72B712F1"/>
    <w:rsid w:val="72CA4CD9"/>
    <w:rsid w:val="72D5758D"/>
    <w:rsid w:val="72DB1451"/>
    <w:rsid w:val="72F96FF3"/>
    <w:rsid w:val="72FB761E"/>
    <w:rsid w:val="731D1CDD"/>
    <w:rsid w:val="733948D6"/>
    <w:rsid w:val="736F20D9"/>
    <w:rsid w:val="73721E4E"/>
    <w:rsid w:val="73A53A0F"/>
    <w:rsid w:val="73AE106D"/>
    <w:rsid w:val="73B2201D"/>
    <w:rsid w:val="73E17FB0"/>
    <w:rsid w:val="73E27552"/>
    <w:rsid w:val="73FD0C68"/>
    <w:rsid w:val="74182D78"/>
    <w:rsid w:val="741B1D65"/>
    <w:rsid w:val="741E02AF"/>
    <w:rsid w:val="742C43AA"/>
    <w:rsid w:val="742D7749"/>
    <w:rsid w:val="74353137"/>
    <w:rsid w:val="74615F89"/>
    <w:rsid w:val="74856286"/>
    <w:rsid w:val="74953C5B"/>
    <w:rsid w:val="74AB16C9"/>
    <w:rsid w:val="74BF6752"/>
    <w:rsid w:val="74C20D6C"/>
    <w:rsid w:val="74C54BE4"/>
    <w:rsid w:val="74C868E1"/>
    <w:rsid w:val="74CD7E57"/>
    <w:rsid w:val="74E527E6"/>
    <w:rsid w:val="74E607A3"/>
    <w:rsid w:val="74F965D5"/>
    <w:rsid w:val="74FD1987"/>
    <w:rsid w:val="753879B1"/>
    <w:rsid w:val="755F7253"/>
    <w:rsid w:val="75611976"/>
    <w:rsid w:val="758F5A14"/>
    <w:rsid w:val="75A470F0"/>
    <w:rsid w:val="75AB1361"/>
    <w:rsid w:val="75C50EE7"/>
    <w:rsid w:val="75C81606"/>
    <w:rsid w:val="75C9163B"/>
    <w:rsid w:val="75CB314C"/>
    <w:rsid w:val="75E54795"/>
    <w:rsid w:val="76052CCF"/>
    <w:rsid w:val="760C365C"/>
    <w:rsid w:val="76104C9B"/>
    <w:rsid w:val="762539DF"/>
    <w:rsid w:val="763C0926"/>
    <w:rsid w:val="76464793"/>
    <w:rsid w:val="764F0192"/>
    <w:rsid w:val="765A4F2E"/>
    <w:rsid w:val="7663277C"/>
    <w:rsid w:val="7668261F"/>
    <w:rsid w:val="76AA4A33"/>
    <w:rsid w:val="76AC603A"/>
    <w:rsid w:val="76CD3C38"/>
    <w:rsid w:val="76E22E2D"/>
    <w:rsid w:val="76EA7E1F"/>
    <w:rsid w:val="76EF47EA"/>
    <w:rsid w:val="76F00DD0"/>
    <w:rsid w:val="76F02E13"/>
    <w:rsid w:val="76F95118"/>
    <w:rsid w:val="76FA7F0A"/>
    <w:rsid w:val="76FE6D95"/>
    <w:rsid w:val="770052E0"/>
    <w:rsid w:val="77067426"/>
    <w:rsid w:val="771B5F96"/>
    <w:rsid w:val="77276AA4"/>
    <w:rsid w:val="77343FF5"/>
    <w:rsid w:val="775F1ED0"/>
    <w:rsid w:val="7762012F"/>
    <w:rsid w:val="77A30227"/>
    <w:rsid w:val="77A90A80"/>
    <w:rsid w:val="77A95757"/>
    <w:rsid w:val="77A976AC"/>
    <w:rsid w:val="77AE1A0A"/>
    <w:rsid w:val="77B515FD"/>
    <w:rsid w:val="77C82D48"/>
    <w:rsid w:val="77DF3826"/>
    <w:rsid w:val="77F65FBB"/>
    <w:rsid w:val="781620C7"/>
    <w:rsid w:val="78262553"/>
    <w:rsid w:val="782F165B"/>
    <w:rsid w:val="7832715C"/>
    <w:rsid w:val="7833162C"/>
    <w:rsid w:val="78451413"/>
    <w:rsid w:val="784F75D4"/>
    <w:rsid w:val="7861235A"/>
    <w:rsid w:val="786534AE"/>
    <w:rsid w:val="7883118E"/>
    <w:rsid w:val="78AC2D0F"/>
    <w:rsid w:val="78BF0181"/>
    <w:rsid w:val="78C063D2"/>
    <w:rsid w:val="78C2080B"/>
    <w:rsid w:val="78D14ED0"/>
    <w:rsid w:val="78D45FE8"/>
    <w:rsid w:val="78D76B81"/>
    <w:rsid w:val="78E10BE9"/>
    <w:rsid w:val="78E823BF"/>
    <w:rsid w:val="78F90F48"/>
    <w:rsid w:val="790A4FD3"/>
    <w:rsid w:val="790E4985"/>
    <w:rsid w:val="79221D9F"/>
    <w:rsid w:val="7931164C"/>
    <w:rsid w:val="794214E1"/>
    <w:rsid w:val="79471ADC"/>
    <w:rsid w:val="79483148"/>
    <w:rsid w:val="796F4F7F"/>
    <w:rsid w:val="79702A5A"/>
    <w:rsid w:val="797C5C27"/>
    <w:rsid w:val="79AF1349"/>
    <w:rsid w:val="79B81F22"/>
    <w:rsid w:val="79B9498F"/>
    <w:rsid w:val="79D628AA"/>
    <w:rsid w:val="79D662DD"/>
    <w:rsid w:val="79D93867"/>
    <w:rsid w:val="79DA51C3"/>
    <w:rsid w:val="79DE52AD"/>
    <w:rsid w:val="79F028E1"/>
    <w:rsid w:val="79F61311"/>
    <w:rsid w:val="79F83BD2"/>
    <w:rsid w:val="7A021A98"/>
    <w:rsid w:val="7A1E66BA"/>
    <w:rsid w:val="7A2666FC"/>
    <w:rsid w:val="7A29653E"/>
    <w:rsid w:val="7A460F40"/>
    <w:rsid w:val="7A61417A"/>
    <w:rsid w:val="7A767750"/>
    <w:rsid w:val="7A7C6C0F"/>
    <w:rsid w:val="7A7F02DD"/>
    <w:rsid w:val="7A92406E"/>
    <w:rsid w:val="7A9A538D"/>
    <w:rsid w:val="7AA86DA8"/>
    <w:rsid w:val="7AC36C6E"/>
    <w:rsid w:val="7AC46E90"/>
    <w:rsid w:val="7AC93C0E"/>
    <w:rsid w:val="7AEC630A"/>
    <w:rsid w:val="7AF00CB5"/>
    <w:rsid w:val="7AF07BB0"/>
    <w:rsid w:val="7AF96F9C"/>
    <w:rsid w:val="7B05498D"/>
    <w:rsid w:val="7B122142"/>
    <w:rsid w:val="7B181B3E"/>
    <w:rsid w:val="7B2A3E86"/>
    <w:rsid w:val="7B6F5D29"/>
    <w:rsid w:val="7B79652A"/>
    <w:rsid w:val="7B847268"/>
    <w:rsid w:val="7B8547C6"/>
    <w:rsid w:val="7B881841"/>
    <w:rsid w:val="7BA201F2"/>
    <w:rsid w:val="7BBE2824"/>
    <w:rsid w:val="7BD670C7"/>
    <w:rsid w:val="7BF47610"/>
    <w:rsid w:val="7C0A20E3"/>
    <w:rsid w:val="7C0B4F77"/>
    <w:rsid w:val="7C0D269B"/>
    <w:rsid w:val="7C101EFF"/>
    <w:rsid w:val="7C1C18D8"/>
    <w:rsid w:val="7C327EC7"/>
    <w:rsid w:val="7C4C7969"/>
    <w:rsid w:val="7C587945"/>
    <w:rsid w:val="7C6843F5"/>
    <w:rsid w:val="7C706EA1"/>
    <w:rsid w:val="7C715157"/>
    <w:rsid w:val="7C7729BB"/>
    <w:rsid w:val="7C812FA7"/>
    <w:rsid w:val="7CC83A1A"/>
    <w:rsid w:val="7CEA1336"/>
    <w:rsid w:val="7D1E75F7"/>
    <w:rsid w:val="7D215340"/>
    <w:rsid w:val="7D2A18EB"/>
    <w:rsid w:val="7D5B1592"/>
    <w:rsid w:val="7D6D67C9"/>
    <w:rsid w:val="7D785BF1"/>
    <w:rsid w:val="7D7B3A52"/>
    <w:rsid w:val="7D8B1FD1"/>
    <w:rsid w:val="7DA37773"/>
    <w:rsid w:val="7DB575CD"/>
    <w:rsid w:val="7DB976BE"/>
    <w:rsid w:val="7DC74DBB"/>
    <w:rsid w:val="7DCF577A"/>
    <w:rsid w:val="7DDC1265"/>
    <w:rsid w:val="7DE81C24"/>
    <w:rsid w:val="7DF34270"/>
    <w:rsid w:val="7E050FC0"/>
    <w:rsid w:val="7E333F2D"/>
    <w:rsid w:val="7E38694E"/>
    <w:rsid w:val="7E6B4046"/>
    <w:rsid w:val="7E7349D7"/>
    <w:rsid w:val="7E741D7E"/>
    <w:rsid w:val="7E7661E6"/>
    <w:rsid w:val="7E7A5120"/>
    <w:rsid w:val="7E8825F8"/>
    <w:rsid w:val="7E9639BA"/>
    <w:rsid w:val="7E9F3BDB"/>
    <w:rsid w:val="7EA734FC"/>
    <w:rsid w:val="7EAF3D4A"/>
    <w:rsid w:val="7EB17E76"/>
    <w:rsid w:val="7EDD5DF7"/>
    <w:rsid w:val="7EE7059E"/>
    <w:rsid w:val="7EF01D35"/>
    <w:rsid w:val="7EF3441F"/>
    <w:rsid w:val="7F016F0D"/>
    <w:rsid w:val="7F1D2881"/>
    <w:rsid w:val="7F35100D"/>
    <w:rsid w:val="7F3C02E3"/>
    <w:rsid w:val="7F450498"/>
    <w:rsid w:val="7F6518C6"/>
    <w:rsid w:val="7F6E3319"/>
    <w:rsid w:val="7F7271CD"/>
    <w:rsid w:val="7F764B13"/>
    <w:rsid w:val="7F796BA0"/>
    <w:rsid w:val="7F82741C"/>
    <w:rsid w:val="7F9D488E"/>
    <w:rsid w:val="7FB10716"/>
    <w:rsid w:val="7FC12CF9"/>
    <w:rsid w:val="7FCD6AD8"/>
    <w:rsid w:val="7FE37350"/>
    <w:rsid w:val="7FE40B4D"/>
    <w:rsid w:val="7FF72A6A"/>
  </w:rsids>
  <m:mathPr>
    <m:mathFont m:val="Cambria Math"/>
    <m:brkBin m:val="before"/>
    <m:brkBinSub m:val="--"/>
    <m:smallFrac m:val="1"/>
    <m:dispDef/>
    <m:lMargin m:val="0"/>
    <m:rMargin m:val="0"/>
    <m:defJc m:val="centerGroup"/>
    <m:wrapIndent m:val="1440"/>
    <m:intLim m:val="subSup"/>
    <m:naryLim m:val="undOvr"/>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Calibri" w:hAnsi="Calibri"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9" w:semiHidden="0" w:name="heading 1" w:locked="1"/>
    <w:lsdException w:qFormat="1" w:unhideWhenUsed="0" w:uiPriority="99" w:semiHidden="0" w:name="heading 2" w:locked="1"/>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iPriority="99" w:name="index 1" w:locked="1"/>
    <w:lsdException w:uiPriority="99" w:name="index 2" w:locked="1"/>
    <w:lsdException w:uiPriority="99" w:name="index 3" w:locked="1"/>
    <w:lsdException w:uiPriority="99" w:name="index 4" w:locked="1"/>
    <w:lsdException w:uiPriority="99" w:name="index 5" w:locked="1"/>
    <w:lsdException w:uiPriority="99" w:name="index 6" w:locked="1"/>
    <w:lsdException w:uiPriority="99" w:name="index 7" w:locked="1"/>
    <w:lsdException w:uiPriority="99" w:name="index 8" w:locked="1"/>
    <w:lsdException w:uiPriority="99" w:name="index 9" w:locked="1"/>
    <w:lsdException w:qFormat="1" w:unhideWhenUsed="0" w:uiPriority="99" w:name="toc 1" w:locked="1"/>
    <w:lsdException w:qFormat="1" w:unhideWhenUsed="0" w:uiPriority="99" w:name="toc 2" w:locked="1"/>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iPriority="99" w:name="Normal Indent" w:locked="1"/>
    <w:lsdException w:uiPriority="99" w:name="footnote text" w:locked="1"/>
    <w:lsdException w:qFormat="1" w:unhideWhenUsed="0" w:uiPriority="0" w:semiHidden="0" w:name="annotation text" w:locked="1"/>
    <w:lsdException w:qFormat="1" w:unhideWhenUsed="0" w:uiPriority="99" w:semiHidden="0" w:name="header"/>
    <w:lsdException w:qFormat="1" w:unhideWhenUsed="0" w:uiPriority="99" w:semiHidden="0" w:name="footer"/>
    <w:lsdException w:uiPriority="99" w:name="index heading" w:locked="1"/>
    <w:lsdException w:qFormat="1" w:uiPriority="0" w:name="caption"/>
    <w:lsdException w:uiPriority="99" w:name="table of figures" w:locked="1"/>
    <w:lsdException w:uiPriority="99" w:name="envelope address" w:locked="1"/>
    <w:lsdException w:uiPriority="99" w:name="envelope return" w:locked="1"/>
    <w:lsdException w:uiPriority="99" w:name="footnote reference" w:locked="1"/>
    <w:lsdException w:uiPriority="99" w:name="annotation reference" w:locked="1"/>
    <w:lsdException w:uiPriority="99" w:name="line number" w:locked="1"/>
    <w:lsdException w:qFormat="1" w:unhideWhenUsed="0" w:uiPriority="99" w:semiHidden="0" w:name="page number"/>
    <w:lsdException w:uiPriority="99" w:name="endnote reference" w:locked="1"/>
    <w:lsdException w:uiPriority="99" w:name="endnote text" w:locked="1"/>
    <w:lsdException w:uiPriority="99" w:name="table of authorities" w:locked="1"/>
    <w:lsdException w:uiPriority="99" w:name="macro" w:locked="1"/>
    <w:lsdException w:uiPriority="99" w:name="toa heading" w:locked="1"/>
    <w:lsdException w:uiPriority="99" w:name="List" w:locked="1"/>
    <w:lsdException w:uiPriority="99" w:name="List Bullet" w:locked="1"/>
    <w:lsdException w:uiPriority="99" w:name="List Number" w:locked="1"/>
    <w:lsdException w:uiPriority="99" w:name="List 2" w:locked="1"/>
    <w:lsdException w:uiPriority="99" w:name="List 3" w:locked="1"/>
    <w:lsdException w:uiPriority="99" w:name="List 4" w:locked="1"/>
    <w:lsdException w:uiPriority="99" w:name="List 5" w:locked="1"/>
    <w:lsdException w:uiPriority="99" w:name="List Bullet 2" w:locked="1"/>
    <w:lsdException w:uiPriority="99" w:name="List Bullet 3" w:locked="1"/>
    <w:lsdException w:uiPriority="99" w:name="List Bullet 4" w:locked="1"/>
    <w:lsdException w:uiPriority="99" w:name="List Bullet 5" w:locked="1"/>
    <w:lsdException w:uiPriority="99" w:name="List Number 2" w:locked="1"/>
    <w:lsdException w:uiPriority="99" w:name="List Number 3" w:locked="1"/>
    <w:lsdException w:uiPriority="99" w:name="List Number 4" w:locked="1"/>
    <w:lsdException w:uiPriority="99" w:name="List Number 5" w:locked="1"/>
    <w:lsdException w:qFormat="1" w:unhideWhenUsed="0" w:uiPriority="0" w:semiHidden="0" w:name="Title"/>
    <w:lsdException w:uiPriority="99" w:name="Closing" w:locked="1"/>
    <w:lsdException w:uiPriority="99" w:name="Signature" w:locked="1"/>
    <w:lsdException w:qFormat="1" w:uiPriority="1" w:name="Default Paragraph Font"/>
    <w:lsdException w:qFormat="1" w:unhideWhenUsed="0" w:uiPriority="99" w:semiHidden="0" w:name="Body Text"/>
    <w:lsdException w:qFormat="1" w:unhideWhenUsed="0" w:uiPriority="99" w:semiHidden="0" w:name="Body Text Indent" w:locked="1"/>
    <w:lsdException w:uiPriority="99" w:name="List Continue" w:locked="1"/>
    <w:lsdException w:uiPriority="99" w:name="List Continue 2" w:locked="1"/>
    <w:lsdException w:uiPriority="99" w:name="List Continue 3" w:locked="1"/>
    <w:lsdException w:uiPriority="99" w:name="List Continue 4" w:locked="1"/>
    <w:lsdException w:uiPriority="99" w:name="List Continue 5" w:locked="1"/>
    <w:lsdException w:uiPriority="99" w:name="Message Header" w:locked="1"/>
    <w:lsdException w:qFormat="1" w:unhideWhenUsed="0" w:uiPriority="0" w:semiHidden="0" w:name="Subtitle"/>
    <w:lsdException w:uiPriority="99" w:name="Salutation" w:locked="1"/>
    <w:lsdException w:qFormat="1" w:unhideWhenUsed="0" w:uiPriority="99" w:semiHidden="0" w:name="Date"/>
    <w:lsdException w:uiPriority="99" w:name="Body Text First Indent" w:locked="1"/>
    <w:lsdException w:uiPriority="99" w:name="Body Text First Indent 2" w:locked="1"/>
    <w:lsdException w:uiPriority="99" w:name="Note Heading" w:locked="1"/>
    <w:lsdException w:uiPriority="99" w:name="Body Text 2" w:locked="1"/>
    <w:lsdException w:uiPriority="99" w:name="Body Text 3" w:locked="1"/>
    <w:lsdException w:uiPriority="99" w:name="Body Text Indent 2" w:locked="1"/>
    <w:lsdException w:uiPriority="99" w:name="Body Text Indent 3" w:locked="1"/>
    <w:lsdException w:uiPriority="99" w:name="Block Text" w:locked="1"/>
    <w:lsdException w:qFormat="1" w:unhideWhenUsed="0" w:uiPriority="99" w:semiHidden="0" w:name="Hyperlink"/>
    <w:lsdException w:qFormat="1" w:unhideWhenUsed="0" w:uiPriority="99" w:semiHidden="0" w:name="FollowedHyperlink"/>
    <w:lsdException w:qFormat="1" w:unhideWhenUsed="0" w:uiPriority="99" w:semiHidden="0" w:name="Strong" w:locked="1"/>
    <w:lsdException w:qFormat="1" w:unhideWhenUsed="0" w:uiPriority="0" w:semiHidden="0" w:name="Emphasis"/>
    <w:lsdException w:qFormat="1" w:unhideWhenUsed="0" w:uiPriority="99" w:name="Document Map"/>
    <w:lsdException w:qFormat="1" w:unhideWhenUsed="0" w:uiPriority="99" w:semiHidden="0" w:name="Plain Text"/>
    <w:lsdException w:uiPriority="99" w:name="E-mail Signature" w:locked="1"/>
    <w:lsdException w:qFormat="1" w:uiPriority="99" w:semiHidden="0" w:name="Normal (Web)" w:locked="1"/>
    <w:lsdException w:uiPriority="99" w:name="HTML Acronym" w:locked="1"/>
    <w:lsdException w:uiPriority="99" w:name="HTML Address" w:locked="1"/>
    <w:lsdException w:uiPriority="99" w:name="HTML Cite" w:locked="1"/>
    <w:lsdException w:uiPriority="99" w:name="HTML Code" w:locked="1"/>
    <w:lsdException w:uiPriority="99" w:name="HTML Definition" w:locked="1"/>
    <w:lsdException w:uiPriority="99" w:name="HTML Keyboard" w:locked="1"/>
    <w:lsdException w:qFormat="1" w:unhideWhenUsed="0" w:uiPriority="99" w:semiHidden="0" w:name="HTML Preformatted"/>
    <w:lsdException w:uiPriority="99" w:name="HTML Sample" w:locked="1"/>
    <w:lsdException w:uiPriority="99" w:name="HTML Typewriter" w:locked="1"/>
    <w:lsdException w:uiPriority="99" w:name="HTML Variable" w:locked="1"/>
    <w:lsdException w:qFormat="1" w:uiPriority="99" w:name="Normal Table"/>
    <w:lsdException w:uiPriority="99" w:name="annotation subject" w:locked="1"/>
    <w:lsdException w:uiPriority="99" w:name="Table Simple 1" w:locked="1"/>
    <w:lsdException w:uiPriority="99" w:name="Table Simple 2" w:locked="1"/>
    <w:lsdException w:uiPriority="99" w:name="Table Simple 3" w:locked="1"/>
    <w:lsdException w:uiPriority="99" w:name="Table Classic 1" w:locked="1"/>
    <w:lsdException w:uiPriority="99" w:name="Table Classic 2" w:locked="1"/>
    <w:lsdException w:uiPriority="99" w:name="Table Classic 3" w:locked="1"/>
    <w:lsdException w:uiPriority="99" w:name="Table Classic 4" w:locked="1"/>
    <w:lsdException w:uiPriority="99" w:name="Table Colorful 1" w:locked="1"/>
    <w:lsdException w:uiPriority="99" w:name="Table Colorful 2" w:locked="1"/>
    <w:lsdException w:uiPriority="99" w:name="Table Colorful 3" w:locked="1"/>
    <w:lsdException w:uiPriority="99" w:name="Table Columns 1" w:locked="1"/>
    <w:lsdException w:uiPriority="99" w:name="Table Columns 2" w:locked="1"/>
    <w:lsdException w:uiPriority="99" w:name="Table Columns 3" w:locked="1"/>
    <w:lsdException w:uiPriority="99" w:name="Table Columns 4" w:locked="1"/>
    <w:lsdException w:uiPriority="99" w:name="Table Columns 5" w:locked="1"/>
    <w:lsdException w:uiPriority="99" w:name="Table Grid 1" w:locked="1"/>
    <w:lsdException w:uiPriority="99" w:name="Table Grid 2" w:locked="1"/>
    <w:lsdException w:uiPriority="99" w:name="Table Grid 3" w:locked="1"/>
    <w:lsdException w:uiPriority="99" w:name="Table Grid 4" w:locked="1"/>
    <w:lsdException w:uiPriority="99" w:name="Table Grid 5" w:locked="1"/>
    <w:lsdException w:uiPriority="99" w:name="Table Grid 6" w:locked="1"/>
    <w:lsdException w:uiPriority="99" w:name="Table Grid 7" w:locked="1"/>
    <w:lsdException w:uiPriority="99" w:name="Table Grid 8" w:locked="1"/>
    <w:lsdException w:uiPriority="99" w:name="Table List 1" w:locked="1"/>
    <w:lsdException w:uiPriority="99" w:name="Table List 2" w:locked="1"/>
    <w:lsdException w:uiPriority="99" w:name="Table List 3" w:locked="1"/>
    <w:lsdException w:uiPriority="99" w:name="Table List 4" w:locked="1"/>
    <w:lsdException w:uiPriority="99" w:name="Table List 5" w:locked="1"/>
    <w:lsdException w:uiPriority="99" w:name="Table List 6" w:locked="1"/>
    <w:lsdException w:uiPriority="99" w:name="Table List 7" w:locked="1"/>
    <w:lsdException w:uiPriority="99" w:name="Table List 8" w:locked="1"/>
    <w:lsdException w:uiPriority="99" w:name="Table 3D effects 1" w:locked="1"/>
    <w:lsdException w:uiPriority="99" w:name="Table 3D effects 2" w:locked="1"/>
    <w:lsdException w:uiPriority="99" w:name="Table 3D effects 3" w:locked="1"/>
    <w:lsdException w:uiPriority="99" w:name="Table Contemporary" w:locked="1"/>
    <w:lsdException w:uiPriority="99" w:name="Table Elegant" w:locked="1"/>
    <w:lsdException w:uiPriority="99" w:name="Table Professional" w:locked="1"/>
    <w:lsdException w:uiPriority="99" w:name="Table Subtle 1" w:locked="1"/>
    <w:lsdException w:uiPriority="99" w:name="Table Subtle 2" w:locked="1"/>
    <w:lsdException w:uiPriority="99" w:name="Table Web 1" w:locked="1"/>
    <w:lsdException w:uiPriority="99" w:name="Table Web 2" w:locked="1"/>
    <w:lsdException w:uiPriority="99" w:name="Table Web 3" w:locked="1"/>
    <w:lsdException w:qFormat="1" w:unhideWhenUsed="0" w:uiPriority="99" w:name="Balloon Text"/>
    <w:lsdException w:qFormat="1" w:unhideWhenUsed="0" w:uiPriority="99" w:semiHidden="0" w:name="Table Grid"/>
    <w:lsdException w:uiPriority="99" w:name="Table Theme" w:locked="1"/>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1"/>
      <w:lang w:val="en-US" w:eastAsia="zh-CN" w:bidi="ar-SA"/>
    </w:rPr>
  </w:style>
  <w:style w:type="paragraph" w:styleId="2">
    <w:name w:val="heading 1"/>
    <w:basedOn w:val="1"/>
    <w:next w:val="1"/>
    <w:link w:val="25"/>
    <w:qFormat/>
    <w:locked/>
    <w:uiPriority w:val="99"/>
    <w:pPr>
      <w:keepNext/>
      <w:keepLines/>
      <w:spacing w:before="340" w:after="330" w:line="578" w:lineRule="auto"/>
      <w:outlineLvl w:val="0"/>
    </w:pPr>
    <w:rPr>
      <w:b/>
      <w:bCs/>
      <w:kern w:val="44"/>
      <w:sz w:val="44"/>
      <w:szCs w:val="44"/>
    </w:rPr>
  </w:style>
  <w:style w:type="paragraph" w:styleId="3">
    <w:name w:val="heading 2"/>
    <w:basedOn w:val="1"/>
    <w:next w:val="1"/>
    <w:link w:val="26"/>
    <w:qFormat/>
    <w:locked/>
    <w:uiPriority w:val="99"/>
    <w:pPr>
      <w:keepNext/>
      <w:keepLines/>
      <w:spacing w:before="260" w:after="260" w:line="416" w:lineRule="auto"/>
      <w:outlineLvl w:val="1"/>
    </w:pPr>
    <w:rPr>
      <w:rFonts w:ascii="Cambria" w:hAnsi="Cambria" w:cs="Cambria"/>
      <w:b/>
      <w:bCs/>
      <w:sz w:val="32"/>
      <w:szCs w:val="32"/>
    </w:rPr>
  </w:style>
  <w:style w:type="character" w:default="1" w:styleId="19">
    <w:name w:val="Default Paragraph Font"/>
    <w:semiHidden/>
    <w:unhideWhenUsed/>
    <w:qFormat/>
    <w:uiPriority w:val="1"/>
  </w:style>
  <w:style w:type="table" w:default="1" w:styleId="17">
    <w:name w:val="Normal Table"/>
    <w:semiHidden/>
    <w:unhideWhenUsed/>
    <w:qFormat/>
    <w:uiPriority w:val="99"/>
    <w:tblPr>
      <w:tblCellMar>
        <w:top w:w="0" w:type="dxa"/>
        <w:left w:w="108" w:type="dxa"/>
        <w:bottom w:w="0" w:type="dxa"/>
        <w:right w:w="108" w:type="dxa"/>
      </w:tblCellMar>
    </w:tblPr>
  </w:style>
  <w:style w:type="paragraph" w:styleId="4">
    <w:name w:val="Document Map"/>
    <w:basedOn w:val="1"/>
    <w:link w:val="27"/>
    <w:semiHidden/>
    <w:qFormat/>
    <w:uiPriority w:val="99"/>
    <w:pPr>
      <w:shd w:val="clear" w:color="auto" w:fill="000080"/>
    </w:pPr>
    <w:rPr>
      <w:kern w:val="0"/>
      <w:sz w:val="2"/>
      <w:szCs w:val="2"/>
    </w:rPr>
  </w:style>
  <w:style w:type="paragraph" w:styleId="5">
    <w:name w:val="annotation text"/>
    <w:basedOn w:val="1"/>
    <w:qFormat/>
    <w:locked/>
    <w:uiPriority w:val="0"/>
    <w:pPr>
      <w:spacing w:line="360" w:lineRule="auto"/>
    </w:pPr>
    <w:rPr>
      <w:sz w:val="20"/>
      <w:szCs w:val="24"/>
    </w:rPr>
  </w:style>
  <w:style w:type="paragraph" w:styleId="6">
    <w:name w:val="Body Text"/>
    <w:basedOn w:val="1"/>
    <w:link w:val="28"/>
    <w:qFormat/>
    <w:uiPriority w:val="99"/>
    <w:pPr>
      <w:spacing w:after="120"/>
    </w:pPr>
    <w:rPr>
      <w:sz w:val="24"/>
      <w:szCs w:val="24"/>
    </w:rPr>
  </w:style>
  <w:style w:type="paragraph" w:styleId="7">
    <w:name w:val="Body Text Indent"/>
    <w:basedOn w:val="1"/>
    <w:link w:val="29"/>
    <w:qFormat/>
    <w:locked/>
    <w:uiPriority w:val="99"/>
    <w:pPr>
      <w:spacing w:after="120"/>
      <w:ind w:left="420" w:leftChars="200"/>
    </w:pPr>
    <w:rPr>
      <w:kern w:val="0"/>
      <w:sz w:val="20"/>
      <w:szCs w:val="20"/>
    </w:rPr>
  </w:style>
  <w:style w:type="paragraph" w:styleId="8">
    <w:name w:val="Plain Text"/>
    <w:basedOn w:val="1"/>
    <w:link w:val="30"/>
    <w:qFormat/>
    <w:uiPriority w:val="99"/>
    <w:pPr>
      <w:jc w:val="left"/>
    </w:pPr>
    <w:rPr>
      <w:rFonts w:ascii="宋体" w:hAnsi="Courier New" w:cs="宋体"/>
      <w:kern w:val="0"/>
    </w:rPr>
  </w:style>
  <w:style w:type="paragraph" w:styleId="9">
    <w:name w:val="Date"/>
    <w:basedOn w:val="1"/>
    <w:next w:val="1"/>
    <w:link w:val="31"/>
    <w:qFormat/>
    <w:uiPriority w:val="99"/>
    <w:pPr>
      <w:ind w:left="2500" w:leftChars="2500"/>
    </w:pPr>
    <w:rPr>
      <w:rFonts w:eastAsia="黑体"/>
      <w:kern w:val="0"/>
      <w:sz w:val="24"/>
      <w:szCs w:val="24"/>
    </w:rPr>
  </w:style>
  <w:style w:type="paragraph" w:styleId="10">
    <w:name w:val="Balloon Text"/>
    <w:basedOn w:val="1"/>
    <w:link w:val="32"/>
    <w:semiHidden/>
    <w:qFormat/>
    <w:uiPriority w:val="99"/>
    <w:rPr>
      <w:sz w:val="18"/>
      <w:szCs w:val="18"/>
    </w:rPr>
  </w:style>
  <w:style w:type="paragraph" w:styleId="11">
    <w:name w:val="footer"/>
    <w:basedOn w:val="1"/>
    <w:link w:val="33"/>
    <w:qFormat/>
    <w:uiPriority w:val="99"/>
    <w:pPr>
      <w:tabs>
        <w:tab w:val="center" w:pos="4153"/>
        <w:tab w:val="right" w:pos="8306"/>
      </w:tabs>
      <w:snapToGrid w:val="0"/>
      <w:jc w:val="left"/>
    </w:pPr>
    <w:rPr>
      <w:sz w:val="18"/>
      <w:szCs w:val="18"/>
    </w:rPr>
  </w:style>
  <w:style w:type="paragraph" w:styleId="12">
    <w:name w:val="header"/>
    <w:basedOn w:val="1"/>
    <w:link w:val="34"/>
    <w:qFormat/>
    <w:uiPriority w:val="99"/>
    <w:pPr>
      <w:pBdr>
        <w:bottom w:val="single" w:color="auto" w:sz="6" w:space="1"/>
      </w:pBdr>
      <w:tabs>
        <w:tab w:val="center" w:pos="4153"/>
        <w:tab w:val="right" w:pos="8306"/>
      </w:tabs>
      <w:snapToGrid w:val="0"/>
      <w:jc w:val="center"/>
    </w:pPr>
    <w:rPr>
      <w:sz w:val="18"/>
      <w:szCs w:val="18"/>
    </w:rPr>
  </w:style>
  <w:style w:type="paragraph" w:styleId="13">
    <w:name w:val="toc 1"/>
    <w:basedOn w:val="1"/>
    <w:next w:val="1"/>
    <w:semiHidden/>
    <w:qFormat/>
    <w:locked/>
    <w:uiPriority w:val="99"/>
  </w:style>
  <w:style w:type="paragraph" w:styleId="14">
    <w:name w:val="toc 2"/>
    <w:basedOn w:val="1"/>
    <w:next w:val="1"/>
    <w:semiHidden/>
    <w:qFormat/>
    <w:locked/>
    <w:uiPriority w:val="99"/>
    <w:pPr>
      <w:ind w:left="420" w:leftChars="200"/>
    </w:pPr>
  </w:style>
  <w:style w:type="paragraph" w:styleId="15">
    <w:name w:val="HTML Preformatted"/>
    <w:basedOn w:val="1"/>
    <w:link w:val="35"/>
    <w:qFormat/>
    <w:uiPriority w:val="9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cs="宋体"/>
      <w:kern w:val="0"/>
      <w:sz w:val="24"/>
      <w:szCs w:val="24"/>
    </w:rPr>
  </w:style>
  <w:style w:type="paragraph" w:styleId="16">
    <w:name w:val="Normal (Web)"/>
    <w:basedOn w:val="1"/>
    <w:unhideWhenUsed/>
    <w:qFormat/>
    <w:locked/>
    <w:uiPriority w:val="99"/>
    <w:pPr>
      <w:jc w:val="left"/>
    </w:pPr>
    <w:rPr>
      <w:kern w:val="0"/>
      <w:sz w:val="18"/>
      <w:szCs w:val="18"/>
    </w:rPr>
  </w:style>
  <w:style w:type="table" w:styleId="18">
    <w:name w:val="Table Grid"/>
    <w:basedOn w:val="17"/>
    <w:qFormat/>
    <w:uiPriority w:val="9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20">
    <w:name w:val="Strong"/>
    <w:basedOn w:val="19"/>
    <w:qFormat/>
    <w:locked/>
    <w:uiPriority w:val="99"/>
    <w:rPr>
      <w:b/>
      <w:bCs/>
    </w:rPr>
  </w:style>
  <w:style w:type="character" w:styleId="21">
    <w:name w:val="page number"/>
    <w:basedOn w:val="19"/>
    <w:qFormat/>
    <w:uiPriority w:val="99"/>
  </w:style>
  <w:style w:type="character" w:styleId="22">
    <w:name w:val="FollowedHyperlink"/>
    <w:basedOn w:val="19"/>
    <w:qFormat/>
    <w:uiPriority w:val="99"/>
    <w:rPr>
      <w:color w:val="333333"/>
      <w:sz w:val="18"/>
      <w:szCs w:val="18"/>
      <w:u w:val="none"/>
    </w:rPr>
  </w:style>
  <w:style w:type="character" w:styleId="23">
    <w:name w:val="Hyperlink"/>
    <w:basedOn w:val="19"/>
    <w:qFormat/>
    <w:uiPriority w:val="99"/>
    <w:rPr>
      <w:color w:val="333333"/>
      <w:sz w:val="18"/>
      <w:szCs w:val="18"/>
      <w:u w:val="none"/>
    </w:rPr>
  </w:style>
  <w:style w:type="paragraph" w:customStyle="1" w:styleId="24">
    <w:name w:val="Default"/>
    <w:qFormat/>
    <w:uiPriority w:val="99"/>
    <w:pPr>
      <w:widowControl w:val="0"/>
      <w:autoSpaceDE w:val="0"/>
      <w:autoSpaceDN w:val="0"/>
      <w:adjustRightInd w:val="0"/>
    </w:pPr>
    <w:rPr>
      <w:rFonts w:ascii="Helvetica" w:hAnsi="Helvetica" w:eastAsia="宋体" w:cs="Helvetica"/>
      <w:color w:val="000000"/>
      <w:sz w:val="24"/>
      <w:szCs w:val="24"/>
      <w:lang w:val="en-US" w:eastAsia="zh-CN" w:bidi="ar-SA"/>
    </w:rPr>
  </w:style>
  <w:style w:type="character" w:customStyle="1" w:styleId="25">
    <w:name w:val="标题 1 Char"/>
    <w:basedOn w:val="19"/>
    <w:link w:val="2"/>
    <w:qFormat/>
    <w:locked/>
    <w:uiPriority w:val="99"/>
    <w:rPr>
      <w:b/>
      <w:bCs/>
      <w:kern w:val="44"/>
      <w:sz w:val="44"/>
      <w:szCs w:val="44"/>
    </w:rPr>
  </w:style>
  <w:style w:type="character" w:customStyle="1" w:styleId="26">
    <w:name w:val="标题 2 Char"/>
    <w:basedOn w:val="19"/>
    <w:link w:val="3"/>
    <w:qFormat/>
    <w:locked/>
    <w:uiPriority w:val="99"/>
    <w:rPr>
      <w:rFonts w:ascii="Cambria" w:hAnsi="Cambria" w:eastAsia="宋体" w:cs="Cambria"/>
      <w:b/>
      <w:bCs/>
      <w:kern w:val="2"/>
      <w:sz w:val="32"/>
      <w:szCs w:val="32"/>
    </w:rPr>
  </w:style>
  <w:style w:type="character" w:customStyle="1" w:styleId="27">
    <w:name w:val="文档结构图 Char"/>
    <w:basedOn w:val="19"/>
    <w:link w:val="4"/>
    <w:semiHidden/>
    <w:qFormat/>
    <w:locked/>
    <w:uiPriority w:val="99"/>
    <w:rPr>
      <w:sz w:val="2"/>
      <w:szCs w:val="2"/>
    </w:rPr>
  </w:style>
  <w:style w:type="character" w:customStyle="1" w:styleId="28">
    <w:name w:val="正文文本 Char"/>
    <w:basedOn w:val="19"/>
    <w:link w:val="6"/>
    <w:qFormat/>
    <w:locked/>
    <w:uiPriority w:val="99"/>
    <w:rPr>
      <w:kern w:val="2"/>
      <w:sz w:val="24"/>
      <w:szCs w:val="24"/>
    </w:rPr>
  </w:style>
  <w:style w:type="character" w:customStyle="1" w:styleId="29">
    <w:name w:val="正文文本缩进 Char"/>
    <w:basedOn w:val="19"/>
    <w:link w:val="7"/>
    <w:semiHidden/>
    <w:qFormat/>
    <w:locked/>
    <w:uiPriority w:val="99"/>
    <w:rPr>
      <w:sz w:val="24"/>
      <w:szCs w:val="24"/>
    </w:rPr>
  </w:style>
  <w:style w:type="character" w:customStyle="1" w:styleId="30">
    <w:name w:val="纯文本 Char"/>
    <w:basedOn w:val="19"/>
    <w:link w:val="8"/>
    <w:semiHidden/>
    <w:qFormat/>
    <w:locked/>
    <w:uiPriority w:val="99"/>
    <w:rPr>
      <w:rFonts w:ascii="宋体" w:hAnsi="Courier New" w:cs="宋体"/>
      <w:sz w:val="21"/>
      <w:szCs w:val="21"/>
    </w:rPr>
  </w:style>
  <w:style w:type="character" w:customStyle="1" w:styleId="31">
    <w:name w:val="日期 Char"/>
    <w:basedOn w:val="19"/>
    <w:link w:val="9"/>
    <w:qFormat/>
    <w:locked/>
    <w:uiPriority w:val="99"/>
    <w:rPr>
      <w:rFonts w:eastAsia="黑体"/>
      <w:sz w:val="24"/>
      <w:szCs w:val="24"/>
    </w:rPr>
  </w:style>
  <w:style w:type="character" w:customStyle="1" w:styleId="32">
    <w:name w:val="批注框文本 Char"/>
    <w:basedOn w:val="19"/>
    <w:link w:val="10"/>
    <w:semiHidden/>
    <w:qFormat/>
    <w:locked/>
    <w:uiPriority w:val="99"/>
    <w:rPr>
      <w:kern w:val="2"/>
      <w:sz w:val="18"/>
      <w:szCs w:val="18"/>
    </w:rPr>
  </w:style>
  <w:style w:type="character" w:customStyle="1" w:styleId="33">
    <w:name w:val="页脚 Char"/>
    <w:basedOn w:val="19"/>
    <w:link w:val="11"/>
    <w:qFormat/>
    <w:locked/>
    <w:uiPriority w:val="99"/>
    <w:rPr>
      <w:kern w:val="2"/>
      <w:sz w:val="18"/>
      <w:szCs w:val="18"/>
    </w:rPr>
  </w:style>
  <w:style w:type="character" w:customStyle="1" w:styleId="34">
    <w:name w:val="页眉 Char"/>
    <w:basedOn w:val="19"/>
    <w:link w:val="12"/>
    <w:qFormat/>
    <w:locked/>
    <w:uiPriority w:val="99"/>
    <w:rPr>
      <w:kern w:val="2"/>
      <w:sz w:val="18"/>
      <w:szCs w:val="18"/>
    </w:rPr>
  </w:style>
  <w:style w:type="character" w:customStyle="1" w:styleId="35">
    <w:name w:val="HTML 预设格式 Char"/>
    <w:basedOn w:val="19"/>
    <w:link w:val="15"/>
    <w:qFormat/>
    <w:locked/>
    <w:uiPriority w:val="99"/>
    <w:rPr>
      <w:rFonts w:ascii="宋体" w:eastAsia="宋体" w:cs="宋体"/>
      <w:sz w:val="24"/>
      <w:szCs w:val="24"/>
    </w:rPr>
  </w:style>
  <w:style w:type="paragraph" w:customStyle="1" w:styleId="36">
    <w:name w:val="此正文"/>
    <w:basedOn w:val="1"/>
    <w:qFormat/>
    <w:uiPriority w:val="99"/>
    <w:pPr>
      <w:spacing w:line="360" w:lineRule="auto"/>
      <w:ind w:firstLine="200" w:firstLineChars="200"/>
    </w:pPr>
    <w:rPr>
      <w:sz w:val="24"/>
      <w:szCs w:val="24"/>
    </w:rPr>
  </w:style>
  <w:style w:type="paragraph" w:customStyle="1" w:styleId="37">
    <w:name w:val="Char Char Char Char Char Char Char"/>
    <w:basedOn w:val="1"/>
    <w:semiHidden/>
    <w:qFormat/>
    <w:uiPriority w:val="99"/>
    <w:rPr>
      <w:rFonts w:ascii="Tahoma" w:hAnsi="Tahoma" w:cs="Tahoma"/>
      <w:sz w:val="24"/>
      <w:szCs w:val="24"/>
    </w:rPr>
  </w:style>
  <w:style w:type="paragraph" w:customStyle="1" w:styleId="38">
    <w:name w:val="Char Char Char Char"/>
    <w:basedOn w:val="4"/>
    <w:qFormat/>
    <w:uiPriority w:val="99"/>
    <w:pPr>
      <w:adjustRightInd w:val="0"/>
      <w:snapToGrid w:val="0"/>
      <w:spacing w:line="360" w:lineRule="auto"/>
    </w:pPr>
    <w:rPr>
      <w:rFonts w:ascii="Tahoma" w:hAnsi="Tahoma" w:cs="Tahoma"/>
      <w:sz w:val="24"/>
      <w:szCs w:val="24"/>
    </w:rPr>
  </w:style>
  <w:style w:type="paragraph" w:customStyle="1" w:styleId="39">
    <w:name w:val="Char1"/>
    <w:basedOn w:val="1"/>
    <w:qFormat/>
    <w:uiPriority w:val="99"/>
    <w:rPr>
      <w:rFonts w:ascii="Tahoma" w:hAnsi="Tahoma" w:cs="Tahoma"/>
      <w:sz w:val="24"/>
      <w:szCs w:val="24"/>
    </w:rPr>
  </w:style>
  <w:style w:type="paragraph" w:customStyle="1" w:styleId="40">
    <w:name w:val="reader-word-layer"/>
    <w:basedOn w:val="1"/>
    <w:qFormat/>
    <w:uiPriority w:val="99"/>
    <w:pPr>
      <w:widowControl/>
      <w:spacing w:before="100" w:beforeAutospacing="1" w:after="100" w:afterAutospacing="1"/>
      <w:jc w:val="left"/>
    </w:pPr>
    <w:rPr>
      <w:rFonts w:ascii="宋体" w:hAnsi="宋体" w:cs="宋体"/>
      <w:kern w:val="0"/>
      <w:sz w:val="24"/>
      <w:szCs w:val="24"/>
    </w:rPr>
  </w:style>
  <w:style w:type="paragraph" w:customStyle="1" w:styleId="41">
    <w:name w:val="列出段落1"/>
    <w:basedOn w:val="1"/>
    <w:qFormat/>
    <w:uiPriority w:val="99"/>
    <w:pPr>
      <w:tabs>
        <w:tab w:val="left" w:pos="680"/>
      </w:tabs>
      <w:snapToGrid w:val="0"/>
      <w:spacing w:line="400" w:lineRule="exact"/>
    </w:pPr>
    <w:rPr>
      <w:rFonts w:ascii="宋体" w:hAnsi="宋体" w:cs="宋体"/>
      <w:spacing w:val="-2"/>
      <w:sz w:val="24"/>
      <w:szCs w:val="24"/>
    </w:rPr>
  </w:style>
  <w:style w:type="paragraph" w:styleId="42">
    <w:name w:val="List Paragraph"/>
    <w:basedOn w:val="1"/>
    <w:qFormat/>
    <w:uiPriority w:val="99"/>
    <w:pPr>
      <w:ind w:firstLine="420" w:firstLineChars="200"/>
    </w:pPr>
  </w:style>
  <w:style w:type="paragraph" w:customStyle="1" w:styleId="43">
    <w:name w:val="普通正文"/>
    <w:basedOn w:val="1"/>
    <w:qFormat/>
    <w:uiPriority w:val="0"/>
    <w:pPr>
      <w:adjustRightInd w:val="0"/>
      <w:spacing w:before="120" w:after="120" w:line="360" w:lineRule="auto"/>
      <w:ind w:firstLine="480"/>
      <w:jc w:val="left"/>
    </w:pPr>
    <w:rPr>
      <w:rFonts w:ascii="Arial" w:hAnsi="Arial"/>
      <w:kern w:val="0"/>
      <w:sz w:val="24"/>
    </w:r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footer" Target="footer4.xml"/><Relationship Id="rId5" Type="http://schemas.openxmlformats.org/officeDocument/2006/relationships/footer" Target="footer3.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微软中国</Company>
  <Pages>26</Pages>
  <Words>2081</Words>
  <Characters>11867</Characters>
  <Lines>98</Lines>
  <Paragraphs>27</Paragraphs>
  <TotalTime>2</TotalTime>
  <ScaleCrop>false</ScaleCrop>
  <LinksUpToDate>false</LinksUpToDate>
  <CharactersWithSpaces>13921</CharactersWithSpaces>
  <Application>WPS Office_11.1.0.9912_F1E327BC-269C-435d-A152-05C5408002CA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2020-08-06T07:41:00Z</dcterms:created>
  <dc:creator>USER</dc:creator>
  <cp:lastModifiedBy>WPS_1569853917</cp:lastModifiedBy>
  <cp:lastPrinted>2020-08-03T02:22:00Z</cp:lastPrinted>
  <dcterms:modified xsi:type="dcterms:W3CDTF">2020-08-15T12:52:46Z</dcterms:modified>
  <dc:title>招  标  文  件</dc:title>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2052-11.1.0.9912</vt:lpwstr>
  </property>
</Properties>
</file>