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72"/>
        </w:rPr>
      </w:pPr>
      <w:r>
        <w:rPr>
          <w:rFonts w:hint="eastAsia" w:ascii="宋体" w:hAnsi="宋体"/>
          <w:b/>
          <w:sz w:val="72"/>
        </w:rPr>
        <w:t>公开招标采购文件</w:t>
      </w:r>
    </w:p>
    <w:p>
      <w:pPr>
        <w:rPr>
          <w:rFonts w:eastAsia="黑体"/>
          <w:sz w:val="32"/>
        </w:rPr>
      </w:pPr>
    </w:p>
    <w:p>
      <w:pPr>
        <w:ind w:firstLine="1744" w:firstLineChars="545"/>
        <w:rPr>
          <w:rFonts w:ascii="宋体"/>
          <w:sz w:val="32"/>
        </w:rPr>
      </w:pPr>
    </w:p>
    <w:p>
      <w:pPr>
        <w:spacing w:line="300" w:lineRule="auto"/>
        <w:ind w:firstLine="1285" w:firstLineChars="400"/>
        <w:rPr>
          <w:rFonts w:ascii="宋体" w:hAnsi="宋体"/>
          <w:b/>
          <w:sz w:val="32"/>
          <w:szCs w:val="32"/>
        </w:rPr>
      </w:pPr>
      <w:r>
        <w:rPr>
          <w:rFonts w:hint="eastAsia" w:ascii="宋体" w:hAnsi="宋体"/>
          <w:b/>
          <w:sz w:val="32"/>
          <w:szCs w:val="32"/>
        </w:rPr>
        <w:t>项目名称：南通大学启东校区二期食堂餐饮</w:t>
      </w:r>
      <w:r>
        <w:rPr>
          <w:rFonts w:ascii="宋体" w:hAnsi="宋体"/>
          <w:b/>
          <w:sz w:val="32"/>
          <w:szCs w:val="32"/>
        </w:rPr>
        <w:t>服务</w:t>
      </w:r>
    </w:p>
    <w:p>
      <w:pPr>
        <w:ind w:firstLine="1285" w:firstLineChars="400"/>
        <w:rPr>
          <w:rFonts w:ascii="宋体" w:hAnsi="宋体"/>
          <w:b/>
          <w:sz w:val="32"/>
          <w:szCs w:val="32"/>
        </w:rPr>
      </w:pPr>
      <w:r>
        <w:rPr>
          <w:rFonts w:hint="eastAsia" w:ascii="宋体" w:hAnsi="宋体"/>
          <w:b/>
          <w:sz w:val="32"/>
          <w:szCs w:val="32"/>
        </w:rPr>
        <w:t>项目编号：TDFW(GK)</w:t>
      </w:r>
      <w:r>
        <w:rPr>
          <w:rFonts w:ascii="宋体" w:hAnsi="宋体"/>
          <w:b/>
          <w:sz w:val="32"/>
          <w:szCs w:val="32"/>
        </w:rPr>
        <w:t>2021</w:t>
      </w:r>
      <w:r>
        <w:rPr>
          <w:rFonts w:hint="eastAsia" w:ascii="宋体" w:hAnsi="宋体"/>
          <w:b/>
          <w:sz w:val="32"/>
          <w:szCs w:val="32"/>
        </w:rPr>
        <w:t>-</w:t>
      </w:r>
      <w:r>
        <w:rPr>
          <w:rFonts w:ascii="宋体" w:hAnsi="宋体"/>
          <w:b/>
          <w:sz w:val="32"/>
          <w:szCs w:val="32"/>
        </w:rPr>
        <w:t>137</w:t>
      </w: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rPr>
          <w:rFonts w:eastAsia="黑体"/>
          <w:sz w:val="32"/>
        </w:rPr>
      </w:pPr>
    </w:p>
    <w:p>
      <w:pPr>
        <w:jc w:val="center"/>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11"/>
        <w:ind w:left="0" w:leftChars="0"/>
        <w:jc w:val="center"/>
        <w:rPr>
          <w:rFonts w:eastAsia="宋体"/>
          <w:b/>
          <w:sz w:val="32"/>
          <w:szCs w:val="32"/>
        </w:rPr>
      </w:pPr>
      <w:r>
        <w:rPr>
          <w:rFonts w:hint="eastAsia" w:eastAsia="宋体"/>
          <w:b/>
          <w:sz w:val="32"/>
          <w:szCs w:val="32"/>
        </w:rPr>
        <w:t>20</w:t>
      </w:r>
      <w:r>
        <w:rPr>
          <w:rFonts w:eastAsia="宋体"/>
          <w:b/>
          <w:sz w:val="32"/>
          <w:szCs w:val="32"/>
        </w:rPr>
        <w:t>2</w:t>
      </w:r>
      <w:r>
        <w:rPr>
          <w:rFonts w:hint="eastAsia" w:eastAsia="宋体"/>
          <w:b/>
          <w:sz w:val="32"/>
          <w:szCs w:val="32"/>
        </w:rPr>
        <w:t>1</w:t>
      </w:r>
      <w:r>
        <w:rPr>
          <w:rFonts w:eastAsia="宋体"/>
          <w:b/>
          <w:sz w:val="32"/>
          <w:szCs w:val="32"/>
        </w:rPr>
        <w:t>年</w:t>
      </w:r>
      <w:r>
        <w:rPr>
          <w:rFonts w:hint="eastAsia" w:eastAsia="宋体"/>
          <w:b/>
          <w:sz w:val="32"/>
          <w:szCs w:val="32"/>
        </w:rPr>
        <w:t>7</w:t>
      </w:r>
      <w:r>
        <w:rPr>
          <w:rFonts w:eastAsia="宋体"/>
          <w:b/>
          <w:sz w:val="32"/>
          <w:szCs w:val="32"/>
        </w:rPr>
        <w:t>月</w:t>
      </w:r>
    </w:p>
    <w:p>
      <w:pPr>
        <w:spacing w:after="312" w:afterLines="100"/>
        <w:jc w:val="center"/>
        <w:rPr>
          <w:rStyle w:val="23"/>
          <w:rFonts w:eastAsia="黑体"/>
          <w:bCs/>
          <w:color w:val="auto"/>
          <w:sz w:val="48"/>
        </w:rPr>
      </w:pPr>
      <w:r>
        <w:br w:type="page"/>
      </w:r>
      <w:r>
        <w:rPr>
          <w:rStyle w:val="23"/>
          <w:rFonts w:hint="eastAsia" w:eastAsia="黑体"/>
          <w:bCs/>
          <w:color w:val="auto"/>
          <w:sz w:val="48"/>
        </w:rPr>
        <w:t>目录</w:t>
      </w:r>
    </w:p>
    <w:p>
      <w:pPr>
        <w:pStyle w:val="15"/>
        <w:tabs>
          <w:tab w:val="right" w:leader="dot" w:pos="8296"/>
        </w:tabs>
        <w:rPr>
          <w:rFonts w:ascii="Calibri" w:hAnsi="Calibri" w:eastAsia="宋体" w:cs="宋体"/>
          <w:szCs w:val="22"/>
        </w:rPr>
      </w:pPr>
      <w:r>
        <w:rPr>
          <w:rStyle w:val="23"/>
          <w:rFonts w:eastAsia="黑体"/>
          <w:bCs/>
          <w:color w:val="auto"/>
          <w:sz w:val="24"/>
        </w:rPr>
        <w:fldChar w:fldCharType="begin"/>
      </w:r>
      <w:r>
        <w:rPr>
          <w:rStyle w:val="23"/>
          <w:rFonts w:eastAsia="黑体"/>
          <w:bCs/>
          <w:color w:val="auto"/>
          <w:sz w:val="24"/>
        </w:rPr>
        <w:instrText xml:space="preserve"> TOC \o "1-3" \h \z \u </w:instrText>
      </w:r>
      <w:r>
        <w:rPr>
          <w:rStyle w:val="23"/>
          <w:rFonts w:eastAsia="黑体"/>
          <w:bCs/>
          <w:color w:val="auto"/>
          <w:sz w:val="24"/>
        </w:rPr>
        <w:fldChar w:fldCharType="separate"/>
      </w:r>
      <w:r>
        <w:fldChar w:fldCharType="begin"/>
      </w:r>
      <w:r>
        <w:instrText xml:space="preserve"> HYPERLINK \l "_Toc77795154" </w:instrText>
      </w:r>
      <w:r>
        <w:fldChar w:fldCharType="separate"/>
      </w:r>
      <w:r>
        <w:rPr>
          <w:rStyle w:val="24"/>
        </w:rPr>
        <w:t>第一部分 公开招标采购公告</w:t>
      </w:r>
      <w:r>
        <w:tab/>
      </w:r>
      <w:r>
        <w:fldChar w:fldCharType="begin"/>
      </w:r>
      <w:r>
        <w:instrText xml:space="preserve"> PAGEREF _Toc77795154 \h </w:instrText>
      </w:r>
      <w:r>
        <w:fldChar w:fldCharType="separate"/>
      </w:r>
      <w:r>
        <w:t>1</w:t>
      </w:r>
      <w:r>
        <w:fldChar w:fldCharType="end"/>
      </w:r>
      <w:r>
        <w:fldChar w:fldCharType="end"/>
      </w:r>
    </w:p>
    <w:p>
      <w:pPr>
        <w:pStyle w:val="15"/>
        <w:tabs>
          <w:tab w:val="right" w:leader="dot" w:pos="8296"/>
        </w:tabs>
        <w:rPr>
          <w:rFonts w:ascii="Calibri" w:hAnsi="Calibri" w:eastAsia="宋体" w:cs="宋体"/>
          <w:szCs w:val="22"/>
        </w:rPr>
      </w:pPr>
      <w:r>
        <w:fldChar w:fldCharType="begin"/>
      </w:r>
      <w:r>
        <w:instrText xml:space="preserve"> HYPERLINK \l "_Toc77795155" </w:instrText>
      </w:r>
      <w:r>
        <w:fldChar w:fldCharType="separate"/>
      </w:r>
      <w:r>
        <w:rPr>
          <w:rStyle w:val="24"/>
        </w:rPr>
        <w:t>第二部分 投标人须知</w:t>
      </w:r>
      <w:r>
        <w:tab/>
      </w:r>
      <w:r>
        <w:fldChar w:fldCharType="begin"/>
      </w:r>
      <w:r>
        <w:instrText xml:space="preserve"> PAGEREF _Toc77795155 \h </w:instrText>
      </w:r>
      <w:r>
        <w:fldChar w:fldCharType="separate"/>
      </w:r>
      <w:r>
        <w:t>4</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"_Toc77795156" </w:instrText>
      </w:r>
      <w:r>
        <w:fldChar w:fldCharType="separate"/>
      </w:r>
      <w:r>
        <w:rPr>
          <w:rStyle w:val="24"/>
        </w:rPr>
        <w:t>一、招标文件</w:t>
      </w:r>
      <w:r>
        <w:tab/>
      </w:r>
      <w:r>
        <w:fldChar w:fldCharType="begin"/>
      </w:r>
      <w:r>
        <w:instrText xml:space="preserve"> PAGEREF _Toc77795156 \h </w:instrText>
      </w:r>
      <w:r>
        <w:fldChar w:fldCharType="separate"/>
      </w:r>
      <w:r>
        <w:t>4</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"_Toc77795157" </w:instrText>
      </w:r>
      <w:r>
        <w:fldChar w:fldCharType="separate"/>
      </w:r>
      <w:r>
        <w:rPr>
          <w:rStyle w:val="24"/>
        </w:rPr>
        <w:t>二、投标文件</w:t>
      </w:r>
      <w:r>
        <w:tab/>
      </w:r>
      <w:r>
        <w:fldChar w:fldCharType="begin"/>
      </w:r>
      <w:r>
        <w:instrText xml:space="preserve"> PAGEREF _Toc77795157 \h </w:instrText>
      </w:r>
      <w:r>
        <w:fldChar w:fldCharType="separate"/>
      </w:r>
      <w:r>
        <w:t>5</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"_Toc77795158" </w:instrText>
      </w:r>
      <w:r>
        <w:fldChar w:fldCharType="separate"/>
      </w:r>
      <w:r>
        <w:rPr>
          <w:rStyle w:val="24"/>
        </w:rPr>
        <w:t>三、投标细则</w:t>
      </w:r>
      <w:r>
        <w:tab/>
      </w:r>
      <w:r>
        <w:fldChar w:fldCharType="begin"/>
      </w:r>
      <w:r>
        <w:instrText xml:space="preserve"> PAGEREF _Toc77795158 \h </w:instrText>
      </w:r>
      <w:r>
        <w:fldChar w:fldCharType="separate"/>
      </w:r>
      <w:r>
        <w:t>7</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"_Toc77795159" </w:instrText>
      </w:r>
      <w:r>
        <w:fldChar w:fldCharType="separate"/>
      </w:r>
      <w:r>
        <w:rPr>
          <w:rStyle w:val="24"/>
        </w:rPr>
        <w:t>四、评标</w:t>
      </w:r>
      <w:r>
        <w:tab/>
      </w:r>
      <w:r>
        <w:fldChar w:fldCharType="begin"/>
      </w:r>
      <w:r>
        <w:instrText xml:space="preserve"> PAGEREF _Toc77795159 \h </w:instrText>
      </w:r>
      <w:r>
        <w:fldChar w:fldCharType="separate"/>
      </w:r>
      <w:r>
        <w:t>8</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"_Toc77795160" </w:instrText>
      </w:r>
      <w:r>
        <w:fldChar w:fldCharType="separate"/>
      </w:r>
      <w:r>
        <w:rPr>
          <w:rStyle w:val="24"/>
        </w:rPr>
        <w:t>五、评标方法及评分标准</w:t>
      </w:r>
      <w:r>
        <w:tab/>
      </w:r>
      <w:r>
        <w:fldChar w:fldCharType="begin"/>
      </w:r>
      <w:r>
        <w:instrText xml:space="preserve"> PAGEREF _Toc77795160 \h </w:instrText>
      </w:r>
      <w:r>
        <w:fldChar w:fldCharType="separate"/>
      </w:r>
      <w:r>
        <w:t>9</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"_Toc77795161" </w:instrText>
      </w:r>
      <w:r>
        <w:fldChar w:fldCharType="separate"/>
      </w:r>
      <w:r>
        <w:rPr>
          <w:rStyle w:val="24"/>
        </w:rPr>
        <w:t>六、定标</w:t>
      </w:r>
      <w:r>
        <w:tab/>
      </w:r>
      <w:r>
        <w:fldChar w:fldCharType="begin"/>
      </w:r>
      <w:r>
        <w:instrText xml:space="preserve"> PAGEREF _Toc77795161 \h </w:instrText>
      </w:r>
      <w:r>
        <w:fldChar w:fldCharType="separate"/>
      </w:r>
      <w:r>
        <w:t>12</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"_Toc77795162" </w:instrText>
      </w:r>
      <w:r>
        <w:fldChar w:fldCharType="separate"/>
      </w:r>
      <w:r>
        <w:rPr>
          <w:rStyle w:val="24"/>
        </w:rPr>
        <w:t>七、合同的签订</w:t>
      </w:r>
      <w:r>
        <w:tab/>
      </w:r>
      <w:r>
        <w:fldChar w:fldCharType="begin"/>
      </w:r>
      <w:r>
        <w:instrText xml:space="preserve"> PAGEREF _Toc77795162 \h </w:instrText>
      </w:r>
      <w:r>
        <w:fldChar w:fldCharType="separate"/>
      </w:r>
      <w:r>
        <w:t>13</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"_Toc77795163" </w:instrText>
      </w:r>
      <w:r>
        <w:fldChar w:fldCharType="separate"/>
      </w:r>
      <w:r>
        <w:rPr>
          <w:rStyle w:val="24"/>
        </w:rPr>
        <w:t>八、其他</w:t>
      </w:r>
      <w:r>
        <w:tab/>
      </w:r>
      <w:r>
        <w:fldChar w:fldCharType="begin"/>
      </w:r>
      <w:r>
        <w:instrText xml:space="preserve"> PAGEREF _Toc77795163 \h </w:instrText>
      </w:r>
      <w:r>
        <w:fldChar w:fldCharType="separate"/>
      </w:r>
      <w:r>
        <w:t>14</w:t>
      </w:r>
      <w:r>
        <w:fldChar w:fldCharType="end"/>
      </w:r>
      <w:r>
        <w:fldChar w:fldCharType="end"/>
      </w:r>
    </w:p>
    <w:p>
      <w:pPr>
        <w:pStyle w:val="15"/>
        <w:tabs>
          <w:tab w:val="right" w:leader="dot" w:pos="8296"/>
        </w:tabs>
        <w:rPr>
          <w:rFonts w:ascii="Calibri" w:hAnsi="Calibri" w:eastAsia="宋体" w:cs="宋体"/>
          <w:szCs w:val="22"/>
        </w:rPr>
      </w:pPr>
      <w:r>
        <w:fldChar w:fldCharType="begin"/>
      </w:r>
      <w:r>
        <w:instrText xml:space="preserve"> HYPERLINK \l "_Toc77795164" </w:instrText>
      </w:r>
      <w:r>
        <w:fldChar w:fldCharType="separate"/>
      </w:r>
      <w:r>
        <w:rPr>
          <w:rStyle w:val="24"/>
        </w:rPr>
        <w:t>第三部分 招标项目要求及相关说明</w:t>
      </w:r>
      <w:r>
        <w:tab/>
      </w:r>
      <w:r>
        <w:fldChar w:fldCharType="begin"/>
      </w:r>
      <w:r>
        <w:instrText xml:space="preserve"> PAGEREF _Toc77795164 \h </w:instrText>
      </w:r>
      <w:r>
        <w:fldChar w:fldCharType="separate"/>
      </w:r>
      <w:r>
        <w:t>15</w:t>
      </w:r>
      <w:r>
        <w:fldChar w:fldCharType="end"/>
      </w:r>
      <w:r>
        <w:fldChar w:fldCharType="end"/>
      </w:r>
    </w:p>
    <w:p>
      <w:pPr>
        <w:pStyle w:val="15"/>
        <w:tabs>
          <w:tab w:val="right" w:leader="dot" w:pos="8296"/>
        </w:tabs>
        <w:rPr>
          <w:rFonts w:ascii="Calibri" w:hAnsi="Calibri" w:eastAsia="宋体" w:cs="宋体"/>
          <w:szCs w:val="22"/>
        </w:rPr>
      </w:pPr>
      <w:r>
        <w:fldChar w:fldCharType="begin"/>
      </w:r>
      <w:r>
        <w:instrText xml:space="preserve"> HYPERLINK \l "_Toc77795165" </w:instrText>
      </w:r>
      <w:r>
        <w:fldChar w:fldCharType="separate"/>
      </w:r>
      <w:r>
        <w:rPr>
          <w:rStyle w:val="24"/>
        </w:rPr>
        <w:t>第四部分 附件</w:t>
      </w:r>
      <w:r>
        <w:tab/>
      </w:r>
      <w:r>
        <w:fldChar w:fldCharType="begin"/>
      </w:r>
      <w:r>
        <w:instrText xml:space="preserve"> PAGEREF _Toc77795165 \h </w:instrText>
      </w:r>
      <w:r>
        <w:fldChar w:fldCharType="separate"/>
      </w:r>
      <w:r>
        <w:t>20</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"_Toc77795166" </w:instrText>
      </w:r>
      <w:r>
        <w:fldChar w:fldCharType="separate"/>
      </w:r>
      <w:r>
        <w:rPr>
          <w:rStyle w:val="24"/>
        </w:rPr>
        <w:t>附件1：投标函</w:t>
      </w:r>
      <w:r>
        <w:tab/>
      </w:r>
      <w:r>
        <w:fldChar w:fldCharType="begin"/>
      </w:r>
      <w:r>
        <w:instrText xml:space="preserve"> PAGEREF _Toc77795166 \h </w:instrText>
      </w:r>
      <w:r>
        <w:fldChar w:fldCharType="separate"/>
      </w:r>
      <w:r>
        <w:t>21</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"_Toc77795167" </w:instrText>
      </w:r>
      <w:r>
        <w:fldChar w:fldCharType="separate"/>
      </w:r>
      <w:r>
        <w:rPr>
          <w:rStyle w:val="24"/>
        </w:rPr>
        <w:t>附件2：法定代表人资格证明</w:t>
      </w:r>
      <w:r>
        <w:tab/>
      </w:r>
      <w:r>
        <w:fldChar w:fldCharType="begin"/>
      </w:r>
      <w:r>
        <w:instrText xml:space="preserve"> PAGEREF _Toc77795167 \h </w:instrText>
      </w:r>
      <w:r>
        <w:fldChar w:fldCharType="separate"/>
      </w:r>
      <w:r>
        <w:t>22</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"_Toc77795168" </w:instrText>
      </w:r>
      <w:r>
        <w:fldChar w:fldCharType="separate"/>
      </w:r>
      <w:r>
        <w:rPr>
          <w:rStyle w:val="24"/>
        </w:rPr>
        <w:t>附件3：法定代表人授权书</w:t>
      </w:r>
      <w:r>
        <w:tab/>
      </w:r>
      <w:r>
        <w:fldChar w:fldCharType="begin"/>
      </w:r>
      <w:r>
        <w:instrText xml:space="preserve"> PAGEREF _Toc77795168 \h </w:instrText>
      </w:r>
      <w:r>
        <w:fldChar w:fldCharType="separate"/>
      </w:r>
      <w:r>
        <w:t>22</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"_Toc77795169" </w:instrText>
      </w:r>
      <w:r>
        <w:fldChar w:fldCharType="separate"/>
      </w:r>
      <w:r>
        <w:rPr>
          <w:rStyle w:val="24"/>
        </w:rPr>
        <w:t>附件4：同类经营业绩汇总表</w:t>
      </w:r>
      <w:r>
        <w:tab/>
      </w:r>
      <w:r>
        <w:fldChar w:fldCharType="begin"/>
      </w:r>
      <w:r>
        <w:instrText xml:space="preserve"> PAGEREF _Toc77795169 \h </w:instrText>
      </w:r>
      <w:r>
        <w:fldChar w:fldCharType="separate"/>
      </w:r>
      <w:r>
        <w:t>24</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"_Toc77795170" </w:instrText>
      </w:r>
      <w:r>
        <w:fldChar w:fldCharType="separate"/>
      </w:r>
      <w:r>
        <w:rPr>
          <w:rStyle w:val="24"/>
        </w:rPr>
        <w:t>附件5：年度经营业绩证明</w:t>
      </w:r>
      <w:r>
        <w:tab/>
      </w:r>
      <w:r>
        <w:fldChar w:fldCharType="begin"/>
      </w:r>
      <w:r>
        <w:instrText xml:space="preserve"> PAGEREF _Toc77795170 \h </w:instrText>
      </w:r>
      <w:r>
        <w:fldChar w:fldCharType="separate"/>
      </w:r>
      <w:r>
        <w:t>25</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"_Toc77795171" </w:instrText>
      </w:r>
      <w:r>
        <w:fldChar w:fldCharType="separate"/>
      </w:r>
      <w:r>
        <w:rPr>
          <w:rStyle w:val="24"/>
        </w:rPr>
        <w:t>附件6：服务团队成员情况汇总表</w:t>
      </w:r>
      <w:r>
        <w:tab/>
      </w:r>
      <w:r>
        <w:fldChar w:fldCharType="begin"/>
      </w:r>
      <w:r>
        <w:instrText xml:space="preserve"> PAGEREF _Toc77795171 \h </w:instrText>
      </w:r>
      <w:r>
        <w:fldChar w:fldCharType="separate"/>
      </w:r>
      <w:r>
        <w:t>26</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"_Toc77795172" </w:instrText>
      </w:r>
      <w:r>
        <w:fldChar w:fldCharType="separate"/>
      </w:r>
      <w:r>
        <w:rPr>
          <w:rStyle w:val="24"/>
        </w:rPr>
        <w:t>附件7：食堂环境优化方案</w:t>
      </w:r>
      <w:r>
        <w:tab/>
      </w:r>
      <w:r>
        <w:fldChar w:fldCharType="begin"/>
      </w:r>
      <w:r>
        <w:instrText xml:space="preserve"> PAGEREF _Toc77795172 \h </w:instrText>
      </w:r>
      <w:r>
        <w:fldChar w:fldCharType="separate"/>
      </w:r>
      <w:r>
        <w:t>27</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"_Toc77795173" </w:instrText>
      </w:r>
      <w:r>
        <w:fldChar w:fldCharType="separate"/>
      </w:r>
      <w:r>
        <w:rPr>
          <w:rStyle w:val="24"/>
        </w:rPr>
        <w:t>附件8：智慧食堂优化方案</w:t>
      </w:r>
      <w:r>
        <w:tab/>
      </w:r>
      <w:r>
        <w:fldChar w:fldCharType="begin"/>
      </w:r>
      <w:r>
        <w:instrText xml:space="preserve"> PAGEREF _Toc77795173 \h </w:instrText>
      </w:r>
      <w:r>
        <w:fldChar w:fldCharType="separate"/>
      </w:r>
      <w:r>
        <w:t>28</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"_Toc77795174" </w:instrText>
      </w:r>
      <w:r>
        <w:fldChar w:fldCharType="separate"/>
      </w:r>
      <w:r>
        <w:rPr>
          <w:rStyle w:val="24"/>
        </w:rPr>
        <w:t>附件9：启东校区二期食堂一楼二楼设备清单</w:t>
      </w:r>
      <w:r>
        <w:tab/>
      </w:r>
      <w:r>
        <w:fldChar w:fldCharType="begin"/>
      </w:r>
      <w:r>
        <w:instrText xml:space="preserve"> PAGEREF _Toc77795174 \h </w:instrText>
      </w:r>
      <w:r>
        <w:fldChar w:fldCharType="separate"/>
      </w:r>
      <w:r>
        <w:t>29</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"_Toc77795175" </w:instrText>
      </w:r>
      <w:r>
        <w:fldChar w:fldCharType="separate"/>
      </w:r>
      <w:r>
        <w:rPr>
          <w:rStyle w:val="24"/>
        </w:rPr>
        <w:t>附件10：启东校区二期食堂一楼二楼平面图</w:t>
      </w:r>
      <w:r>
        <w:tab/>
      </w:r>
      <w:r>
        <w:fldChar w:fldCharType="begin"/>
      </w:r>
      <w:r>
        <w:instrText xml:space="preserve"> PAGEREF _Toc77795175 \h </w:instrText>
      </w:r>
      <w:r>
        <w:fldChar w:fldCharType="separate"/>
      </w:r>
      <w:r>
        <w:t>29</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"_Toc77795176" </w:instrText>
      </w:r>
      <w:r>
        <w:fldChar w:fldCharType="separate"/>
      </w:r>
      <w:r>
        <w:rPr>
          <w:rStyle w:val="24"/>
        </w:rPr>
        <w:t>附件11：无重大违法记录声明</w:t>
      </w:r>
      <w:r>
        <w:tab/>
      </w:r>
      <w:r>
        <w:fldChar w:fldCharType="begin"/>
      </w:r>
      <w:r>
        <w:instrText xml:space="preserve"> PAGEREF _Toc77795176 \h </w:instrText>
      </w:r>
      <w:r>
        <w:fldChar w:fldCharType="separate"/>
      </w:r>
      <w:r>
        <w:t>30</w:t>
      </w:r>
      <w:r>
        <w:fldChar w:fldCharType="end"/>
      </w:r>
      <w:r>
        <w:fldChar w:fldCharType="end"/>
      </w:r>
    </w:p>
    <w:p>
      <w:pPr>
        <w:pStyle w:val="16"/>
        <w:tabs>
          <w:tab w:val="right" w:leader="dot" w:pos="8296"/>
        </w:tabs>
        <w:rPr>
          <w:rFonts w:ascii="Calibri" w:hAnsi="Calibri" w:eastAsia="宋体" w:cs="宋体"/>
          <w:szCs w:val="22"/>
        </w:rPr>
      </w:pPr>
      <w:r>
        <w:fldChar w:fldCharType="begin"/>
      </w:r>
      <w:r>
        <w:instrText xml:space="preserve"> HYPERLINK \l "_Toc77795177" </w:instrText>
      </w:r>
      <w:r>
        <w:fldChar w:fldCharType="separate"/>
      </w:r>
      <w:r>
        <w:rPr>
          <w:rStyle w:val="24"/>
        </w:rPr>
        <w:t>附件12：诚信承诺书</w:t>
      </w:r>
      <w:r>
        <w:tab/>
      </w:r>
      <w:r>
        <w:fldChar w:fldCharType="begin"/>
      </w:r>
      <w:r>
        <w:instrText xml:space="preserve"> PAGEREF _Toc77795177 \h </w:instrText>
      </w:r>
      <w:r>
        <w:fldChar w:fldCharType="separate"/>
      </w:r>
      <w:r>
        <w:t>31</w:t>
      </w:r>
      <w:r>
        <w:fldChar w:fldCharType="end"/>
      </w:r>
      <w:r>
        <w:fldChar w:fldCharType="end"/>
      </w:r>
    </w:p>
    <w:p>
      <w:pPr>
        <w:spacing w:after="312" w:afterLines="100" w:line="500" w:lineRule="exact"/>
        <w:jc w:val="center"/>
        <w:rPr>
          <w:rStyle w:val="23"/>
          <w:rFonts w:eastAsia="黑体"/>
          <w:bCs/>
          <w:color w:val="auto"/>
          <w:sz w:val="48"/>
        </w:rPr>
      </w:pPr>
      <w:r>
        <w:rPr>
          <w:rStyle w:val="23"/>
          <w:rFonts w:eastAsia="黑体"/>
          <w:bCs/>
          <w:color w:val="auto"/>
          <w:sz w:val="24"/>
        </w:rPr>
        <w:fldChar w:fldCharType="end"/>
      </w:r>
    </w:p>
    <w:p>
      <w:pPr>
        <w:pStyle w:val="2"/>
        <w:jc w:val="center"/>
        <w:sectPr>
          <w:footerReference r:id="rId3" w:type="default"/>
          <w:pgSz w:w="11906" w:h="16838"/>
          <w:pgMar w:top="1440" w:right="1800" w:bottom="1440" w:left="1800" w:header="851" w:footer="992" w:gutter="0"/>
          <w:cols w:space="425" w:num="1"/>
          <w:docGrid w:type="lines" w:linePitch="312" w:charSpace="0"/>
        </w:sectPr>
      </w:pPr>
      <w:r>
        <w:br w:type="page"/>
      </w:r>
    </w:p>
    <w:p>
      <w:pPr>
        <w:pStyle w:val="2"/>
        <w:jc w:val="center"/>
        <w:rPr>
          <w:rFonts w:ascii="黑体" w:eastAsia="黑体"/>
        </w:rPr>
      </w:pPr>
      <w:bookmarkStart w:id="0" w:name="_Toc77795154"/>
      <w:r>
        <w:rPr>
          <w:rFonts w:hint="eastAsia"/>
        </w:rPr>
        <w:t>第一部分 公开招标采购公告</w:t>
      </w:r>
      <w:bookmarkEnd w:id="0"/>
    </w:p>
    <w:p>
      <w:pPr>
        <w:spacing w:line="360" w:lineRule="auto"/>
        <w:ind w:firstLine="496" w:firstLineChars="200"/>
        <w:rPr>
          <w:rFonts w:ascii="宋体"/>
          <w:spacing w:val="4"/>
          <w:sz w:val="24"/>
        </w:rPr>
      </w:pPr>
      <w:r>
        <w:rPr>
          <w:rFonts w:hint="eastAsia" w:ascii="宋体" w:hAnsi="宋体"/>
          <w:spacing w:val="4"/>
          <w:sz w:val="24"/>
        </w:rPr>
        <w:t>南通大学拟采取</w:t>
      </w:r>
      <w:r>
        <w:rPr>
          <w:rFonts w:hint="eastAsia" w:ascii="宋体" w:hAnsi="宋体"/>
          <w:b/>
          <w:spacing w:val="4"/>
          <w:sz w:val="24"/>
        </w:rPr>
        <w:t>公开招标</w:t>
      </w:r>
      <w:r>
        <w:rPr>
          <w:rFonts w:hint="eastAsia" w:ascii="宋体" w:hAnsi="宋体"/>
          <w:spacing w:val="4"/>
          <w:sz w:val="24"/>
        </w:rPr>
        <w:t>方式确定</w:t>
      </w:r>
      <w:r>
        <w:rPr>
          <w:rFonts w:hint="eastAsia" w:ascii="宋体" w:hAnsi="宋体"/>
          <w:b/>
          <w:spacing w:val="4"/>
          <w:sz w:val="24"/>
        </w:rPr>
        <w:t>南通大学启东校区二期食堂餐饮服务</w:t>
      </w:r>
      <w:r>
        <w:rPr>
          <w:rFonts w:ascii="宋体" w:hAnsi="宋体"/>
          <w:spacing w:val="4"/>
          <w:sz w:val="24"/>
        </w:rPr>
        <w:t>，现就相关事宜公告如下：</w:t>
      </w:r>
    </w:p>
    <w:p>
      <w:pPr>
        <w:spacing w:line="360" w:lineRule="auto"/>
        <w:ind w:firstLine="498" w:firstLineChars="200"/>
        <w:rPr>
          <w:rFonts w:ascii="宋体"/>
          <w:bCs/>
          <w:spacing w:val="4"/>
          <w:sz w:val="24"/>
        </w:rPr>
      </w:pPr>
      <w:r>
        <w:rPr>
          <w:rFonts w:hint="eastAsia" w:ascii="宋体" w:hAnsi="宋体"/>
          <w:b/>
          <w:spacing w:val="4"/>
          <w:sz w:val="24"/>
        </w:rPr>
        <w:t>一、项目名称：南通大学启东校区二期食堂餐饮服务</w:t>
      </w:r>
    </w:p>
    <w:p>
      <w:pPr>
        <w:ind w:firstLine="498" w:firstLineChars="200"/>
        <w:jc w:val="left"/>
        <w:rPr>
          <w:rFonts w:eastAsia="黑体"/>
          <w:sz w:val="36"/>
          <w:szCs w:val="36"/>
          <w:u w:val="single"/>
        </w:rPr>
      </w:pPr>
      <w:r>
        <w:rPr>
          <w:rFonts w:hint="eastAsia" w:ascii="宋体" w:hAnsi="宋体"/>
          <w:b/>
          <w:spacing w:val="4"/>
          <w:sz w:val="24"/>
        </w:rPr>
        <w:t>二、项目编号：TDFW(GK)</w:t>
      </w:r>
      <w:r>
        <w:rPr>
          <w:rFonts w:ascii="宋体" w:hAnsi="宋体"/>
          <w:b/>
          <w:spacing w:val="4"/>
          <w:sz w:val="24"/>
        </w:rPr>
        <w:t>2021</w:t>
      </w:r>
      <w:r>
        <w:rPr>
          <w:rFonts w:hint="eastAsia" w:ascii="宋体" w:hAnsi="宋体"/>
          <w:b/>
          <w:spacing w:val="4"/>
          <w:sz w:val="24"/>
        </w:rPr>
        <w:t>-</w:t>
      </w:r>
      <w:r>
        <w:rPr>
          <w:rFonts w:ascii="宋体" w:hAnsi="宋体"/>
          <w:b/>
          <w:spacing w:val="4"/>
          <w:sz w:val="24"/>
        </w:rPr>
        <w:t>137</w:t>
      </w:r>
    </w:p>
    <w:p>
      <w:pPr>
        <w:spacing w:line="360" w:lineRule="auto"/>
        <w:ind w:firstLine="498" w:firstLineChars="200"/>
        <w:rPr>
          <w:rFonts w:ascii="宋体" w:hAnsi="宋体"/>
          <w:b/>
          <w:spacing w:val="4"/>
          <w:sz w:val="24"/>
        </w:rPr>
      </w:pPr>
      <w:r>
        <w:rPr>
          <w:rFonts w:hint="eastAsia" w:ascii="宋体" w:hAnsi="宋体"/>
          <w:b/>
          <w:spacing w:val="4"/>
          <w:sz w:val="24"/>
        </w:rPr>
        <w:t>三、项目概况：</w:t>
      </w:r>
    </w:p>
    <w:p>
      <w:pPr>
        <w:spacing w:line="360" w:lineRule="auto"/>
        <w:ind w:firstLine="498" w:firstLineChars="200"/>
        <w:rPr>
          <w:rFonts w:ascii="宋体" w:hAnsi="宋体"/>
          <w:b/>
          <w:spacing w:val="4"/>
          <w:sz w:val="24"/>
        </w:rPr>
      </w:pPr>
      <w:r>
        <w:rPr>
          <w:rFonts w:hint="eastAsia" w:ascii="宋体" w:hAnsi="宋体"/>
          <w:b/>
          <w:spacing w:val="4"/>
          <w:sz w:val="24"/>
        </w:rPr>
        <w:t>标段一：南通大学启东校区二期食堂一楼</w:t>
      </w:r>
    </w:p>
    <w:p>
      <w:pPr>
        <w:spacing w:line="360" w:lineRule="auto"/>
        <w:ind w:firstLine="498" w:firstLineChars="200"/>
        <w:rPr>
          <w:rFonts w:ascii="宋体" w:hAnsi="宋体"/>
          <w:b/>
          <w:bCs/>
          <w:spacing w:val="4"/>
          <w:sz w:val="24"/>
        </w:rPr>
      </w:pPr>
      <w:r>
        <w:rPr>
          <w:rFonts w:hint="eastAsia" w:ascii="宋体" w:hAnsi="宋体"/>
          <w:b/>
          <w:bCs/>
          <w:spacing w:val="4"/>
          <w:sz w:val="24"/>
        </w:rPr>
        <w:t>标段二：南通大学启东校区二期食堂二楼</w:t>
      </w:r>
    </w:p>
    <w:p>
      <w:pPr>
        <w:spacing w:line="360" w:lineRule="auto"/>
        <w:ind w:firstLine="496" w:firstLineChars="200"/>
        <w:rPr>
          <w:rFonts w:ascii="宋体"/>
          <w:spacing w:val="4"/>
          <w:sz w:val="24"/>
        </w:rPr>
      </w:pPr>
      <w:r>
        <w:rPr>
          <w:rFonts w:hint="eastAsia" w:ascii="宋体" w:hAnsi="宋体"/>
          <w:spacing w:val="4"/>
          <w:sz w:val="24"/>
        </w:rPr>
        <w:t>详见本招标文件第三部分“招标项目要求及相关说明”。</w:t>
      </w:r>
    </w:p>
    <w:p>
      <w:pPr>
        <w:spacing w:line="360" w:lineRule="auto"/>
        <w:ind w:firstLine="498" w:firstLineChars="200"/>
        <w:rPr>
          <w:rFonts w:ascii="宋体" w:hAnsi="宋体"/>
          <w:b/>
          <w:spacing w:val="4"/>
          <w:sz w:val="24"/>
        </w:rPr>
      </w:pPr>
      <w:r>
        <w:rPr>
          <w:rFonts w:hint="eastAsia" w:ascii="宋体" w:hAnsi="宋体"/>
          <w:b/>
          <w:spacing w:val="4"/>
          <w:sz w:val="24"/>
        </w:rPr>
        <w:t>四、项目预算：本项目采购预算为零</w:t>
      </w:r>
    </w:p>
    <w:p>
      <w:pPr>
        <w:spacing w:line="360" w:lineRule="auto"/>
        <w:ind w:firstLine="498" w:firstLineChars="200"/>
        <w:rPr>
          <w:rFonts w:ascii="宋体"/>
          <w:b/>
          <w:spacing w:val="4"/>
          <w:sz w:val="24"/>
        </w:rPr>
      </w:pPr>
      <w:r>
        <w:rPr>
          <w:rFonts w:hint="eastAsia" w:ascii="宋体" w:hAnsi="宋体"/>
          <w:b/>
          <w:spacing w:val="4"/>
          <w:sz w:val="24"/>
        </w:rPr>
        <w:t>五、合格的投标人</w:t>
      </w:r>
    </w:p>
    <w:p>
      <w:pPr>
        <w:spacing w:line="360" w:lineRule="auto"/>
        <w:ind w:firstLine="470" w:firstLineChars="196"/>
        <w:rPr>
          <w:rFonts w:ascii="宋体" w:hAnsi="宋体" w:cs="宋体"/>
          <w:kern w:val="0"/>
          <w:sz w:val="24"/>
        </w:rPr>
      </w:pPr>
      <w:r>
        <w:rPr>
          <w:rFonts w:hint="eastAsia" w:ascii="宋体" w:hAnsi="宋体" w:cs="宋体"/>
          <w:kern w:val="0"/>
          <w:sz w:val="24"/>
        </w:rPr>
        <w:t>参加本次招标活动的投标人除应当符合《中华人民共和国政府采购法》第二十二条的规定外，还必须具备以下条件：</w:t>
      </w:r>
    </w:p>
    <w:p>
      <w:pPr>
        <w:spacing w:line="360" w:lineRule="auto"/>
        <w:ind w:firstLine="470" w:firstLineChars="196"/>
        <w:rPr>
          <w:rFonts w:ascii="宋体" w:hAnsi="宋体" w:cs="宋体"/>
          <w:kern w:val="0"/>
          <w:sz w:val="24"/>
        </w:rPr>
      </w:pPr>
      <w:r>
        <w:rPr>
          <w:rFonts w:hint="eastAsia" w:ascii="宋体" w:hAnsi="宋体" w:cs="宋体"/>
          <w:kern w:val="0"/>
          <w:sz w:val="24"/>
        </w:rPr>
        <w:t>1、中国境内合法注册的具有餐饮经营资质的企业法人；</w:t>
      </w:r>
    </w:p>
    <w:p>
      <w:pPr>
        <w:spacing w:line="360" w:lineRule="auto"/>
        <w:ind w:firstLine="470" w:firstLineChars="196"/>
        <w:rPr>
          <w:rFonts w:ascii="宋体" w:hAnsi="宋体" w:cs="宋体"/>
          <w:kern w:val="0"/>
          <w:sz w:val="24"/>
        </w:rPr>
      </w:pPr>
      <w:r>
        <w:rPr>
          <w:rFonts w:hint="eastAsia" w:ascii="宋体" w:hAnsi="宋体" w:cs="宋体"/>
          <w:kern w:val="0"/>
          <w:sz w:val="24"/>
        </w:rPr>
        <w:t>2、企业营业执照、食品经营许可证；</w:t>
      </w:r>
    </w:p>
    <w:p>
      <w:pPr>
        <w:spacing w:line="360" w:lineRule="auto"/>
        <w:ind w:firstLine="470" w:firstLineChars="196"/>
        <w:rPr>
          <w:rFonts w:ascii="宋体" w:hAnsi="宋体" w:cs="宋体"/>
          <w:kern w:val="0"/>
          <w:sz w:val="24"/>
        </w:rPr>
      </w:pPr>
      <w:r>
        <w:rPr>
          <w:rFonts w:ascii="宋体" w:hAnsi="宋体" w:cs="宋体"/>
          <w:kern w:val="0"/>
          <w:sz w:val="24"/>
        </w:rPr>
        <w:t>3</w:t>
      </w:r>
      <w:r>
        <w:rPr>
          <w:rFonts w:hint="eastAsia" w:ascii="宋体" w:hAnsi="宋体" w:cs="宋体"/>
          <w:kern w:val="0"/>
          <w:sz w:val="24"/>
        </w:rPr>
        <w:t>、投标人不得存在下列情况之一：</w:t>
      </w:r>
    </w:p>
    <w:p>
      <w:pPr>
        <w:spacing w:line="360" w:lineRule="auto"/>
        <w:ind w:firstLine="470" w:firstLineChars="196"/>
        <w:rPr>
          <w:rFonts w:ascii="宋体" w:hAnsi="宋体" w:cs="宋体"/>
          <w:kern w:val="0"/>
          <w:sz w:val="24"/>
        </w:rPr>
      </w:pPr>
      <w:r>
        <w:rPr>
          <w:rFonts w:hint="eastAsia" w:ascii="宋体" w:hAnsi="宋体" w:cs="宋体"/>
          <w:kern w:val="0"/>
          <w:sz w:val="24"/>
        </w:rPr>
        <w:t>（1）最近三年内被“信用中国（www.creditchina.gov.cn ）”、“中国政府采购网(www.ccgp.gov.cn)”、“信用江苏(www.jscredit.gov.cn)”网站列入失信人执行人、重大税收违法案件当事人名单、政府采购严重违法失信行为记录名单的（处罚期限尚未届满的）；</w:t>
      </w:r>
    </w:p>
    <w:p>
      <w:pPr>
        <w:spacing w:line="360" w:lineRule="auto"/>
        <w:ind w:firstLine="470" w:firstLineChars="196"/>
        <w:rPr>
          <w:rFonts w:ascii="宋体" w:hAnsi="宋体" w:cs="宋体"/>
          <w:kern w:val="0"/>
          <w:sz w:val="24"/>
        </w:rPr>
      </w:pPr>
      <w:r>
        <w:rPr>
          <w:rFonts w:hint="eastAsia" w:ascii="宋体" w:hAnsi="宋体" w:cs="宋体"/>
          <w:kern w:val="0"/>
          <w:sz w:val="24"/>
        </w:rPr>
        <w:t>（2）法定代表人为同一人的两个及两个以上法人，母公司、全资子公司及其控股公司不得在本项目招标中同时参加。</w:t>
      </w:r>
    </w:p>
    <w:p>
      <w:pPr>
        <w:spacing w:line="360" w:lineRule="auto"/>
        <w:ind w:firstLine="470" w:firstLineChars="196"/>
        <w:rPr>
          <w:rFonts w:ascii="宋体" w:hAnsi="宋体" w:cs="宋体"/>
          <w:kern w:val="0"/>
          <w:sz w:val="24"/>
        </w:rPr>
      </w:pPr>
      <w:r>
        <w:rPr>
          <w:rFonts w:ascii="宋体" w:hAnsi="宋体" w:cs="宋体"/>
          <w:kern w:val="0"/>
          <w:sz w:val="24"/>
        </w:rPr>
        <w:t>4</w:t>
      </w:r>
      <w:r>
        <w:rPr>
          <w:rFonts w:hint="eastAsia" w:ascii="宋体" w:hAnsi="宋体" w:cs="宋体"/>
          <w:kern w:val="0"/>
          <w:sz w:val="24"/>
        </w:rPr>
        <w:t>、不接受联合体投标；</w:t>
      </w:r>
    </w:p>
    <w:p>
      <w:pPr>
        <w:spacing w:line="360" w:lineRule="auto"/>
        <w:ind w:firstLine="470" w:firstLineChars="196"/>
        <w:rPr>
          <w:rFonts w:ascii="宋体" w:hAnsi="宋体" w:cs="宋体"/>
          <w:kern w:val="0"/>
          <w:sz w:val="24"/>
        </w:rPr>
      </w:pPr>
      <w:r>
        <w:rPr>
          <w:rFonts w:ascii="宋体" w:hAnsi="宋体" w:cs="宋体"/>
          <w:kern w:val="0"/>
          <w:sz w:val="24"/>
        </w:rPr>
        <w:t>5</w:t>
      </w:r>
      <w:r>
        <w:rPr>
          <w:rFonts w:hint="eastAsia" w:ascii="宋体" w:hAnsi="宋体" w:cs="宋体"/>
          <w:kern w:val="0"/>
          <w:sz w:val="24"/>
        </w:rPr>
        <w:t>、不得转包、分包。</w:t>
      </w:r>
    </w:p>
    <w:p>
      <w:pPr>
        <w:spacing w:line="360" w:lineRule="auto"/>
        <w:ind w:firstLine="498" w:firstLineChars="200"/>
        <w:rPr>
          <w:rFonts w:ascii="宋体" w:cs="宋体"/>
          <w:b/>
          <w:spacing w:val="2"/>
          <w:kern w:val="0"/>
          <w:sz w:val="24"/>
        </w:rPr>
      </w:pPr>
      <w:r>
        <w:rPr>
          <w:rFonts w:hint="eastAsia" w:ascii="宋体" w:hAnsi="宋体"/>
          <w:b/>
          <w:spacing w:val="4"/>
          <w:sz w:val="24"/>
        </w:rPr>
        <w:t>六、投标人资格审查方式：</w:t>
      </w:r>
      <w:r>
        <w:rPr>
          <w:rFonts w:hint="eastAsia" w:ascii="宋体" w:hAnsi="宋体" w:cs="宋体"/>
          <w:spacing w:val="2"/>
          <w:kern w:val="0"/>
          <w:sz w:val="24"/>
        </w:rPr>
        <w:t>资格后审。</w:t>
      </w:r>
    </w:p>
    <w:p>
      <w:pPr>
        <w:spacing w:line="360" w:lineRule="auto"/>
        <w:ind w:firstLine="498" w:firstLineChars="200"/>
        <w:rPr>
          <w:sz w:val="24"/>
        </w:rPr>
      </w:pPr>
      <w:r>
        <w:rPr>
          <w:rFonts w:hint="eastAsia" w:ascii="宋体" w:hAnsi="宋体"/>
          <w:b/>
          <w:spacing w:val="4"/>
          <w:sz w:val="24"/>
        </w:rPr>
        <w:t>七、招标文件获取：</w:t>
      </w:r>
      <w:r>
        <w:rPr>
          <w:rFonts w:hint="eastAsia"/>
          <w:sz w:val="24"/>
        </w:rPr>
        <w:t>投标人自行登录南通大学招投标管理办公室主页</w:t>
      </w:r>
      <w:r>
        <w:fldChar w:fldCharType="begin"/>
      </w:r>
      <w:r>
        <w:instrText xml:space="preserve"> HYPERLINK "http://ztb.ntu.edu.cn/" </w:instrText>
      </w:r>
      <w:r>
        <w:fldChar w:fldCharType="separate"/>
      </w:r>
      <w:r>
        <w:rPr>
          <w:rStyle w:val="24"/>
          <w:rFonts w:hint="eastAsia"/>
          <w:color w:val="auto"/>
          <w:sz w:val="24"/>
        </w:rPr>
        <w:t>ztb</w:t>
      </w:r>
      <w:r>
        <w:rPr>
          <w:rStyle w:val="24"/>
          <w:color w:val="auto"/>
          <w:sz w:val="24"/>
        </w:rPr>
        <w:t>.ntu.edu.cn</w:t>
      </w:r>
      <w:r>
        <w:fldChar w:fldCharType="end"/>
      </w:r>
      <w:r>
        <w:rPr>
          <w:rFonts w:hint="eastAsia"/>
          <w:sz w:val="24"/>
        </w:rPr>
        <w:t>下载。</w:t>
      </w:r>
    </w:p>
    <w:p>
      <w:pPr>
        <w:spacing w:line="440" w:lineRule="exact"/>
        <w:ind w:firstLine="498" w:firstLineChars="200"/>
        <w:rPr>
          <w:rFonts w:ascii="宋体" w:hAnsi="宋体"/>
          <w:spacing w:val="4"/>
          <w:sz w:val="24"/>
        </w:rPr>
      </w:pPr>
      <w:r>
        <w:rPr>
          <w:rFonts w:hint="eastAsia" w:ascii="宋体" w:hAnsi="宋体"/>
          <w:b/>
          <w:spacing w:val="4"/>
          <w:sz w:val="24"/>
        </w:rPr>
        <w:t>八</w:t>
      </w:r>
      <w:r>
        <w:rPr>
          <w:rFonts w:hint="eastAsia" w:ascii="宋体" w:hAnsi="宋体"/>
          <w:b/>
          <w:sz w:val="24"/>
        </w:rPr>
        <w:t>、投标报名：</w:t>
      </w:r>
      <w:r>
        <w:rPr>
          <w:rFonts w:hint="eastAsia" w:ascii="宋体" w:hAnsi="宋体"/>
          <w:spacing w:val="4"/>
          <w:sz w:val="24"/>
        </w:rPr>
        <w:t>潜在投标人如确定参加投标，请务必在南通大学投标人库(https://ztb.ntu.edu.cn/gyszc.htm)注册并完成报名。若未按上述要求操作，将自行承担所产生的风险。</w:t>
      </w:r>
    </w:p>
    <w:p>
      <w:pPr>
        <w:spacing w:line="500" w:lineRule="exact"/>
        <w:ind w:firstLine="482" w:firstLineChars="200"/>
        <w:jc w:val="left"/>
        <w:rPr>
          <w:sz w:val="24"/>
        </w:rPr>
      </w:pPr>
      <w:r>
        <w:rPr>
          <w:rFonts w:hint="eastAsia"/>
          <w:b/>
          <w:sz w:val="24"/>
        </w:rPr>
        <w:t>九、</w:t>
      </w:r>
      <w:r>
        <w:rPr>
          <w:rFonts w:hint="eastAsia" w:ascii="宋体" w:hAnsi="宋体"/>
          <w:b/>
          <w:spacing w:val="4"/>
          <w:sz w:val="24"/>
        </w:rPr>
        <w:t>招标文件</w:t>
      </w:r>
      <w:r>
        <w:rPr>
          <w:rFonts w:hint="eastAsia"/>
          <w:b/>
          <w:sz w:val="24"/>
        </w:rPr>
        <w:t>售价：</w:t>
      </w:r>
      <w:r>
        <w:rPr>
          <w:rFonts w:hint="eastAsia"/>
          <w:sz w:val="24"/>
        </w:rPr>
        <w:t>人民币</w:t>
      </w:r>
      <w:r>
        <w:rPr>
          <w:sz w:val="24"/>
        </w:rPr>
        <w:t>300</w:t>
      </w:r>
      <w:r>
        <w:rPr>
          <w:rFonts w:hint="eastAsia"/>
          <w:sz w:val="24"/>
        </w:rPr>
        <w:t>元（通过</w:t>
      </w:r>
      <w:r>
        <w:rPr>
          <w:rFonts w:hint="eastAsia" w:ascii="宋体" w:hAnsi="宋体"/>
          <w:spacing w:val="4"/>
          <w:sz w:val="24"/>
        </w:rPr>
        <w:t>https://ztb.ntu.edu.cn/gyszc.htm</w:t>
      </w:r>
      <w:r>
        <w:rPr>
          <w:rFonts w:hint="eastAsia"/>
          <w:sz w:val="24"/>
        </w:rPr>
        <w:t>收取，事后不退。）。</w:t>
      </w:r>
    </w:p>
    <w:p>
      <w:pPr>
        <w:spacing w:line="420" w:lineRule="exact"/>
        <w:ind w:firstLine="482" w:firstLineChars="200"/>
        <w:rPr>
          <w:sz w:val="24"/>
        </w:rPr>
      </w:pPr>
      <w:r>
        <w:rPr>
          <w:rFonts w:hint="eastAsia"/>
          <w:b/>
          <w:sz w:val="24"/>
        </w:rPr>
        <w:t>十、投标保证金：</w:t>
      </w:r>
      <w:r>
        <w:rPr>
          <w:rFonts w:hint="eastAsia" w:ascii="宋体" w:hAnsi="宋体"/>
          <w:b/>
          <w:sz w:val="24"/>
        </w:rPr>
        <w:t>人民币</w:t>
      </w:r>
      <w:r>
        <w:rPr>
          <w:rFonts w:ascii="宋体" w:hAnsi="宋体"/>
          <w:b/>
          <w:sz w:val="24"/>
        </w:rPr>
        <w:t>5</w:t>
      </w:r>
      <w:r>
        <w:rPr>
          <w:rFonts w:hint="eastAsia" w:ascii="宋体" w:hAnsi="宋体"/>
          <w:b/>
          <w:sz w:val="24"/>
        </w:rPr>
        <w:t>0000元，投标保证金应当以支票、汇票或本票形式提交，网上银行转账、电汇等方式无效。</w:t>
      </w:r>
      <w:r>
        <w:rPr>
          <w:rFonts w:hint="eastAsia" w:ascii="宋体" w:hAnsi="宋体"/>
          <w:sz w:val="24"/>
        </w:rPr>
        <w:t>（未中标单位交纳的投标保证金在评标结束后等额无息退还，中标单位交纳的投标保证金转为合同履约保证金，在合同期满无任何违约、纠纷等，等额无息退还。）</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南通大学账户信息：</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1、单位名称：南通大学</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2、税务登记号码：12320000466012919A</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3、统一社会信用代码：12320000466012919A</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4、开户银行：中国建设银行股份有限公司南通分行营业部</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5、行号：105306000071</w:t>
      </w:r>
    </w:p>
    <w:p>
      <w:pPr>
        <w:spacing w:line="360" w:lineRule="auto"/>
        <w:ind w:firstLine="488" w:firstLineChars="200"/>
        <w:rPr>
          <w:rFonts w:ascii="宋体" w:cs="宋体"/>
          <w:spacing w:val="2"/>
          <w:kern w:val="0"/>
          <w:sz w:val="24"/>
        </w:rPr>
      </w:pPr>
      <w:r>
        <w:rPr>
          <w:rFonts w:hint="eastAsia" w:ascii="宋体" w:hAnsi="宋体" w:cs="宋体"/>
          <w:spacing w:val="2"/>
          <w:kern w:val="0"/>
          <w:sz w:val="24"/>
        </w:rPr>
        <w:t>6、账号：32001648636059123123</w:t>
      </w:r>
    </w:p>
    <w:p>
      <w:pPr>
        <w:spacing w:line="500" w:lineRule="exact"/>
        <w:ind w:firstLine="488" w:firstLineChars="200"/>
        <w:jc w:val="left"/>
        <w:rPr>
          <w:sz w:val="24"/>
        </w:rPr>
      </w:pPr>
      <w:r>
        <w:rPr>
          <w:rFonts w:hint="eastAsia" w:ascii="宋体" w:hAnsi="宋体" w:cs="宋体"/>
          <w:spacing w:val="2"/>
          <w:kern w:val="0"/>
          <w:sz w:val="24"/>
        </w:rPr>
        <w:t>7、地址：南通市啬园路9号</w:t>
      </w:r>
    </w:p>
    <w:p>
      <w:pPr>
        <w:pStyle w:val="17"/>
        <w:shd w:val="clear" w:color="auto" w:fill="FFFFFF"/>
        <w:spacing w:before="0" w:beforeAutospacing="0" w:after="0" w:afterAutospacing="0" w:line="450" w:lineRule="atLeast"/>
        <w:ind w:firstLine="480"/>
        <w:jc w:val="both"/>
        <w:rPr>
          <w:rFonts w:ascii="黑体" w:hAnsi="黑体"/>
          <w:b/>
          <w:color w:val="auto"/>
          <w:spacing w:val="2"/>
          <w:sz w:val="24"/>
          <w:szCs w:val="24"/>
        </w:rPr>
      </w:pPr>
      <w:r>
        <w:rPr>
          <w:rFonts w:hint="eastAsia"/>
          <w:b/>
          <w:color w:val="auto"/>
          <w:spacing w:val="2"/>
          <w:sz w:val="24"/>
          <w:szCs w:val="24"/>
        </w:rPr>
        <w:t>十一、原在南通大学食堂服务且合同到期、按照学校要求必须按时撤场的投标单位须提供南通大学饮食服务中心撤场证明，</w:t>
      </w:r>
      <w:r>
        <w:rPr>
          <w:b/>
          <w:color w:val="auto"/>
          <w:spacing w:val="2"/>
          <w:sz w:val="24"/>
          <w:szCs w:val="24"/>
        </w:rPr>
        <w:t>在递交标书时出示。</w:t>
      </w:r>
    </w:p>
    <w:p>
      <w:pPr>
        <w:pStyle w:val="17"/>
        <w:shd w:val="clear" w:color="auto" w:fill="FFFFFF"/>
        <w:spacing w:before="0" w:beforeAutospacing="0" w:after="0" w:afterAutospacing="0" w:line="450" w:lineRule="atLeast"/>
        <w:ind w:firstLine="480"/>
        <w:jc w:val="both"/>
        <w:rPr>
          <w:rFonts w:ascii="黑体" w:hAnsi="黑体" w:eastAsia="黑体"/>
          <w:b/>
          <w:color w:val="auto"/>
          <w:spacing w:val="2"/>
          <w:sz w:val="24"/>
          <w:szCs w:val="24"/>
        </w:rPr>
      </w:pPr>
      <w:r>
        <w:rPr>
          <w:rFonts w:hint="eastAsia" w:ascii="黑体" w:hAnsi="黑体"/>
          <w:b/>
          <w:color w:val="auto"/>
          <w:spacing w:val="2"/>
          <w:sz w:val="24"/>
          <w:szCs w:val="24"/>
        </w:rPr>
        <w:t>十二、</w:t>
      </w:r>
      <w:r>
        <w:rPr>
          <w:rFonts w:hint="eastAsia" w:ascii="黑体" w:hAnsi="黑体"/>
          <w:b/>
          <w:color w:val="auto"/>
          <w:spacing w:val="2"/>
          <w:sz w:val="24"/>
        </w:rPr>
        <w:t>现场递交方式</w:t>
      </w:r>
    </w:p>
    <w:p>
      <w:pPr>
        <w:spacing w:line="360" w:lineRule="auto"/>
        <w:ind w:firstLine="498" w:firstLineChars="200"/>
        <w:rPr>
          <w:rFonts w:ascii="宋体" w:hAnsi="宋体"/>
          <w:spacing w:val="4"/>
          <w:sz w:val="24"/>
        </w:rPr>
      </w:pPr>
      <w:r>
        <w:rPr>
          <w:rFonts w:hint="eastAsia" w:ascii="宋体" w:hAnsi="宋体"/>
          <w:b/>
          <w:spacing w:val="4"/>
          <w:sz w:val="24"/>
        </w:rPr>
        <w:t>（1）投标文件接收开始时间：</w:t>
      </w:r>
      <w:r>
        <w:rPr>
          <w:rFonts w:hint="eastAsia" w:ascii="宋体" w:hAnsi="宋体"/>
          <w:spacing w:val="4"/>
          <w:sz w:val="24"/>
        </w:rPr>
        <w:t>2021年</w:t>
      </w:r>
      <w:r>
        <w:rPr>
          <w:rFonts w:ascii="宋体" w:hAnsi="宋体"/>
          <w:spacing w:val="4"/>
          <w:sz w:val="24"/>
        </w:rPr>
        <w:t>8</w:t>
      </w:r>
      <w:r>
        <w:rPr>
          <w:rFonts w:hint="eastAsia" w:ascii="宋体" w:hAnsi="宋体"/>
          <w:spacing w:val="4"/>
          <w:sz w:val="24"/>
        </w:rPr>
        <w:t>月</w:t>
      </w:r>
      <w:r>
        <w:rPr>
          <w:rFonts w:ascii="宋体" w:hAnsi="宋体"/>
          <w:spacing w:val="4"/>
          <w:sz w:val="24"/>
        </w:rPr>
        <w:t>1</w:t>
      </w:r>
      <w:r>
        <w:rPr>
          <w:rFonts w:hint="eastAsia" w:ascii="宋体" w:hAnsi="宋体"/>
          <w:spacing w:val="4"/>
          <w:sz w:val="24"/>
          <w:lang w:val="en-US" w:eastAsia="zh-CN"/>
        </w:rPr>
        <w:t>1</w:t>
      </w:r>
      <w:r>
        <w:rPr>
          <w:rFonts w:hint="eastAsia" w:ascii="宋体" w:hAnsi="宋体"/>
          <w:spacing w:val="4"/>
          <w:sz w:val="24"/>
        </w:rPr>
        <w:t>日</w:t>
      </w:r>
      <w:r>
        <w:rPr>
          <w:rFonts w:ascii="宋体" w:hAnsi="宋体"/>
          <w:spacing w:val="4"/>
          <w:sz w:val="24"/>
        </w:rPr>
        <w:t>9</w:t>
      </w:r>
      <w:r>
        <w:rPr>
          <w:rFonts w:hint="eastAsia" w:ascii="宋体" w:hAnsi="宋体"/>
          <w:spacing w:val="4"/>
          <w:sz w:val="24"/>
        </w:rPr>
        <w:t>时00分</w:t>
      </w:r>
    </w:p>
    <w:p>
      <w:pPr>
        <w:spacing w:line="360" w:lineRule="auto"/>
        <w:ind w:firstLine="498" w:firstLineChars="200"/>
        <w:rPr>
          <w:rFonts w:ascii="宋体" w:hAnsi="宋体"/>
          <w:spacing w:val="4"/>
          <w:sz w:val="24"/>
        </w:rPr>
      </w:pPr>
      <w:r>
        <w:rPr>
          <w:rFonts w:hint="eastAsia" w:ascii="宋体" w:hAnsi="宋体"/>
          <w:b/>
          <w:spacing w:val="4"/>
          <w:sz w:val="24"/>
        </w:rPr>
        <w:t>（2）投标文件接收截止时间及开标时间</w:t>
      </w:r>
      <w:r>
        <w:rPr>
          <w:rFonts w:hint="eastAsia" w:ascii="宋体"/>
          <w:b/>
          <w:spacing w:val="4"/>
          <w:sz w:val="24"/>
        </w:rPr>
        <w:t>：</w:t>
      </w:r>
      <w:r>
        <w:rPr>
          <w:rFonts w:ascii="宋体" w:hAnsi="宋体"/>
          <w:spacing w:val="2"/>
          <w:kern w:val="0"/>
          <w:sz w:val="24"/>
        </w:rPr>
        <w:t>2</w:t>
      </w:r>
      <w:r>
        <w:rPr>
          <w:rFonts w:ascii="宋体" w:hAnsi="宋体"/>
          <w:spacing w:val="4"/>
          <w:sz w:val="24"/>
        </w:rPr>
        <w:t>0</w:t>
      </w:r>
      <w:r>
        <w:rPr>
          <w:rFonts w:hint="eastAsia" w:ascii="宋体" w:hAnsi="宋体"/>
          <w:spacing w:val="4"/>
          <w:sz w:val="24"/>
        </w:rPr>
        <w:t>21年</w:t>
      </w:r>
      <w:r>
        <w:rPr>
          <w:rFonts w:ascii="宋体" w:hAnsi="宋体"/>
          <w:spacing w:val="4"/>
          <w:sz w:val="24"/>
        </w:rPr>
        <w:t>8</w:t>
      </w:r>
      <w:r>
        <w:rPr>
          <w:rFonts w:hint="eastAsia" w:ascii="宋体" w:hAnsi="宋体"/>
          <w:spacing w:val="4"/>
          <w:sz w:val="24"/>
        </w:rPr>
        <w:t>月</w:t>
      </w:r>
      <w:r>
        <w:rPr>
          <w:rFonts w:ascii="宋体" w:hAnsi="宋体"/>
          <w:spacing w:val="4"/>
          <w:sz w:val="24"/>
        </w:rPr>
        <w:t>1</w:t>
      </w:r>
      <w:r>
        <w:rPr>
          <w:rFonts w:hint="eastAsia" w:ascii="宋体" w:hAnsi="宋体"/>
          <w:spacing w:val="4"/>
          <w:sz w:val="24"/>
          <w:lang w:val="en-US" w:eastAsia="zh-CN"/>
        </w:rPr>
        <w:t>1</w:t>
      </w:r>
      <w:bookmarkStart w:id="31" w:name="_GoBack"/>
      <w:bookmarkEnd w:id="31"/>
      <w:r>
        <w:rPr>
          <w:rFonts w:hint="eastAsia" w:ascii="宋体" w:hAnsi="宋体"/>
          <w:spacing w:val="4"/>
          <w:sz w:val="24"/>
        </w:rPr>
        <w:t>日</w:t>
      </w:r>
      <w:r>
        <w:rPr>
          <w:rFonts w:ascii="宋体" w:hAnsi="宋体"/>
          <w:spacing w:val="4"/>
          <w:sz w:val="24"/>
        </w:rPr>
        <w:t>9</w:t>
      </w:r>
      <w:r>
        <w:rPr>
          <w:rFonts w:hint="eastAsia" w:ascii="宋体" w:hAnsi="宋体"/>
          <w:spacing w:val="4"/>
          <w:sz w:val="24"/>
        </w:rPr>
        <w:t>时</w:t>
      </w:r>
      <w:r>
        <w:rPr>
          <w:rFonts w:hint="eastAsia" w:ascii="宋体"/>
          <w:spacing w:val="4"/>
          <w:sz w:val="24"/>
        </w:rPr>
        <w:t>30</w:t>
      </w:r>
      <w:r>
        <w:rPr>
          <w:rFonts w:hint="eastAsia" w:ascii="宋体" w:hAnsi="宋体"/>
          <w:spacing w:val="4"/>
          <w:sz w:val="24"/>
        </w:rPr>
        <w:t xml:space="preserve">分 </w:t>
      </w:r>
      <w:r>
        <w:rPr>
          <w:rFonts w:ascii="宋体" w:hAnsi="宋体"/>
          <w:spacing w:val="4"/>
          <w:sz w:val="24"/>
        </w:rPr>
        <w:t xml:space="preserve">    </w:t>
      </w:r>
    </w:p>
    <w:p>
      <w:pPr>
        <w:spacing w:line="360" w:lineRule="auto"/>
        <w:ind w:firstLine="498" w:firstLineChars="200"/>
        <w:rPr>
          <w:rFonts w:ascii="宋体"/>
          <w:b/>
          <w:spacing w:val="4"/>
          <w:sz w:val="24"/>
        </w:rPr>
      </w:pPr>
      <w:r>
        <w:rPr>
          <w:rFonts w:hint="eastAsia" w:ascii="宋体"/>
          <w:b/>
          <w:spacing w:val="4"/>
          <w:sz w:val="24"/>
        </w:rPr>
        <w:t>（3）投标文件接收地点：</w:t>
      </w:r>
      <w:r>
        <w:rPr>
          <w:rFonts w:hint="eastAsia" w:ascii="宋体" w:hAnsi="宋体"/>
          <w:spacing w:val="4"/>
          <w:sz w:val="24"/>
        </w:rPr>
        <w:t>南通大学啬园校区北一门东传达室</w:t>
      </w:r>
    </w:p>
    <w:p>
      <w:pPr>
        <w:spacing w:line="360" w:lineRule="auto"/>
        <w:ind w:firstLine="498" w:firstLineChars="200"/>
        <w:rPr>
          <w:rFonts w:ascii="宋体" w:hAnsi="宋体"/>
          <w:b/>
          <w:spacing w:val="4"/>
          <w:sz w:val="24"/>
        </w:rPr>
      </w:pPr>
      <w:r>
        <w:rPr>
          <w:rFonts w:hint="eastAsia" w:ascii="宋体" w:hAnsi="宋体"/>
          <w:b/>
          <w:bCs/>
          <w:spacing w:val="4"/>
          <w:sz w:val="24"/>
        </w:rPr>
        <w:t>（4）</w:t>
      </w:r>
      <w:r>
        <w:rPr>
          <w:rFonts w:hint="eastAsia" w:ascii="宋体" w:hAnsi="宋体"/>
          <w:b/>
          <w:spacing w:val="4"/>
          <w:sz w:val="24"/>
        </w:rPr>
        <w:t>联系人及联系方式：</w:t>
      </w:r>
      <w:r>
        <w:rPr>
          <w:rFonts w:hint="eastAsia" w:ascii="宋体" w:hAnsi="宋体"/>
          <w:spacing w:val="4"/>
          <w:sz w:val="24"/>
        </w:rPr>
        <w:t>邹老师0513-85012720</w:t>
      </w:r>
    </w:p>
    <w:p>
      <w:pPr>
        <w:spacing w:line="360" w:lineRule="auto"/>
        <w:ind w:firstLine="498" w:firstLineChars="200"/>
        <w:rPr>
          <w:rFonts w:ascii="宋体" w:hAnsi="宋体"/>
          <w:spacing w:val="2"/>
          <w:kern w:val="0"/>
          <w:sz w:val="24"/>
        </w:rPr>
      </w:pPr>
      <w:r>
        <w:rPr>
          <w:rFonts w:hint="eastAsia" w:ascii="宋体" w:hAnsi="宋体"/>
          <w:b/>
          <w:spacing w:val="4"/>
          <w:sz w:val="24"/>
        </w:rPr>
        <w:t>十三、评标地点：</w:t>
      </w:r>
      <w:r>
        <w:rPr>
          <w:rFonts w:hint="eastAsia" w:ascii="宋体" w:hAnsi="宋体"/>
          <w:spacing w:val="2"/>
          <w:kern w:val="0"/>
          <w:sz w:val="24"/>
        </w:rPr>
        <w:t>南通大学啬园校区综合楼231室</w:t>
      </w:r>
    </w:p>
    <w:p>
      <w:pPr>
        <w:spacing w:line="360" w:lineRule="auto"/>
        <w:ind w:firstLine="490" w:firstLineChars="200"/>
        <w:rPr>
          <w:rFonts w:ascii="宋体"/>
          <w:b/>
          <w:spacing w:val="2"/>
          <w:kern w:val="0"/>
          <w:sz w:val="24"/>
        </w:rPr>
      </w:pPr>
      <w:r>
        <w:rPr>
          <w:rFonts w:hint="eastAsia" w:ascii="宋体" w:hAnsi="宋体"/>
          <w:b/>
          <w:spacing w:val="2"/>
          <w:kern w:val="0"/>
          <w:sz w:val="24"/>
        </w:rPr>
        <w:t>十四、与本次招标有关的事宜请按下列通讯方式联系</w:t>
      </w:r>
    </w:p>
    <w:p>
      <w:pPr>
        <w:spacing w:line="360" w:lineRule="auto"/>
        <w:ind w:firstLine="488" w:firstLineChars="200"/>
        <w:rPr>
          <w:rFonts w:ascii="宋体" w:hAnsi="宋体"/>
          <w:spacing w:val="2"/>
          <w:kern w:val="0"/>
          <w:sz w:val="24"/>
        </w:rPr>
      </w:pPr>
      <w:r>
        <w:rPr>
          <w:rFonts w:hint="eastAsia" w:ascii="宋体" w:hAnsi="宋体"/>
          <w:spacing w:val="2"/>
          <w:kern w:val="0"/>
          <w:sz w:val="24"/>
        </w:rPr>
        <w:t>如对技术条款有疑问请咨询项目联系人；如对采购程序及结果有质疑请咨询招标联系人。</w:t>
      </w:r>
    </w:p>
    <w:p>
      <w:pPr>
        <w:spacing w:line="360" w:lineRule="auto"/>
        <w:ind w:firstLine="490" w:firstLineChars="200"/>
        <w:rPr>
          <w:rFonts w:ascii="微软雅黑" w:hAnsi="微软雅黑"/>
          <w:sz w:val="18"/>
          <w:szCs w:val="18"/>
        </w:rPr>
      </w:pPr>
      <w:r>
        <w:rPr>
          <w:rFonts w:hint="eastAsia" w:ascii="宋体" w:hAnsi="宋体"/>
          <w:b/>
          <w:spacing w:val="2"/>
          <w:kern w:val="0"/>
          <w:sz w:val="24"/>
        </w:rPr>
        <w:t>项目联系人及联系方式:</w:t>
      </w:r>
      <w:r>
        <w:rPr>
          <w:rFonts w:ascii="宋体" w:hAnsi="宋体"/>
          <w:b/>
          <w:spacing w:val="2"/>
          <w:kern w:val="0"/>
          <w:sz w:val="24"/>
        </w:rPr>
        <w:t xml:space="preserve"> </w:t>
      </w:r>
      <w:r>
        <w:rPr>
          <w:rFonts w:hint="eastAsia" w:ascii="宋体" w:hAnsi="宋体"/>
          <w:spacing w:val="2"/>
          <w:kern w:val="0"/>
          <w:sz w:val="24"/>
        </w:rPr>
        <w:t>刘老师0513-85012226</w:t>
      </w:r>
    </w:p>
    <w:p>
      <w:pPr>
        <w:spacing w:line="360" w:lineRule="auto"/>
        <w:ind w:firstLine="490" w:firstLineChars="200"/>
        <w:rPr>
          <w:rFonts w:ascii="宋体" w:hAnsi="宋体"/>
          <w:spacing w:val="2"/>
          <w:kern w:val="0"/>
          <w:sz w:val="24"/>
        </w:rPr>
      </w:pPr>
      <w:r>
        <w:rPr>
          <w:rFonts w:hint="eastAsia" w:ascii="宋体" w:hAnsi="宋体"/>
          <w:b/>
          <w:spacing w:val="2"/>
          <w:kern w:val="0"/>
          <w:sz w:val="24"/>
        </w:rPr>
        <w:t>招标联系人及联系方式：</w:t>
      </w:r>
      <w:r>
        <w:rPr>
          <w:rFonts w:hint="eastAsia" w:ascii="宋体" w:hAnsi="宋体"/>
          <w:spacing w:val="2"/>
          <w:kern w:val="0"/>
          <w:sz w:val="24"/>
        </w:rPr>
        <w:t>李韦华</w:t>
      </w:r>
      <w:r>
        <w:rPr>
          <w:rFonts w:ascii="宋体" w:hAnsi="宋体"/>
          <w:spacing w:val="2"/>
          <w:kern w:val="0"/>
          <w:sz w:val="24"/>
        </w:rPr>
        <w:t>0513-85012138</w:t>
      </w:r>
      <w:r>
        <w:rPr>
          <w:rFonts w:hint="eastAsia" w:ascii="宋体" w:hAnsi="宋体"/>
          <w:spacing w:val="2"/>
          <w:kern w:val="0"/>
          <w:sz w:val="24"/>
        </w:rPr>
        <w:t>；沈伟0513-85012</w:t>
      </w:r>
      <w:r>
        <w:rPr>
          <w:rFonts w:ascii="宋体" w:hAnsi="宋体"/>
          <w:spacing w:val="2"/>
          <w:kern w:val="0"/>
          <w:sz w:val="24"/>
        </w:rPr>
        <w:t>365</w:t>
      </w:r>
      <w:r>
        <w:rPr>
          <w:rFonts w:hint="eastAsia" w:ascii="宋体" w:hAnsi="宋体"/>
          <w:spacing w:val="2"/>
          <w:kern w:val="0"/>
          <w:sz w:val="24"/>
        </w:rPr>
        <w:t>。</w:t>
      </w:r>
    </w:p>
    <w:p>
      <w:pPr>
        <w:spacing w:line="360" w:lineRule="auto"/>
        <w:ind w:firstLine="490" w:firstLineChars="200"/>
        <w:rPr>
          <w:rFonts w:ascii="宋体" w:hAnsi="宋体" w:cs="宋体"/>
          <w:sz w:val="24"/>
        </w:rPr>
      </w:pPr>
      <w:r>
        <w:rPr>
          <w:rFonts w:hint="eastAsia" w:ascii="宋体" w:hAnsi="宋体"/>
          <w:b/>
          <w:bCs/>
          <w:spacing w:val="2"/>
          <w:kern w:val="0"/>
          <w:sz w:val="24"/>
        </w:rPr>
        <w:t>现场勘察联系人及联系方式：</w:t>
      </w:r>
      <w:r>
        <w:rPr>
          <w:rFonts w:hint="eastAsia" w:ascii="宋体" w:hAnsi="宋体" w:cs="宋体"/>
          <w:sz w:val="24"/>
        </w:rPr>
        <w:t>殷老师13706298006</w:t>
      </w:r>
    </w:p>
    <w:p>
      <w:pPr>
        <w:widowControl/>
        <w:spacing w:line="360" w:lineRule="auto"/>
        <w:ind w:firstLine="490" w:firstLineChars="200"/>
        <w:jc w:val="left"/>
        <w:rPr>
          <w:rFonts w:ascii="宋体" w:hAnsi="宋体" w:cs="宋体"/>
          <w:kern w:val="0"/>
          <w:sz w:val="23"/>
          <w:szCs w:val="23"/>
        </w:rPr>
      </w:pPr>
      <w:r>
        <w:rPr>
          <w:rFonts w:hint="eastAsia" w:ascii="宋体" w:hAnsi="宋体"/>
          <w:b/>
          <w:bCs/>
          <w:spacing w:val="2"/>
          <w:kern w:val="0"/>
          <w:sz w:val="24"/>
        </w:rPr>
        <w:t>现场勘察时间</w:t>
      </w:r>
      <w:r>
        <w:rPr>
          <w:rFonts w:ascii="宋体" w:hAnsi="宋体"/>
          <w:b/>
          <w:bCs/>
          <w:spacing w:val="2"/>
          <w:kern w:val="0"/>
          <w:sz w:val="24"/>
        </w:rPr>
        <w:t>：</w:t>
      </w:r>
      <w:r>
        <w:rPr>
          <w:rFonts w:hint="eastAsia" w:ascii="宋体" w:hAnsi="宋体"/>
          <w:b/>
          <w:bCs/>
          <w:spacing w:val="2"/>
          <w:kern w:val="0"/>
          <w:sz w:val="24"/>
        </w:rPr>
        <w:t>7月23日</w:t>
      </w:r>
      <w:r>
        <w:rPr>
          <w:rFonts w:ascii="宋体" w:hAnsi="宋体"/>
          <w:b/>
          <w:bCs/>
          <w:spacing w:val="2"/>
          <w:kern w:val="0"/>
          <w:sz w:val="24"/>
        </w:rPr>
        <w:t>-</w:t>
      </w:r>
      <w:r>
        <w:rPr>
          <w:rFonts w:hint="eastAsia" w:ascii="宋体" w:hAnsi="宋体"/>
          <w:b/>
          <w:bCs/>
          <w:spacing w:val="2"/>
          <w:kern w:val="0"/>
          <w:sz w:val="24"/>
        </w:rPr>
        <w:t>7月3</w:t>
      </w:r>
      <w:r>
        <w:rPr>
          <w:rFonts w:ascii="宋体" w:hAnsi="宋体"/>
          <w:b/>
          <w:bCs/>
          <w:spacing w:val="2"/>
          <w:kern w:val="0"/>
          <w:sz w:val="24"/>
        </w:rPr>
        <w:t>1</w:t>
      </w:r>
      <w:r>
        <w:rPr>
          <w:rFonts w:hint="eastAsia" w:ascii="宋体" w:hAnsi="宋体"/>
          <w:b/>
          <w:bCs/>
          <w:spacing w:val="2"/>
          <w:kern w:val="0"/>
          <w:sz w:val="24"/>
        </w:rPr>
        <w:t>日9:30-</w:t>
      </w:r>
      <w:r>
        <w:rPr>
          <w:rFonts w:ascii="宋体" w:hAnsi="宋体"/>
          <w:b/>
          <w:bCs/>
          <w:spacing w:val="2"/>
          <w:kern w:val="0"/>
          <w:sz w:val="24"/>
        </w:rPr>
        <w:t>15</w:t>
      </w:r>
      <w:r>
        <w:rPr>
          <w:rFonts w:hint="eastAsia" w:ascii="宋体" w:hAnsi="宋体"/>
          <w:b/>
          <w:bCs/>
          <w:spacing w:val="2"/>
          <w:kern w:val="0"/>
          <w:sz w:val="24"/>
        </w:rPr>
        <w:t>:30（周末</w:t>
      </w:r>
      <w:r>
        <w:rPr>
          <w:rFonts w:ascii="宋体" w:hAnsi="宋体"/>
          <w:b/>
          <w:bCs/>
          <w:spacing w:val="2"/>
          <w:kern w:val="0"/>
          <w:sz w:val="24"/>
        </w:rPr>
        <w:t>除外</w:t>
      </w:r>
      <w:r>
        <w:rPr>
          <w:rFonts w:hint="eastAsia" w:ascii="宋体" w:hAnsi="宋体"/>
          <w:b/>
          <w:bCs/>
          <w:spacing w:val="2"/>
          <w:kern w:val="0"/>
          <w:sz w:val="24"/>
        </w:rPr>
        <w:t>）</w:t>
      </w:r>
      <w:r>
        <w:rPr>
          <w:rFonts w:ascii="宋体" w:hAnsi="宋体"/>
          <w:b/>
          <w:bCs/>
          <w:spacing w:val="2"/>
          <w:kern w:val="0"/>
          <w:sz w:val="24"/>
        </w:rPr>
        <w:t>，</w:t>
      </w:r>
      <w:r>
        <w:rPr>
          <w:rFonts w:hint="eastAsia" w:ascii="宋体" w:hAnsi="宋体"/>
          <w:b/>
          <w:bCs/>
          <w:spacing w:val="2"/>
          <w:kern w:val="0"/>
          <w:sz w:val="24"/>
        </w:rPr>
        <w:t>至少</w:t>
      </w:r>
      <w:r>
        <w:rPr>
          <w:rFonts w:ascii="宋体" w:hAnsi="宋体"/>
          <w:b/>
          <w:bCs/>
          <w:spacing w:val="2"/>
          <w:kern w:val="0"/>
          <w:sz w:val="24"/>
        </w:rPr>
        <w:t>提前一天预约</w:t>
      </w:r>
      <w:r>
        <w:rPr>
          <w:rFonts w:hint="eastAsia" w:ascii="宋体" w:hAnsi="宋体"/>
          <w:b/>
          <w:bCs/>
          <w:spacing w:val="2"/>
          <w:kern w:val="0"/>
          <w:sz w:val="24"/>
        </w:rPr>
        <w:t>。</w:t>
      </w:r>
      <w:r>
        <w:rPr>
          <w:rFonts w:hint="eastAsia" w:ascii="宋体" w:hAnsi="宋体" w:cs="宋体"/>
          <w:kern w:val="0"/>
          <w:sz w:val="23"/>
          <w:szCs w:val="23"/>
        </w:rPr>
        <w:t> </w:t>
      </w:r>
    </w:p>
    <w:p>
      <w:pPr>
        <w:widowControl/>
        <w:spacing w:line="360" w:lineRule="auto"/>
        <w:ind w:left="142" w:firstLine="422"/>
        <w:jc w:val="left"/>
        <w:rPr>
          <w:rFonts w:ascii="宋体" w:hAnsi="宋体" w:cs="宋体"/>
          <w:kern w:val="0"/>
          <w:sz w:val="23"/>
          <w:szCs w:val="23"/>
        </w:rPr>
      </w:pPr>
      <w:r>
        <w:rPr>
          <w:rFonts w:hint="eastAsia" w:ascii="宋体" w:hAnsi="宋体" w:cs="宋体"/>
          <w:spacing w:val="4"/>
          <w:kern w:val="0"/>
          <w:sz w:val="24"/>
        </w:rPr>
        <w:t>如对招标文件存在</w:t>
      </w:r>
      <w:r>
        <w:rPr>
          <w:rFonts w:hint="eastAsia" w:ascii="宋体" w:hAnsi="宋体" w:cs="宋体"/>
          <w:kern w:val="0"/>
          <w:sz w:val="24"/>
        </w:rPr>
        <w:t>质疑</w:t>
      </w:r>
      <w:r>
        <w:rPr>
          <w:rFonts w:hint="eastAsia" w:ascii="宋体" w:hAnsi="宋体" w:cs="宋体"/>
          <w:spacing w:val="4"/>
          <w:kern w:val="0"/>
          <w:sz w:val="24"/>
        </w:rPr>
        <w:t>，请在</w:t>
      </w:r>
      <w:r>
        <w:rPr>
          <w:rFonts w:hint="eastAsia" w:ascii="宋体" w:hAnsi="宋体" w:cs="宋体"/>
          <w:kern w:val="0"/>
          <w:sz w:val="24"/>
        </w:rPr>
        <w:t>投标截止时间</w:t>
      </w:r>
      <w:r>
        <w:rPr>
          <w:rFonts w:ascii="宋体" w:hAnsi="宋体" w:cs="宋体"/>
          <w:kern w:val="0"/>
          <w:sz w:val="24"/>
        </w:rPr>
        <w:t>7</w:t>
      </w:r>
      <w:r>
        <w:rPr>
          <w:rFonts w:hint="eastAsia" w:ascii="宋体" w:hAnsi="宋体" w:cs="宋体"/>
          <w:kern w:val="0"/>
          <w:sz w:val="24"/>
        </w:rPr>
        <w:t>日前</w:t>
      </w:r>
      <w:r>
        <w:rPr>
          <w:rFonts w:hint="eastAsia" w:ascii="宋体" w:hAnsi="宋体" w:cs="宋体"/>
          <w:spacing w:val="4"/>
          <w:kern w:val="0"/>
          <w:sz w:val="24"/>
        </w:rPr>
        <w:t>以书面形式提出（加盖公章，填写联系人姓名和电话）发送至</w:t>
      </w:r>
      <w:r>
        <w:rPr>
          <w:rFonts w:ascii="宋体" w:hAnsi="宋体" w:cs="宋体"/>
          <w:spacing w:val="4"/>
          <w:kern w:val="0"/>
          <w:sz w:val="24"/>
        </w:rPr>
        <w:t>ztb</w:t>
      </w:r>
      <w:r>
        <w:rPr>
          <w:rFonts w:hint="eastAsia" w:ascii="宋体" w:hAnsi="宋体" w:cs="宋体"/>
          <w:spacing w:val="4"/>
          <w:kern w:val="0"/>
          <w:sz w:val="24"/>
        </w:rPr>
        <w:t>@</w:t>
      </w:r>
      <w:r>
        <w:rPr>
          <w:rFonts w:ascii="宋体" w:hAnsi="宋体" w:cs="宋体"/>
          <w:spacing w:val="4"/>
          <w:kern w:val="0"/>
          <w:sz w:val="24"/>
        </w:rPr>
        <w:t>ntu</w:t>
      </w:r>
      <w:r>
        <w:rPr>
          <w:rFonts w:hint="eastAsia" w:ascii="宋体" w:hAnsi="宋体" w:cs="宋体"/>
          <w:spacing w:val="4"/>
          <w:kern w:val="0"/>
          <w:sz w:val="24"/>
        </w:rPr>
        <w:t>.edu.cn。</w:t>
      </w:r>
    </w:p>
    <w:p>
      <w:pPr>
        <w:widowControl/>
        <w:spacing w:line="360" w:lineRule="auto"/>
        <w:ind w:firstLine="562"/>
        <w:jc w:val="left"/>
        <w:rPr>
          <w:rFonts w:ascii="微软雅黑" w:hAnsi="微软雅黑" w:eastAsia="微软雅黑" w:cs="宋体"/>
          <w:kern w:val="0"/>
          <w:sz w:val="23"/>
          <w:szCs w:val="23"/>
        </w:rPr>
      </w:pPr>
      <w:r>
        <w:rPr>
          <w:rFonts w:hint="eastAsia" w:ascii="微软雅黑" w:hAnsi="微软雅黑" w:eastAsia="微软雅黑" w:cs="宋体"/>
          <w:b/>
          <w:bCs/>
          <w:kern w:val="0"/>
          <w:sz w:val="28"/>
          <w:szCs w:val="28"/>
        </w:rPr>
        <w:t>      </w:t>
      </w:r>
    </w:p>
    <w:p>
      <w:pPr>
        <w:widowControl/>
        <w:jc w:val="left"/>
      </w:pPr>
      <w:r>
        <w:br w:type="page"/>
      </w:r>
    </w:p>
    <w:p>
      <w:pPr>
        <w:pStyle w:val="2"/>
        <w:jc w:val="center"/>
      </w:pPr>
      <w:bookmarkStart w:id="1" w:name="_Toc77795155"/>
      <w:r>
        <w:rPr>
          <w:rFonts w:hint="eastAsia"/>
        </w:rPr>
        <w:t>第二部分 投标人须知</w:t>
      </w:r>
      <w:bookmarkEnd w:id="1"/>
    </w:p>
    <w:p>
      <w:pPr>
        <w:pStyle w:val="3"/>
      </w:pPr>
      <w:bookmarkStart w:id="2" w:name="_Toc24632168"/>
      <w:bookmarkStart w:id="3" w:name="_Toc77795156"/>
      <w:r>
        <w:rPr>
          <w:rFonts w:hint="eastAsia"/>
        </w:rPr>
        <w:t>一、招标文件</w:t>
      </w:r>
      <w:bookmarkEnd w:id="2"/>
      <w:bookmarkEnd w:id="3"/>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本招标文件中的采购人、投标人、中标人分别指：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）投标人指响应招标并具备相应资质的参与投标的服务商。</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招标文件的组成</w:t>
      </w:r>
    </w:p>
    <w:p>
      <w:pPr>
        <w:spacing w:line="360" w:lineRule="auto"/>
        <w:ind w:firstLine="480" w:firstLineChars="200"/>
        <w:rPr>
          <w:sz w:val="24"/>
        </w:rPr>
      </w:pPr>
      <w:r>
        <w:rPr>
          <w:rFonts w:hint="eastAsia"/>
          <w:sz w:val="24"/>
        </w:rPr>
        <w:t>本招标文件由下列部分组成：</w:t>
      </w:r>
    </w:p>
    <w:p>
      <w:pPr>
        <w:spacing w:line="360" w:lineRule="auto"/>
        <w:ind w:firstLine="480" w:firstLineChars="200"/>
        <w:rPr>
          <w:sz w:val="24"/>
        </w:rPr>
      </w:pPr>
      <w:r>
        <w:rPr>
          <w:rFonts w:hint="eastAsia"/>
          <w:sz w:val="24"/>
        </w:rPr>
        <w:t>（</w:t>
      </w:r>
      <w:r>
        <w:rPr>
          <w:sz w:val="24"/>
        </w:rPr>
        <w:t>1</w:t>
      </w:r>
      <w:r>
        <w:rPr>
          <w:rFonts w:hint="eastAsia"/>
          <w:sz w:val="24"/>
        </w:rPr>
        <w:t>）公开招标采购公告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）招标项目要求及相关说明</w:t>
      </w:r>
    </w:p>
    <w:p>
      <w:pPr>
        <w:spacing w:line="360" w:lineRule="auto"/>
        <w:ind w:firstLine="480" w:firstLineChars="200"/>
        <w:rPr>
          <w:sz w:val="24"/>
        </w:rPr>
      </w:pPr>
      <w:r>
        <w:rPr>
          <w:rFonts w:hint="eastAsia"/>
          <w:sz w:val="24"/>
        </w:rPr>
        <w:t>（4）附件</w:t>
      </w:r>
    </w:p>
    <w:p>
      <w:pPr>
        <w:spacing w:line="360" w:lineRule="auto"/>
        <w:ind w:firstLine="482" w:firstLineChars="200"/>
        <w:rPr>
          <w:b/>
          <w:sz w:val="24"/>
        </w:rPr>
      </w:pPr>
      <w:r>
        <w:rPr>
          <w:b/>
          <w:sz w:val="24"/>
        </w:rPr>
        <w:t xml:space="preserve">1.3. </w:t>
      </w:r>
      <w:r>
        <w:rPr>
          <w:rFonts w:hint="eastAsia"/>
          <w:sz w:val="24"/>
        </w:rPr>
        <w:t>招标文件的澄清</w:t>
      </w:r>
    </w:p>
    <w:p>
      <w:pPr>
        <w:spacing w:line="360" w:lineRule="auto"/>
        <w:ind w:firstLine="480" w:firstLineChars="200"/>
        <w:rPr>
          <w:sz w:val="24"/>
        </w:rPr>
      </w:pPr>
      <w:r>
        <w:rPr>
          <w:rFonts w:hint="eastAsia"/>
          <w:sz w:val="24"/>
        </w:rPr>
        <w:t>如投标人对招标文件的某些内容有疑问，应在投标截止时间</w:t>
      </w:r>
      <w:r>
        <w:rPr>
          <w:sz w:val="24"/>
        </w:rPr>
        <w:t>7</w:t>
      </w:r>
      <w:r>
        <w:rPr>
          <w:rFonts w:hint="eastAsia"/>
          <w:sz w:val="24"/>
        </w:rPr>
        <w:t>日前以书面形式邮件</w:t>
      </w:r>
      <w:r>
        <w:rPr>
          <w:sz w:val="24"/>
        </w:rPr>
        <w:t>（</w:t>
      </w:r>
      <w:r>
        <w:rPr>
          <w:rFonts w:hint="eastAsia"/>
          <w:sz w:val="24"/>
        </w:rPr>
        <w:t>ztb@ntu.edu.cn</w:t>
      </w:r>
      <w:r>
        <w:rPr>
          <w:sz w:val="24"/>
        </w:rPr>
        <w:t>）</w:t>
      </w:r>
      <w:r>
        <w:rPr>
          <w:rFonts w:hint="eastAsia"/>
          <w:sz w:val="24"/>
        </w:rPr>
        <w:t>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招标文件的补充和修改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）如招标文件的补充和修改对投标人准备投标的时间有影响，采购人有权决定推迟投标截止时间和开标时间。</w:t>
      </w:r>
    </w:p>
    <w:p>
      <w:pPr>
        <w:spacing w:line="360" w:lineRule="auto"/>
        <w:ind w:firstLine="472" w:firstLineChars="196"/>
        <w:rPr>
          <w:b/>
          <w:sz w:val="24"/>
        </w:rPr>
      </w:pPr>
    </w:p>
    <w:p>
      <w:pPr>
        <w:pStyle w:val="3"/>
      </w:pPr>
      <w:bookmarkStart w:id="4" w:name="_Toc24632169"/>
      <w:bookmarkStart w:id="5" w:name="_Toc77795157"/>
      <w:r>
        <w:rPr>
          <w:rFonts w:hint="eastAsia"/>
        </w:rPr>
        <w:t>二、投标文件</w:t>
      </w:r>
      <w:bookmarkEnd w:id="4"/>
      <w:bookmarkEnd w:id="5"/>
    </w:p>
    <w:p>
      <w:pPr>
        <w:spacing w:line="440" w:lineRule="exact"/>
        <w:ind w:firstLine="482" w:firstLineChars="200"/>
        <w:rPr>
          <w:sz w:val="24"/>
        </w:rPr>
      </w:pPr>
      <w:r>
        <w:rPr>
          <w:b/>
          <w:sz w:val="24"/>
        </w:rPr>
        <w:t xml:space="preserve">2.1. </w:t>
      </w:r>
      <w:r>
        <w:rPr>
          <w:rFonts w:hint="eastAsia"/>
          <w:sz w:val="24"/>
        </w:rPr>
        <w:t>投标文件的语言</w:t>
      </w:r>
    </w:p>
    <w:p>
      <w:pPr>
        <w:spacing w:line="440" w:lineRule="exact"/>
        <w:ind w:firstLine="480" w:firstLineChars="200"/>
        <w:rPr>
          <w:sz w:val="24"/>
        </w:rPr>
      </w:pPr>
      <w:r>
        <w:rPr>
          <w:rFonts w:hint="eastAsia"/>
          <w:sz w:val="24"/>
        </w:rPr>
        <w:t>（</w:t>
      </w:r>
      <w:r>
        <w:rPr>
          <w:sz w:val="24"/>
        </w:rPr>
        <w:t>1</w:t>
      </w:r>
      <w:r>
        <w:rPr>
          <w:rFonts w:hint="eastAsia"/>
          <w:sz w:val="24"/>
        </w:rPr>
        <w:t>）投标文件及来往函件均应使用中文。</w:t>
      </w:r>
    </w:p>
    <w:p>
      <w:pPr>
        <w:spacing w:line="440" w:lineRule="exact"/>
        <w:ind w:firstLine="482" w:firstLineChars="200"/>
        <w:rPr>
          <w:sz w:val="24"/>
        </w:rPr>
      </w:pPr>
      <w:r>
        <w:rPr>
          <w:b/>
          <w:sz w:val="24"/>
        </w:rPr>
        <w:t xml:space="preserve">2.2. </w:t>
      </w:r>
      <w:r>
        <w:rPr>
          <w:rFonts w:hint="eastAsia"/>
          <w:sz w:val="24"/>
        </w:rPr>
        <w:t>投标文件的组成</w:t>
      </w:r>
    </w:p>
    <w:p>
      <w:pPr>
        <w:spacing w:line="440" w:lineRule="exact"/>
        <w:ind w:firstLine="480" w:firstLineChars="200"/>
        <w:rPr>
          <w:b/>
          <w:sz w:val="24"/>
        </w:rPr>
      </w:pPr>
      <w:r>
        <w:rPr>
          <w:rFonts w:hint="eastAsia"/>
          <w:sz w:val="24"/>
        </w:rPr>
        <w:t>投标人编写的投标文件必须包括</w:t>
      </w:r>
      <w:r>
        <w:rPr>
          <w:rFonts w:hint="eastAsia"/>
          <w:b/>
          <w:sz w:val="24"/>
        </w:rPr>
        <w:t>技术文件</w:t>
      </w:r>
      <w:r>
        <w:rPr>
          <w:rFonts w:hint="eastAsia"/>
          <w:sz w:val="24"/>
        </w:rPr>
        <w:t>和</w:t>
      </w:r>
      <w:r>
        <w:rPr>
          <w:rFonts w:hint="eastAsia"/>
          <w:b/>
          <w:sz w:val="24"/>
        </w:rPr>
        <w:t>资格证明文件</w:t>
      </w:r>
      <w:r>
        <w:rPr>
          <w:rFonts w:hint="eastAsia"/>
          <w:sz w:val="24"/>
        </w:rPr>
        <w:t>。</w:t>
      </w:r>
    </w:p>
    <w:p>
      <w:pPr>
        <w:pStyle w:val="42"/>
        <w:spacing w:line="440" w:lineRule="exact"/>
        <w:ind w:left="120" w:firstLine="361" w:firstLineChars="150"/>
        <w:rPr>
          <w:sz w:val="24"/>
        </w:rPr>
      </w:pPr>
      <w:r>
        <w:rPr>
          <w:rFonts w:hint="eastAsia"/>
          <w:b/>
          <w:sz w:val="24"/>
        </w:rPr>
        <w:t>技术文件</w:t>
      </w:r>
      <w:r>
        <w:rPr>
          <w:rFonts w:hint="eastAsia"/>
          <w:sz w:val="24"/>
        </w:rPr>
        <w:t>包括以下部分：</w:t>
      </w:r>
    </w:p>
    <w:p>
      <w:pPr>
        <w:pStyle w:val="42"/>
        <w:spacing w:line="440" w:lineRule="exact"/>
        <w:ind w:firstLine="480"/>
        <w:rPr>
          <w:sz w:val="24"/>
        </w:rPr>
      </w:pPr>
      <w:r>
        <w:rPr>
          <w:rFonts w:hint="eastAsia"/>
          <w:sz w:val="24"/>
        </w:rPr>
        <w:t>（1）投标函（格式见附件1）</w:t>
      </w:r>
    </w:p>
    <w:p>
      <w:pPr>
        <w:spacing w:line="360" w:lineRule="auto"/>
        <w:ind w:firstLine="480" w:firstLineChars="200"/>
        <w:rPr>
          <w:sz w:val="24"/>
        </w:rPr>
      </w:pPr>
      <w:r>
        <w:rPr>
          <w:rFonts w:hint="eastAsia"/>
          <w:sz w:val="24"/>
        </w:rPr>
        <w:t>（2）企业实力：相关认证证书复印件（原件备查）</w:t>
      </w:r>
    </w:p>
    <w:p>
      <w:pPr>
        <w:spacing w:line="360" w:lineRule="auto"/>
        <w:ind w:firstLine="480" w:firstLineChars="200"/>
        <w:rPr>
          <w:sz w:val="24"/>
        </w:rPr>
      </w:pPr>
      <w:r>
        <w:rPr>
          <w:rFonts w:hint="eastAsia"/>
          <w:sz w:val="24"/>
        </w:rPr>
        <w:t>（3）企业信用：包括2020年度第三方财务审计报告、信用评级认证证书复印件</w:t>
      </w:r>
      <w:r>
        <w:rPr>
          <w:sz w:val="24"/>
        </w:rPr>
        <w:t>（</w:t>
      </w:r>
      <w:r>
        <w:rPr>
          <w:rFonts w:hint="eastAsia"/>
          <w:sz w:val="24"/>
        </w:rPr>
        <w:t>原件</w:t>
      </w:r>
      <w:r>
        <w:rPr>
          <w:sz w:val="24"/>
        </w:rPr>
        <w:t>备查）</w:t>
      </w:r>
      <w:r>
        <w:rPr>
          <w:rFonts w:hint="eastAsia"/>
          <w:sz w:val="24"/>
        </w:rPr>
        <w:t>，服务</w:t>
      </w:r>
      <w:r>
        <w:rPr>
          <w:sz w:val="24"/>
        </w:rPr>
        <w:t>单位</w:t>
      </w:r>
      <w:r>
        <w:rPr>
          <w:rFonts w:hint="eastAsia"/>
          <w:sz w:val="24"/>
        </w:rPr>
        <w:t>评价</w:t>
      </w:r>
      <w:r>
        <w:rPr>
          <w:sz w:val="24"/>
        </w:rPr>
        <w:t>材料</w:t>
      </w:r>
    </w:p>
    <w:p>
      <w:pPr>
        <w:spacing w:line="360" w:lineRule="auto"/>
        <w:ind w:firstLine="480" w:firstLineChars="200"/>
        <w:rPr>
          <w:sz w:val="24"/>
        </w:rPr>
      </w:pPr>
      <w:r>
        <w:rPr>
          <w:rFonts w:hint="eastAsia"/>
          <w:sz w:val="24"/>
        </w:rPr>
        <w:t>（4）经营业绩：包括合同复印件（原件备查）、经营业绩证明材料</w:t>
      </w:r>
    </w:p>
    <w:p>
      <w:pPr>
        <w:spacing w:line="360" w:lineRule="auto"/>
        <w:ind w:firstLine="480" w:firstLineChars="200"/>
        <w:rPr>
          <w:sz w:val="24"/>
        </w:rPr>
      </w:pPr>
      <w:r>
        <w:rPr>
          <w:rFonts w:hint="eastAsia"/>
          <w:sz w:val="24"/>
        </w:rPr>
        <w:t>（5）企业荣誉：相关证明材料（原件备查）</w:t>
      </w:r>
    </w:p>
    <w:p>
      <w:pPr>
        <w:spacing w:line="360" w:lineRule="auto"/>
        <w:ind w:firstLine="480" w:firstLineChars="200"/>
        <w:rPr>
          <w:sz w:val="24"/>
        </w:rPr>
      </w:pPr>
      <w:r>
        <w:rPr>
          <w:rFonts w:hint="eastAsia"/>
          <w:sz w:val="24"/>
        </w:rPr>
        <w:t>（6）服务团队：包括学历证书、劳动合同、技能证书复印件（原件备查），合作高校食堂管理部门证明、社保证明材料</w:t>
      </w:r>
    </w:p>
    <w:p>
      <w:pPr>
        <w:spacing w:line="360" w:lineRule="auto"/>
        <w:ind w:firstLine="480" w:firstLineChars="200"/>
        <w:rPr>
          <w:sz w:val="24"/>
        </w:rPr>
      </w:pPr>
      <w:r>
        <w:rPr>
          <w:rFonts w:hint="eastAsia"/>
          <w:sz w:val="24"/>
        </w:rPr>
        <w:t>（7）经营方案：包括基本大伙、风味窗口经营方案，经营品种、价格、配料构成及份量的方案</w:t>
      </w:r>
    </w:p>
    <w:p>
      <w:pPr>
        <w:spacing w:line="360" w:lineRule="auto"/>
        <w:ind w:firstLine="480" w:firstLineChars="200"/>
        <w:rPr>
          <w:sz w:val="24"/>
        </w:rPr>
      </w:pPr>
      <w:r>
        <w:rPr>
          <w:rFonts w:hint="eastAsia"/>
          <w:sz w:val="24"/>
        </w:rPr>
        <w:t>（8）管理方案：包括相关制度、</w:t>
      </w:r>
      <w:r>
        <w:rPr>
          <w:sz w:val="24"/>
        </w:rPr>
        <w:t>人员</w:t>
      </w:r>
      <w:r>
        <w:rPr>
          <w:rFonts w:hint="eastAsia"/>
          <w:sz w:val="24"/>
        </w:rPr>
        <w:t>配备，食品安全、生产安全、消防安全等的保障措施及应急预案</w:t>
      </w:r>
    </w:p>
    <w:p>
      <w:pPr>
        <w:spacing w:line="360" w:lineRule="auto"/>
        <w:ind w:firstLine="480" w:firstLineChars="200"/>
        <w:rPr>
          <w:sz w:val="24"/>
        </w:rPr>
      </w:pPr>
      <w:r>
        <w:rPr>
          <w:rFonts w:hint="eastAsia"/>
          <w:sz w:val="24"/>
        </w:rPr>
        <w:t>（9）优化方案：包括食堂环境优化、智慧食堂优化方案</w:t>
      </w:r>
    </w:p>
    <w:p>
      <w:pPr>
        <w:spacing w:line="360" w:lineRule="auto"/>
        <w:ind w:firstLine="480" w:firstLineChars="200"/>
        <w:rPr>
          <w:sz w:val="24"/>
        </w:rPr>
      </w:pPr>
      <w:r>
        <w:rPr>
          <w:rFonts w:hint="eastAsia"/>
          <w:sz w:val="24"/>
        </w:rPr>
        <w:t>（10）餐饮文化建设：包括美食节等重要活动材料，中国传统习俗的节日活动方案</w:t>
      </w:r>
    </w:p>
    <w:p>
      <w:pPr>
        <w:spacing w:line="360" w:lineRule="auto"/>
        <w:ind w:firstLine="480" w:firstLineChars="200"/>
        <w:rPr>
          <w:sz w:val="24"/>
        </w:rPr>
      </w:pPr>
      <w:r>
        <w:rPr>
          <w:rFonts w:hint="eastAsia"/>
          <w:sz w:val="24"/>
        </w:rPr>
        <w:t>（11）社会公益：参与社会捐赠、救助、脱贫等社会公益活动的相关证明材料</w:t>
      </w:r>
    </w:p>
    <w:p>
      <w:pPr>
        <w:spacing w:line="360" w:lineRule="auto"/>
        <w:ind w:firstLine="480" w:firstLineChars="200"/>
        <w:rPr>
          <w:sz w:val="24"/>
        </w:rPr>
      </w:pPr>
      <w:r>
        <w:rPr>
          <w:rFonts w:hint="eastAsia"/>
          <w:sz w:val="24"/>
        </w:rPr>
        <w:t>（12）承诺：包括服从管理承诺，发生安全事故的责任承诺，承担经营风险承诺，期满退出承诺，不转包、分包承诺</w:t>
      </w:r>
    </w:p>
    <w:p>
      <w:pPr>
        <w:spacing w:line="440" w:lineRule="exact"/>
        <w:ind w:firstLine="482" w:firstLineChars="200"/>
        <w:rPr>
          <w:b/>
          <w:sz w:val="24"/>
        </w:rPr>
      </w:pPr>
      <w:r>
        <w:rPr>
          <w:rFonts w:hint="eastAsia"/>
          <w:b/>
          <w:sz w:val="24"/>
        </w:rPr>
        <w:t>资格证明文件：</w:t>
      </w:r>
    </w:p>
    <w:p>
      <w:pPr>
        <w:spacing w:line="440" w:lineRule="exact"/>
        <w:ind w:firstLine="480" w:firstLineChars="200"/>
        <w:rPr>
          <w:sz w:val="24"/>
        </w:rPr>
      </w:pPr>
      <w:r>
        <w:rPr>
          <w:rFonts w:hint="eastAsia"/>
          <w:sz w:val="24"/>
        </w:rPr>
        <w:t>（1）营业执照复印件</w:t>
      </w:r>
    </w:p>
    <w:p>
      <w:pPr>
        <w:spacing w:line="440" w:lineRule="exact"/>
        <w:ind w:firstLine="480" w:firstLineChars="200"/>
        <w:rPr>
          <w:sz w:val="24"/>
        </w:rPr>
      </w:pPr>
      <w:r>
        <w:rPr>
          <w:rFonts w:hint="eastAsia"/>
          <w:sz w:val="24"/>
        </w:rPr>
        <w:t>（2）食品经营许可证复印件</w:t>
      </w:r>
    </w:p>
    <w:p>
      <w:pPr>
        <w:spacing w:line="440" w:lineRule="exact"/>
        <w:ind w:firstLine="480" w:firstLineChars="200"/>
        <w:rPr>
          <w:sz w:val="24"/>
        </w:rPr>
      </w:pPr>
      <w:r>
        <w:rPr>
          <w:rFonts w:hint="eastAsia"/>
          <w:sz w:val="24"/>
        </w:rPr>
        <w:t>（3）法定代表人资格证明（格式见附件2）</w:t>
      </w:r>
    </w:p>
    <w:p>
      <w:pPr>
        <w:spacing w:line="440" w:lineRule="exact"/>
        <w:ind w:firstLine="480" w:firstLineChars="200"/>
        <w:rPr>
          <w:sz w:val="24"/>
        </w:rPr>
      </w:pPr>
      <w:r>
        <w:rPr>
          <w:rFonts w:hint="eastAsia"/>
          <w:sz w:val="24"/>
        </w:rPr>
        <w:t>（4）法定代表人授权书（格式见附件3）</w:t>
      </w:r>
    </w:p>
    <w:p>
      <w:pPr>
        <w:spacing w:line="440" w:lineRule="exact"/>
        <w:ind w:firstLine="480" w:firstLineChars="200"/>
        <w:rPr>
          <w:sz w:val="24"/>
        </w:rPr>
      </w:pPr>
      <w:r>
        <w:rPr>
          <w:rFonts w:hint="eastAsia"/>
          <w:sz w:val="24"/>
        </w:rPr>
        <w:t>（5）被授权代表自2</w:t>
      </w:r>
      <w:r>
        <w:rPr>
          <w:sz w:val="24"/>
        </w:rPr>
        <w:t>021</w:t>
      </w:r>
      <w:r>
        <w:rPr>
          <w:rFonts w:hint="eastAsia"/>
          <w:sz w:val="24"/>
        </w:rPr>
        <w:t>年</w:t>
      </w:r>
      <w:r>
        <w:rPr>
          <w:sz w:val="24"/>
        </w:rPr>
        <w:t>1</w:t>
      </w:r>
      <w:r>
        <w:rPr>
          <w:rFonts w:hint="eastAsia"/>
          <w:sz w:val="24"/>
        </w:rPr>
        <w:t>月以来任意一个月依法缴纳社会保障金的相关证明材料</w:t>
      </w:r>
    </w:p>
    <w:p>
      <w:pPr>
        <w:spacing w:line="440" w:lineRule="exact"/>
        <w:ind w:firstLine="480" w:firstLineChars="200"/>
        <w:rPr>
          <w:sz w:val="24"/>
        </w:rPr>
      </w:pPr>
      <w:r>
        <w:rPr>
          <w:rFonts w:hint="eastAsia"/>
          <w:sz w:val="24"/>
        </w:rPr>
        <w:t>（6）投标人自2</w:t>
      </w:r>
      <w:r>
        <w:rPr>
          <w:sz w:val="24"/>
        </w:rPr>
        <w:t>021</w:t>
      </w:r>
      <w:r>
        <w:rPr>
          <w:rFonts w:hint="eastAsia"/>
          <w:sz w:val="24"/>
        </w:rPr>
        <w:t>年</w:t>
      </w:r>
      <w:r>
        <w:rPr>
          <w:sz w:val="24"/>
        </w:rPr>
        <w:t>1</w:t>
      </w:r>
      <w:r>
        <w:rPr>
          <w:rFonts w:hint="eastAsia"/>
          <w:sz w:val="24"/>
        </w:rPr>
        <w:t>月以来任意一个月依法缴纳税收的相关证明材料</w:t>
      </w:r>
    </w:p>
    <w:p>
      <w:pPr>
        <w:spacing w:line="360" w:lineRule="auto"/>
        <w:ind w:firstLine="480" w:firstLineChars="200"/>
        <w:rPr>
          <w:rFonts w:cs="宋体"/>
          <w:color w:val="000000"/>
          <w:sz w:val="24"/>
        </w:rPr>
      </w:pPr>
      <w:r>
        <w:rPr>
          <w:rFonts w:hint="eastAsia"/>
          <w:sz w:val="24"/>
        </w:rPr>
        <w:t>（7）</w:t>
      </w:r>
      <w:r>
        <w:rPr>
          <w:rFonts w:cs="宋体"/>
          <w:color w:val="000000"/>
          <w:sz w:val="24"/>
        </w:rPr>
        <w:t>无重大违法记录声明（见附件11）</w:t>
      </w:r>
    </w:p>
    <w:p>
      <w:pPr>
        <w:spacing w:line="360" w:lineRule="auto"/>
        <w:ind w:firstLine="480" w:firstLineChars="200"/>
        <w:rPr>
          <w:rFonts w:cs="宋体"/>
          <w:color w:val="000000"/>
          <w:sz w:val="24"/>
        </w:rPr>
      </w:pPr>
      <w:r>
        <w:rPr>
          <w:rFonts w:hint="eastAsia" w:cs="宋体"/>
          <w:color w:val="000000"/>
          <w:sz w:val="24"/>
        </w:rPr>
        <w:t>（</w:t>
      </w:r>
      <w:r>
        <w:rPr>
          <w:rFonts w:cs="宋体"/>
          <w:color w:val="000000"/>
          <w:sz w:val="24"/>
        </w:rPr>
        <w:t>8</w:t>
      </w:r>
      <w:r>
        <w:rPr>
          <w:rFonts w:hint="eastAsia" w:cs="宋体"/>
          <w:color w:val="000000"/>
          <w:sz w:val="24"/>
        </w:rPr>
        <w:t>）诚信承诺书（见附件1</w:t>
      </w:r>
      <w:r>
        <w:rPr>
          <w:rFonts w:cs="宋体"/>
          <w:color w:val="000000"/>
          <w:sz w:val="24"/>
        </w:rPr>
        <w:t>2</w:t>
      </w:r>
      <w:r>
        <w:rPr>
          <w:rFonts w:hint="eastAsia" w:cs="宋体"/>
          <w:color w:val="000000"/>
          <w:sz w:val="24"/>
        </w:rPr>
        <w:t>）</w:t>
      </w:r>
    </w:p>
    <w:p>
      <w:pPr>
        <w:spacing w:line="440" w:lineRule="exact"/>
        <w:ind w:firstLine="482" w:firstLineChars="200"/>
        <w:rPr>
          <w:rFonts w:ascii="黑体" w:hAnsi="黑体" w:eastAsia="黑体"/>
          <w:b/>
          <w:sz w:val="24"/>
        </w:rPr>
      </w:pPr>
      <w:r>
        <w:rPr>
          <w:rFonts w:hint="eastAsia" w:ascii="黑体" w:hAnsi="黑体" w:eastAsia="黑体"/>
          <w:b/>
          <w:sz w:val="24"/>
        </w:rPr>
        <w:t>以上资格证明文件的复印件均需加盖投标人公章，原件备查。</w:t>
      </w:r>
    </w:p>
    <w:p>
      <w:pPr>
        <w:spacing w:line="360" w:lineRule="auto"/>
        <w:ind w:firstLine="590" w:firstLineChars="245"/>
        <w:rPr>
          <w:b/>
          <w:sz w:val="24"/>
        </w:rPr>
      </w:pPr>
      <w:r>
        <w:rPr>
          <w:b/>
          <w:sz w:val="24"/>
        </w:rPr>
        <w:t xml:space="preserve">2.3.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）投标人需提交</w:t>
      </w:r>
      <w:r>
        <w:rPr>
          <w:rFonts w:hint="eastAsia"/>
          <w:color w:val="000000"/>
          <w:sz w:val="24"/>
        </w:rPr>
        <w:t>资格证明文件正本</w:t>
      </w:r>
      <w:r>
        <w:rPr>
          <w:color w:val="000000"/>
          <w:sz w:val="24"/>
        </w:rPr>
        <w:t>1</w:t>
      </w:r>
      <w:r>
        <w:rPr>
          <w:rFonts w:hint="eastAsia"/>
          <w:color w:val="000000"/>
          <w:sz w:val="24"/>
        </w:rPr>
        <w:t>份，副本4份；技术文件（一）正本</w:t>
      </w:r>
      <w:r>
        <w:rPr>
          <w:color w:val="000000"/>
          <w:sz w:val="24"/>
        </w:rPr>
        <w:t>1</w:t>
      </w:r>
      <w:r>
        <w:rPr>
          <w:rFonts w:hint="eastAsia"/>
          <w:color w:val="000000"/>
          <w:sz w:val="24"/>
        </w:rPr>
        <w:t>份、副本4份，资格</w:t>
      </w:r>
      <w:r>
        <w:rPr>
          <w:color w:val="000000"/>
          <w:sz w:val="24"/>
        </w:rPr>
        <w:t>证明文件和技术文件（</w:t>
      </w:r>
      <w:r>
        <w:rPr>
          <w:rFonts w:hint="eastAsia"/>
          <w:color w:val="000000"/>
          <w:sz w:val="24"/>
        </w:rPr>
        <w:t>一</w:t>
      </w:r>
      <w:r>
        <w:rPr>
          <w:color w:val="000000"/>
          <w:sz w:val="24"/>
        </w:rPr>
        <w:t>）</w:t>
      </w:r>
      <w:r>
        <w:rPr>
          <w:rFonts w:hint="eastAsia"/>
          <w:color w:val="000000"/>
          <w:sz w:val="24"/>
        </w:rPr>
        <w:t>的</w:t>
      </w:r>
      <w:r>
        <w:rPr>
          <w:color w:val="000000"/>
          <w:sz w:val="24"/>
        </w:rPr>
        <w:t>封面需标明资格证明文件、技术文件（</w:t>
      </w:r>
      <w:r>
        <w:rPr>
          <w:rFonts w:hint="eastAsia"/>
          <w:color w:val="000000"/>
          <w:sz w:val="24"/>
        </w:rPr>
        <w:t>一</w:t>
      </w:r>
      <w:r>
        <w:rPr>
          <w:color w:val="000000"/>
          <w:sz w:val="24"/>
        </w:rPr>
        <w:t>）</w:t>
      </w:r>
      <w:r>
        <w:rPr>
          <w:rFonts w:hint="eastAsia"/>
          <w:color w:val="000000"/>
          <w:sz w:val="24"/>
        </w:rPr>
        <w:t>以及正本和副本，不需要</w:t>
      </w:r>
      <w:r>
        <w:rPr>
          <w:color w:val="000000"/>
          <w:sz w:val="24"/>
        </w:rPr>
        <w:t>标明</w:t>
      </w:r>
      <w:r>
        <w:rPr>
          <w:rFonts w:hint="eastAsia"/>
          <w:color w:val="000000"/>
          <w:sz w:val="24"/>
        </w:rPr>
        <w:t>标段</w:t>
      </w:r>
      <w:r>
        <w:rPr>
          <w:color w:val="000000"/>
          <w:sz w:val="24"/>
        </w:rPr>
        <w:t>。</w:t>
      </w:r>
      <w:r>
        <w:rPr>
          <w:rFonts w:hint="eastAsia"/>
          <w:b/>
          <w:color w:val="000000"/>
          <w:sz w:val="24"/>
        </w:rPr>
        <w:t>投标人需针对</w:t>
      </w:r>
      <w:r>
        <w:rPr>
          <w:b/>
          <w:color w:val="000000"/>
          <w:sz w:val="24"/>
        </w:rPr>
        <w:t>不同标段</w:t>
      </w:r>
      <w:r>
        <w:rPr>
          <w:rFonts w:hint="eastAsia"/>
          <w:b/>
          <w:color w:val="000000"/>
          <w:sz w:val="24"/>
        </w:rPr>
        <w:t>分别提交技术文件（二）正本1份、副本4份，技术文件（二）封面</w:t>
      </w:r>
      <w:r>
        <w:rPr>
          <w:b/>
          <w:color w:val="000000"/>
          <w:sz w:val="24"/>
        </w:rPr>
        <w:t>需标明</w:t>
      </w:r>
      <w:r>
        <w:rPr>
          <w:rFonts w:hint="eastAsia"/>
          <w:b/>
          <w:color w:val="000000"/>
          <w:sz w:val="24"/>
        </w:rPr>
        <w:t>技术文件（二）和</w:t>
      </w:r>
      <w:r>
        <w:rPr>
          <w:b/>
          <w:color w:val="000000"/>
          <w:sz w:val="24"/>
        </w:rPr>
        <w:t>具体标段</w:t>
      </w:r>
      <w:r>
        <w:rPr>
          <w:rFonts w:hint="eastAsia"/>
          <w:b/>
          <w:color w:val="000000"/>
          <w:sz w:val="24"/>
        </w:rPr>
        <w:t>以及正本和副本。</w:t>
      </w:r>
      <w:r>
        <w:rPr>
          <w:rFonts w:hint="eastAsia"/>
          <w:color w:val="000000"/>
          <w:sz w:val="24"/>
        </w:rPr>
        <w:t>如投标文件正本与副本有不同之处，</w:t>
      </w:r>
      <w:r>
        <w:rPr>
          <w:rFonts w:hint="eastAsia"/>
          <w:sz w:val="24"/>
        </w:rPr>
        <w:t>以正本为准。</w:t>
      </w:r>
    </w:p>
    <w:p>
      <w:pPr>
        <w:spacing w:line="360" w:lineRule="auto"/>
        <w:ind w:firstLine="482" w:firstLineChars="200"/>
        <w:rPr>
          <w:rFonts w:ascii="黑体" w:hAnsi="黑体" w:eastAsia="黑体"/>
          <w:b/>
          <w:sz w:val="24"/>
        </w:rPr>
      </w:pPr>
      <w:r>
        <w:rPr>
          <w:rFonts w:hint="eastAsia" w:ascii="黑体" w:hAnsi="黑体" w:eastAsia="黑体"/>
          <w:b/>
          <w:sz w:val="24"/>
        </w:rPr>
        <w:t>（</w:t>
      </w:r>
      <w:r>
        <w:rPr>
          <w:rFonts w:ascii="黑体" w:hAnsi="黑体" w:eastAsia="黑体"/>
          <w:b/>
          <w:sz w:val="24"/>
        </w:rPr>
        <w:t>2</w:t>
      </w:r>
      <w:r>
        <w:rPr>
          <w:rFonts w:hint="eastAsia" w:ascii="黑体" w:hAnsi="黑体" w:eastAsia="黑体"/>
          <w:b/>
          <w:sz w:val="24"/>
        </w:rPr>
        <w:t>）资格证明文件和技术文件（一）须分开独立包装，即：分别装在</w:t>
      </w:r>
      <w:r>
        <w:rPr>
          <w:rFonts w:ascii="黑体" w:hAnsi="黑体" w:eastAsia="黑体"/>
          <w:b/>
          <w:sz w:val="24"/>
        </w:rPr>
        <w:t>2</w:t>
      </w:r>
      <w:r>
        <w:rPr>
          <w:rFonts w:hint="eastAsia" w:ascii="黑体" w:hAnsi="黑体" w:eastAsia="黑体"/>
          <w:b/>
          <w:sz w:val="24"/>
        </w:rPr>
        <w:t>个纸袋里，并在袋子封面分别注明资格证明文件和技术文件（一）以及正本和副本，不需要标明标段；技术文件（二）需独立</w:t>
      </w:r>
      <w:r>
        <w:rPr>
          <w:rFonts w:ascii="黑体" w:hAnsi="黑体" w:eastAsia="黑体"/>
          <w:b/>
          <w:sz w:val="24"/>
        </w:rPr>
        <w:t>包装，</w:t>
      </w:r>
      <w:r>
        <w:rPr>
          <w:rFonts w:hint="eastAsia" w:ascii="黑体" w:hAnsi="黑体" w:eastAsia="黑体"/>
          <w:b/>
          <w:sz w:val="24"/>
        </w:rPr>
        <w:t>如投多个标段，技术文件（二）需一个标段装在一个袋内，</w:t>
      </w:r>
      <w:r>
        <w:rPr>
          <w:rFonts w:ascii="黑体" w:hAnsi="黑体" w:eastAsia="黑体"/>
          <w:b/>
          <w:sz w:val="24"/>
        </w:rPr>
        <w:t>并在</w:t>
      </w:r>
      <w:r>
        <w:rPr>
          <w:rFonts w:hint="eastAsia" w:ascii="黑体" w:hAnsi="黑体" w:eastAsia="黑体"/>
          <w:b/>
          <w:sz w:val="24"/>
        </w:rPr>
        <w:t>袋子</w:t>
      </w:r>
      <w:r>
        <w:rPr>
          <w:rFonts w:ascii="黑体" w:hAnsi="黑体" w:eastAsia="黑体"/>
          <w:b/>
          <w:sz w:val="24"/>
        </w:rPr>
        <w:t>封面分别注明</w:t>
      </w:r>
      <w:r>
        <w:rPr>
          <w:rFonts w:hint="eastAsia" w:ascii="黑体" w:hAnsi="黑体" w:eastAsia="黑体"/>
          <w:b/>
          <w:sz w:val="24"/>
        </w:rPr>
        <w:t>技术文件（二）和具体标段以及正本和副本。</w:t>
      </w:r>
    </w:p>
    <w:p>
      <w:pPr>
        <w:spacing w:line="360" w:lineRule="auto"/>
        <w:ind w:firstLine="480" w:firstLineChars="200"/>
        <w:rPr>
          <w:rFonts w:ascii="黑体" w:hAnsi="黑体" w:eastAsia="黑体"/>
          <w:b/>
          <w:sz w:val="24"/>
        </w:rPr>
      </w:pPr>
      <w:r>
        <w:rPr>
          <w:rFonts w:hint="eastAsia" w:ascii="黑体" w:hAnsi="黑体" w:eastAsia="黑体"/>
          <w:sz w:val="24"/>
        </w:rPr>
        <w:t>（</w:t>
      </w:r>
      <w:r>
        <w:rPr>
          <w:rFonts w:ascii="黑体" w:hAnsi="黑体" w:eastAsia="黑体"/>
          <w:sz w:val="24"/>
        </w:rPr>
        <w:t>3</w:t>
      </w:r>
      <w:r>
        <w:rPr>
          <w:rFonts w:hint="eastAsia" w:ascii="黑体" w:hAnsi="黑体" w:eastAsia="黑体"/>
          <w:sz w:val="24"/>
        </w:rPr>
        <w:t>）</w:t>
      </w:r>
      <w:r>
        <w:rPr>
          <w:rFonts w:hint="eastAsia"/>
          <w:color w:val="000000"/>
          <w:sz w:val="24"/>
        </w:rPr>
        <w:t>投标文件正本与副本均应使用</w:t>
      </w:r>
      <w:r>
        <w:rPr>
          <w:color w:val="000000"/>
          <w:sz w:val="24"/>
        </w:rPr>
        <w:t>A4</w:t>
      </w:r>
      <w:r>
        <w:rPr>
          <w:rFonts w:hint="eastAsia"/>
          <w:color w:val="000000"/>
          <w:sz w:val="24"/>
        </w:rPr>
        <w:t>型纸打印并</w:t>
      </w:r>
      <w:r>
        <w:rPr>
          <w:rFonts w:hint="eastAsia" w:ascii="黑体" w:hAnsi="黑体" w:eastAsia="黑体"/>
          <w:b/>
          <w:color w:val="000000"/>
          <w:sz w:val="24"/>
        </w:rPr>
        <w:t>胶印装订，</w:t>
      </w:r>
      <w:r>
        <w:rPr>
          <w:rFonts w:ascii="黑体" w:hAnsi="黑体" w:eastAsia="黑体"/>
          <w:b/>
          <w:color w:val="000000"/>
          <w:sz w:val="24"/>
        </w:rPr>
        <w:t>不得使用活页夹</w:t>
      </w:r>
      <w:r>
        <w:rPr>
          <w:rFonts w:hint="eastAsia" w:ascii="黑体" w:hAnsi="黑体" w:eastAsia="黑体"/>
          <w:b/>
          <w:sz w:val="24"/>
        </w:rPr>
        <w:t>。</w:t>
      </w:r>
    </w:p>
    <w:p>
      <w:pPr>
        <w:spacing w:line="360" w:lineRule="auto"/>
        <w:ind w:firstLine="480" w:firstLineChars="200"/>
        <w:rPr>
          <w:sz w:val="24"/>
        </w:rPr>
      </w:pPr>
      <w:r>
        <w:rPr>
          <w:rFonts w:hint="eastAsia"/>
          <w:sz w:val="24"/>
        </w:rPr>
        <w:t>（</w:t>
      </w:r>
      <w:r>
        <w:rPr>
          <w:sz w:val="24"/>
        </w:rPr>
        <w:t>4</w:t>
      </w:r>
      <w:r>
        <w:rPr>
          <w:rFonts w:hint="eastAsia"/>
          <w:sz w:val="24"/>
        </w:rPr>
        <w:t>）投标文件不应有涂改、增删之处，但如有错误必须修改时，修改处必须由原授权代表签署。</w:t>
      </w:r>
    </w:p>
    <w:p>
      <w:pPr>
        <w:spacing w:line="360" w:lineRule="auto"/>
        <w:ind w:firstLine="472" w:firstLineChars="196"/>
        <w:rPr>
          <w:b/>
          <w:sz w:val="24"/>
        </w:rPr>
      </w:pPr>
      <w:r>
        <w:rPr>
          <w:b/>
          <w:sz w:val="24"/>
        </w:rPr>
        <w:t xml:space="preserve">2.4.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）收件人：南通大学招投标管理办公室</w:t>
      </w:r>
    </w:p>
    <w:p>
      <w:pPr>
        <w:spacing w:line="360" w:lineRule="auto"/>
        <w:ind w:firstLine="960" w:firstLineChars="400"/>
        <w:rPr>
          <w:sz w:val="24"/>
          <w:u w:val="single"/>
        </w:rPr>
      </w:pPr>
      <w:r>
        <w:rPr>
          <w:rFonts w:hint="eastAsia"/>
          <w:sz w:val="24"/>
        </w:rPr>
        <w:t>（</w:t>
      </w:r>
      <w:r>
        <w:rPr>
          <w:sz w:val="24"/>
        </w:rPr>
        <w:t>2</w:t>
      </w:r>
      <w:r>
        <w:rPr>
          <w:rFonts w:hint="eastAsia"/>
          <w:sz w:val="24"/>
        </w:rPr>
        <w:t>）招标项目编号：</w:t>
      </w:r>
      <w:r>
        <w:rPr>
          <w:rFonts w:hint="eastAsia"/>
          <w:sz w:val="24"/>
          <w:u w:val="single"/>
        </w:rPr>
        <w:t xml:space="preserve">                             </w:t>
      </w:r>
    </w:p>
    <w:p>
      <w:pPr>
        <w:spacing w:line="360" w:lineRule="auto"/>
        <w:ind w:firstLine="960" w:firstLineChars="400"/>
        <w:rPr>
          <w:sz w:val="24"/>
          <w:u w:val="single"/>
        </w:rPr>
      </w:pPr>
      <w:r>
        <w:rPr>
          <w:rFonts w:hint="eastAsia"/>
          <w:sz w:val="24"/>
        </w:rPr>
        <w:t>（</w:t>
      </w:r>
      <w:r>
        <w:rPr>
          <w:sz w:val="24"/>
        </w:rPr>
        <w:t>3</w:t>
      </w:r>
      <w:r>
        <w:rPr>
          <w:rFonts w:hint="eastAsia"/>
          <w:sz w:val="24"/>
        </w:rPr>
        <w:t>）招标项目名称：</w:t>
      </w:r>
      <w:r>
        <w:rPr>
          <w:rFonts w:hint="eastAsia"/>
          <w:sz w:val="24"/>
          <w:u w:val="single"/>
        </w:rPr>
        <w:t xml:space="preserve">                               </w:t>
      </w:r>
    </w:p>
    <w:p>
      <w:pPr>
        <w:spacing w:line="360" w:lineRule="auto"/>
        <w:ind w:firstLine="960" w:firstLineChars="400"/>
        <w:rPr>
          <w:sz w:val="24"/>
          <w:u w:val="single"/>
        </w:rPr>
      </w:pPr>
      <w:r>
        <w:rPr>
          <w:rFonts w:hint="eastAsia"/>
          <w:sz w:val="24"/>
        </w:rPr>
        <w:t>（</w:t>
      </w:r>
      <w:r>
        <w:rPr>
          <w:sz w:val="24"/>
        </w:rPr>
        <w:t>4</w:t>
      </w:r>
      <w:r>
        <w:rPr>
          <w:rFonts w:hint="eastAsia"/>
          <w:sz w:val="24"/>
        </w:rPr>
        <w:t>）投标人名称：</w:t>
      </w:r>
      <w:r>
        <w:rPr>
          <w:rFonts w:hint="eastAsia"/>
          <w:sz w:val="24"/>
          <w:u w:val="single"/>
        </w:rPr>
        <w:t xml:space="preserve">                                  </w:t>
      </w:r>
    </w:p>
    <w:p>
      <w:pPr>
        <w:spacing w:line="360" w:lineRule="auto"/>
        <w:ind w:firstLine="960" w:firstLineChars="400"/>
        <w:rPr>
          <w:sz w:val="24"/>
          <w:u w:val="single"/>
        </w:rPr>
      </w:pPr>
      <w:r>
        <w:rPr>
          <w:rFonts w:hint="eastAsia"/>
          <w:sz w:val="24"/>
        </w:rPr>
        <w:t>（</w:t>
      </w:r>
      <w:r>
        <w:rPr>
          <w:sz w:val="24"/>
        </w:rPr>
        <w:t>5</w:t>
      </w:r>
      <w:r>
        <w:rPr>
          <w:rFonts w:hint="eastAsia"/>
          <w:sz w:val="24"/>
        </w:rPr>
        <w:t>）联系电话（手机）：</w:t>
      </w:r>
      <w:r>
        <w:rPr>
          <w:rFonts w:hint="eastAsia"/>
          <w:sz w:val="24"/>
          <w:u w:val="single"/>
        </w:rPr>
        <w:t xml:space="preserve">                              </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sz w:val="24"/>
        </w:rPr>
      </w:pPr>
      <w:r>
        <w:rPr>
          <w:rFonts w:hint="eastAsia"/>
          <w:sz w:val="24"/>
        </w:rPr>
        <w:t>没有按上述规定密封和标记的投标文件，招标人将不承担投标文件错放或提前开启的责任。</w:t>
      </w:r>
    </w:p>
    <w:p>
      <w:pPr>
        <w:pStyle w:val="3"/>
      </w:pPr>
      <w:bookmarkStart w:id="6" w:name="_Toc77795158"/>
      <w:r>
        <w:rPr>
          <w:rFonts w:hint="eastAsia"/>
        </w:rPr>
        <w:t>三、投标细则</w:t>
      </w:r>
      <w:bookmarkEnd w:id="6"/>
    </w:p>
    <w:p>
      <w:pPr>
        <w:spacing w:line="360" w:lineRule="auto"/>
        <w:ind w:firstLine="482" w:firstLineChars="200"/>
        <w:rPr>
          <w:b/>
          <w:sz w:val="24"/>
        </w:rPr>
      </w:pPr>
      <w:r>
        <w:rPr>
          <w:b/>
          <w:sz w:val="24"/>
        </w:rPr>
        <w:t>3.</w:t>
      </w:r>
      <w:r>
        <w:rPr>
          <w:rFonts w:hint="eastAsia"/>
          <w:b/>
          <w:sz w:val="24"/>
        </w:rPr>
        <w:t>1</w:t>
      </w:r>
      <w:r>
        <w:rPr>
          <w:b/>
          <w:sz w:val="24"/>
        </w:rPr>
        <w:t xml:space="preserve">.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）投标文件应在投标截止时间前送达指定地点，</w:t>
      </w:r>
      <w:r>
        <w:rPr>
          <w:rFonts w:hint="eastAsia" w:ascii="黑体" w:eastAsia="黑体"/>
          <w:b/>
          <w:sz w:val="24"/>
        </w:rPr>
        <w:t>逾期送达或未送达指定地点以及未按招标文件要求密封的投标文件，</w:t>
      </w:r>
      <w:r>
        <w:rPr>
          <w:rFonts w:hint="eastAsia"/>
          <w:b/>
          <w:sz w:val="24"/>
        </w:rPr>
        <w:t>采购人将拒收</w:t>
      </w:r>
      <w:r>
        <w:rPr>
          <w:rFonts w:hint="eastAsia" w:ascii="黑体" w:eastAsia="黑体"/>
          <w:b/>
          <w:sz w:val="24"/>
        </w:rPr>
        <w:t>或退还投标人</w:t>
      </w:r>
      <w:r>
        <w:rPr>
          <w:rFonts w:hint="eastAsia"/>
          <w:b/>
          <w:sz w:val="24"/>
        </w:rPr>
        <w:t>，</w:t>
      </w:r>
      <w:r>
        <w:rPr>
          <w:rFonts w:hint="eastAsia" w:ascii="黑体" w:eastAsia="黑体"/>
          <w:b/>
          <w:sz w:val="24"/>
        </w:rPr>
        <w:t>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w:t>
      </w:r>
      <w:r>
        <w:rPr>
          <w:rFonts w:hint="eastAsia"/>
          <w:b/>
          <w:sz w:val="24"/>
        </w:rPr>
        <w:t>2</w:t>
      </w:r>
      <w:r>
        <w:rPr>
          <w:b/>
          <w:sz w:val="24"/>
        </w:rPr>
        <w:t>.</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b/>
          <w:sz w:val="24"/>
        </w:rPr>
      </w:pPr>
      <w:r>
        <w:rPr>
          <w:b/>
          <w:sz w:val="24"/>
        </w:rPr>
        <w:t>3.</w:t>
      </w:r>
      <w:r>
        <w:rPr>
          <w:rFonts w:hint="eastAsia"/>
          <w:b/>
          <w:sz w:val="24"/>
        </w:rPr>
        <w:t>3</w:t>
      </w:r>
      <w:r>
        <w:rPr>
          <w:b/>
          <w:sz w:val="24"/>
        </w:rPr>
        <w:t xml:space="preserve">. </w:t>
      </w:r>
      <w:r>
        <w:rPr>
          <w:rFonts w:hint="eastAsia"/>
          <w:sz w:val="24"/>
        </w:rPr>
        <w:t>分包投标</w:t>
      </w:r>
    </w:p>
    <w:p>
      <w:pPr>
        <w:spacing w:line="360" w:lineRule="auto"/>
        <w:ind w:firstLine="482" w:firstLineChars="200"/>
        <w:rPr>
          <w:rFonts w:ascii="黑体" w:eastAsia="黑体"/>
          <w:b/>
          <w:sz w:val="24"/>
        </w:rPr>
      </w:pPr>
      <w:r>
        <w:rPr>
          <w:rFonts w:hint="eastAsia" w:ascii="黑体" w:eastAsia="黑体"/>
          <w:b/>
          <w:sz w:val="24"/>
        </w:rPr>
        <w:t>本次招标不可分包投标和中标。</w:t>
      </w:r>
    </w:p>
    <w:p>
      <w:pPr>
        <w:spacing w:line="360" w:lineRule="auto"/>
        <w:ind w:firstLine="482" w:firstLineChars="200"/>
        <w:rPr>
          <w:rFonts w:ascii="宋体" w:hAnsi="宋体"/>
          <w:sz w:val="24"/>
        </w:rPr>
      </w:pPr>
      <w:r>
        <w:rPr>
          <w:b/>
          <w:sz w:val="24"/>
        </w:rPr>
        <w:t>3.</w:t>
      </w:r>
      <w:r>
        <w:rPr>
          <w:rFonts w:hint="eastAsia"/>
          <w:b/>
          <w:sz w:val="24"/>
        </w:rPr>
        <w:t>4</w:t>
      </w:r>
      <w:r>
        <w:rPr>
          <w:b/>
          <w:sz w:val="24"/>
        </w:rPr>
        <w:t xml:space="preserve">.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5</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6</w:t>
      </w:r>
      <w:r>
        <w:rPr>
          <w:b/>
          <w:sz w:val="24"/>
        </w:rPr>
        <w:t xml:space="preserve">. </w:t>
      </w:r>
      <w:r>
        <w:rPr>
          <w:rFonts w:hint="eastAsia"/>
          <w:sz w:val="24"/>
        </w:rPr>
        <w:t>招标终止</w:t>
      </w:r>
    </w:p>
    <w:p>
      <w:pPr>
        <w:spacing w:line="360" w:lineRule="auto"/>
        <w:ind w:firstLine="480" w:firstLineChars="200"/>
        <w:rPr>
          <w:sz w:val="24"/>
        </w:rPr>
      </w:pPr>
      <w:r>
        <w:rPr>
          <w:rFonts w:hint="eastAsia"/>
          <w:sz w:val="24"/>
        </w:rPr>
        <w:t>投标截止后，如投标人少于</w:t>
      </w:r>
      <w:r>
        <w:rPr>
          <w:sz w:val="24"/>
        </w:rPr>
        <w:t>3</w:t>
      </w:r>
      <w:r>
        <w:rPr>
          <w:rFonts w:hint="eastAsia"/>
          <w:sz w:val="24"/>
        </w:rPr>
        <w:t>个，采购人有权选择其他采购方式或终止本次招标。</w:t>
      </w:r>
    </w:p>
    <w:p>
      <w:pPr>
        <w:spacing w:line="360" w:lineRule="auto"/>
        <w:rPr>
          <w:rFonts w:ascii="宋体"/>
          <w:b/>
          <w:sz w:val="24"/>
        </w:rPr>
      </w:pPr>
    </w:p>
    <w:p>
      <w:pPr>
        <w:spacing w:line="360" w:lineRule="auto"/>
        <w:rPr>
          <w:rFonts w:ascii="宋体"/>
          <w:b/>
          <w:sz w:val="24"/>
        </w:rPr>
      </w:pPr>
    </w:p>
    <w:p>
      <w:pPr>
        <w:pStyle w:val="3"/>
      </w:pPr>
      <w:bookmarkStart w:id="7" w:name="_Toc24632171"/>
      <w:bookmarkStart w:id="8" w:name="_Toc77795159"/>
      <w:r>
        <w:rPr>
          <w:rFonts w:hint="eastAsia"/>
        </w:rPr>
        <w:t>四、评标</w:t>
      </w:r>
      <w:bookmarkEnd w:id="7"/>
      <w:bookmarkEnd w:id="8"/>
    </w:p>
    <w:p>
      <w:pPr>
        <w:spacing w:line="360" w:lineRule="auto"/>
        <w:ind w:firstLine="482" w:firstLineChars="200"/>
        <w:rPr>
          <w:sz w:val="24"/>
        </w:rPr>
      </w:pPr>
      <w:r>
        <w:rPr>
          <w:b/>
          <w:sz w:val="24"/>
        </w:rPr>
        <w:t xml:space="preserve">4.1. </w:t>
      </w:r>
      <w:r>
        <w:rPr>
          <w:rFonts w:hint="eastAsia"/>
          <w:sz w:val="24"/>
        </w:rPr>
        <w:t>采购人按规定的时间和地点进行开标，投标人需派代表（持授权代表身份证明）参加并保持手机畅通，</w:t>
      </w:r>
      <w:r>
        <w:rPr>
          <w:rFonts w:hint="eastAsia" w:ascii="黑体" w:eastAsia="黑体"/>
          <w:b/>
          <w:sz w:val="24"/>
        </w:rPr>
        <w:t>投标人未派代表参加开标的，视为默认接受开标结果。</w:t>
      </w:r>
    </w:p>
    <w:p>
      <w:pPr>
        <w:spacing w:line="360" w:lineRule="auto"/>
        <w:ind w:firstLine="482" w:firstLineChars="200"/>
        <w:rPr>
          <w:sz w:val="24"/>
        </w:rPr>
      </w:pPr>
      <w:r>
        <w:rPr>
          <w:b/>
          <w:sz w:val="24"/>
        </w:rPr>
        <w:t xml:space="preserve">4.2. </w:t>
      </w:r>
      <w:r>
        <w:rPr>
          <w:rFonts w:hint="eastAsia"/>
          <w:sz w:val="24"/>
        </w:rPr>
        <w:t>采购人组织用户代表和</w:t>
      </w:r>
      <w:r>
        <w:rPr>
          <w:rFonts w:hint="eastAsia" w:ascii="宋体"/>
          <w:sz w:val="24"/>
          <w:lang w:val="zh-CN"/>
        </w:rPr>
        <w:t>有关技术</w:t>
      </w:r>
      <w:r>
        <w:rPr>
          <w:rFonts w:hint="eastAsia"/>
          <w:sz w:val="24"/>
        </w:rPr>
        <w:t>专家组成评标小组进行评标。</w:t>
      </w:r>
    </w:p>
    <w:p>
      <w:pPr>
        <w:spacing w:line="360" w:lineRule="auto"/>
        <w:ind w:firstLine="482" w:firstLineChars="200"/>
        <w:rPr>
          <w:b/>
          <w:sz w:val="24"/>
        </w:rPr>
      </w:pPr>
      <w:r>
        <w:rPr>
          <w:b/>
          <w:sz w:val="24"/>
        </w:rPr>
        <w:t xml:space="preserve">4.3. </w:t>
      </w:r>
      <w:r>
        <w:rPr>
          <w:rFonts w:hint="eastAsia"/>
          <w:sz w:val="24"/>
        </w:rPr>
        <w:t>在详细评标之前，采购人和评委要对投标人的</w:t>
      </w:r>
      <w:r>
        <w:rPr>
          <w:rFonts w:hint="eastAsia" w:ascii="宋体" w:hAnsi="宋体"/>
          <w:sz w:val="24"/>
        </w:rPr>
        <w:t>投标资格以</w:t>
      </w:r>
      <w:r>
        <w:rPr>
          <w:rFonts w:hint="eastAsia"/>
          <w:sz w:val="24"/>
        </w:rPr>
        <w:t>及投标是否对招标文件的实质性要求和条件做出响应进行审查。</w:t>
      </w:r>
    </w:p>
    <w:p>
      <w:pPr>
        <w:spacing w:line="360" w:lineRule="auto"/>
        <w:ind w:firstLine="482" w:firstLineChars="200"/>
        <w:rPr>
          <w:b/>
          <w:sz w:val="24"/>
        </w:rPr>
      </w:pPr>
      <w:r>
        <w:rPr>
          <w:b/>
          <w:sz w:val="24"/>
        </w:rPr>
        <w:t xml:space="preserve">4.4. </w:t>
      </w:r>
      <w:r>
        <w:rPr>
          <w:rFonts w:hint="eastAsia"/>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2" w:lineRule="auto"/>
        <w:ind w:firstLine="482" w:firstLineChars="200"/>
        <w:rPr>
          <w:sz w:val="24"/>
        </w:rPr>
      </w:pPr>
      <w:r>
        <w:rPr>
          <w:b/>
          <w:sz w:val="24"/>
        </w:rPr>
        <w:t xml:space="preserve">4.5. </w:t>
      </w:r>
      <w:r>
        <w:rPr>
          <w:rFonts w:hint="eastAsia"/>
          <w:sz w:val="24"/>
        </w:rPr>
        <w:t>投标文件出现（但不限于）下列情况之一的，由评标小组评审后作无效投标或废标处理：</w:t>
      </w:r>
    </w:p>
    <w:p>
      <w:pPr>
        <w:spacing w:line="352" w:lineRule="auto"/>
        <w:ind w:firstLine="480" w:firstLineChars="200"/>
        <w:rPr>
          <w:sz w:val="24"/>
        </w:rPr>
      </w:pPr>
      <w:r>
        <w:rPr>
          <w:rFonts w:hint="eastAsia"/>
          <w:sz w:val="24"/>
        </w:rPr>
        <w:t>（</w:t>
      </w:r>
      <w:r>
        <w:rPr>
          <w:sz w:val="24"/>
        </w:rPr>
        <w:t>1</w:t>
      </w:r>
      <w:r>
        <w:rPr>
          <w:rFonts w:hint="eastAsia"/>
          <w:sz w:val="24"/>
        </w:rPr>
        <w:t>）超出经营范围投标的；</w:t>
      </w:r>
    </w:p>
    <w:p>
      <w:pPr>
        <w:spacing w:line="352"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不具备招标文件规定的资格条件及未按招标文件规定的要求提供资格证明文件和投标保证金的；</w:t>
      </w:r>
    </w:p>
    <w:p>
      <w:pPr>
        <w:spacing w:line="352"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2" w:lineRule="auto"/>
        <w:ind w:firstLine="480" w:firstLineChars="200"/>
        <w:rPr>
          <w:sz w:val="24"/>
        </w:rPr>
      </w:pPr>
      <w:r>
        <w:rPr>
          <w:rFonts w:hint="eastAsia"/>
          <w:sz w:val="24"/>
        </w:rPr>
        <w:t>（</w:t>
      </w:r>
      <w:r>
        <w:rPr>
          <w:sz w:val="24"/>
        </w:rPr>
        <w:t>4</w:t>
      </w:r>
      <w:r>
        <w:rPr>
          <w:rFonts w:hint="eastAsia"/>
          <w:sz w:val="24"/>
        </w:rPr>
        <w:t>）投标有效期不足的；</w:t>
      </w:r>
    </w:p>
    <w:p>
      <w:pPr>
        <w:spacing w:line="352" w:lineRule="auto"/>
        <w:ind w:firstLine="480" w:firstLineChars="200"/>
        <w:rPr>
          <w:sz w:val="24"/>
        </w:rPr>
      </w:pPr>
      <w:r>
        <w:rPr>
          <w:rFonts w:hint="eastAsia"/>
          <w:sz w:val="24"/>
        </w:rPr>
        <w:t>（</w:t>
      </w:r>
      <w:r>
        <w:rPr>
          <w:sz w:val="24"/>
        </w:rPr>
        <w:t>5</w:t>
      </w:r>
      <w:r>
        <w:rPr>
          <w:rFonts w:hint="eastAsia"/>
          <w:sz w:val="24"/>
        </w:rPr>
        <w:t>）重要技术指标和参数不满足招标要求的；</w:t>
      </w:r>
    </w:p>
    <w:p>
      <w:pPr>
        <w:tabs>
          <w:tab w:val="left" w:pos="525"/>
          <w:tab w:val="left" w:pos="1050"/>
        </w:tabs>
        <w:spacing w:line="352" w:lineRule="auto"/>
        <w:ind w:left="1" w:firstLine="480" w:firstLineChars="200"/>
        <w:rPr>
          <w:rFonts w:ascii="宋体"/>
          <w:bCs/>
          <w:sz w:val="24"/>
        </w:rPr>
      </w:pPr>
      <w:r>
        <w:rPr>
          <w:rFonts w:hint="eastAsia"/>
          <w:sz w:val="24"/>
        </w:rPr>
        <w:t>（</w:t>
      </w:r>
      <w:r>
        <w:rPr>
          <w:sz w:val="24"/>
        </w:rPr>
        <w:t>6</w:t>
      </w:r>
      <w:r>
        <w:rPr>
          <w:rFonts w:hint="eastAsia"/>
          <w:sz w:val="24"/>
        </w:rPr>
        <w:t>）</w:t>
      </w:r>
      <w:r>
        <w:rPr>
          <w:rFonts w:hint="eastAsia" w:ascii="宋体" w:hAnsi="宋体"/>
          <w:bCs/>
          <w:sz w:val="24"/>
        </w:rPr>
        <w:t>重要内容或关键字迹模糊不清无法辨认的；</w:t>
      </w:r>
    </w:p>
    <w:p>
      <w:pPr>
        <w:spacing w:line="352" w:lineRule="auto"/>
        <w:ind w:firstLine="480" w:firstLineChars="200"/>
        <w:rPr>
          <w:sz w:val="24"/>
        </w:rPr>
      </w:pPr>
      <w:r>
        <w:rPr>
          <w:rFonts w:hint="eastAsia"/>
          <w:sz w:val="24"/>
        </w:rPr>
        <w:t>（</w:t>
      </w:r>
      <w:r>
        <w:rPr>
          <w:sz w:val="24"/>
        </w:rPr>
        <w:t>7</w:t>
      </w:r>
      <w:r>
        <w:rPr>
          <w:rFonts w:hint="eastAsia"/>
          <w:sz w:val="24"/>
        </w:rPr>
        <w:t>）未对招标文件实质性要求和条件做出响应的；</w:t>
      </w:r>
    </w:p>
    <w:p>
      <w:pPr>
        <w:spacing w:line="352" w:lineRule="auto"/>
        <w:ind w:firstLine="480" w:firstLineChars="200"/>
        <w:rPr>
          <w:sz w:val="24"/>
        </w:rPr>
      </w:pPr>
      <w:r>
        <w:rPr>
          <w:rFonts w:hint="eastAsia"/>
          <w:sz w:val="24"/>
        </w:rPr>
        <w:t>（</w:t>
      </w:r>
      <w:r>
        <w:rPr>
          <w:sz w:val="24"/>
        </w:rPr>
        <w:t>8</w:t>
      </w:r>
      <w:r>
        <w:rPr>
          <w:rFonts w:hint="eastAsia"/>
          <w:sz w:val="24"/>
        </w:rPr>
        <w:t>）有损害采购人和用户利益的规定的；</w:t>
      </w:r>
    </w:p>
    <w:p>
      <w:pPr>
        <w:spacing w:line="352" w:lineRule="auto"/>
        <w:ind w:firstLine="480" w:firstLineChars="200"/>
        <w:rPr>
          <w:sz w:val="24"/>
        </w:rPr>
      </w:pPr>
      <w:r>
        <w:rPr>
          <w:rFonts w:hint="eastAsia"/>
          <w:sz w:val="24"/>
        </w:rPr>
        <w:t>（</w:t>
      </w:r>
      <w:r>
        <w:rPr>
          <w:sz w:val="24"/>
        </w:rPr>
        <w:t>9</w:t>
      </w:r>
      <w:r>
        <w:rPr>
          <w:rFonts w:hint="eastAsia"/>
          <w:sz w:val="24"/>
        </w:rPr>
        <w:t>）不同投标人的投标文件由同一单位或者个人编制；</w:t>
      </w:r>
    </w:p>
    <w:p>
      <w:pPr>
        <w:spacing w:line="352" w:lineRule="auto"/>
        <w:ind w:firstLine="480" w:firstLineChars="200"/>
        <w:rPr>
          <w:sz w:val="24"/>
        </w:rPr>
      </w:pPr>
      <w:r>
        <w:rPr>
          <w:rFonts w:hint="eastAsia"/>
          <w:sz w:val="24"/>
        </w:rPr>
        <w:t>（</w:t>
      </w:r>
      <w:r>
        <w:rPr>
          <w:sz w:val="24"/>
        </w:rPr>
        <w:t>10</w:t>
      </w:r>
      <w:r>
        <w:rPr>
          <w:rFonts w:hint="eastAsia"/>
          <w:sz w:val="24"/>
        </w:rPr>
        <w:t>）不同投标人委托同一单位或者个人办理投标事宜；</w:t>
      </w:r>
    </w:p>
    <w:p>
      <w:pPr>
        <w:spacing w:line="352" w:lineRule="auto"/>
        <w:ind w:firstLine="480" w:firstLineChars="200"/>
        <w:rPr>
          <w:sz w:val="24"/>
        </w:rPr>
      </w:pPr>
      <w:r>
        <w:rPr>
          <w:rFonts w:hint="eastAsia"/>
          <w:sz w:val="24"/>
        </w:rPr>
        <w:t>（</w:t>
      </w:r>
      <w:r>
        <w:rPr>
          <w:sz w:val="24"/>
        </w:rPr>
        <w:t>11</w:t>
      </w:r>
      <w:r>
        <w:rPr>
          <w:rFonts w:hint="eastAsia"/>
          <w:sz w:val="24"/>
        </w:rPr>
        <w:t>）不同投标人的投标文件载明的项目管理成员或者联系人员为同一人；</w:t>
      </w:r>
    </w:p>
    <w:p>
      <w:pPr>
        <w:spacing w:line="352" w:lineRule="auto"/>
        <w:ind w:firstLine="480" w:firstLineChars="200"/>
        <w:rPr>
          <w:sz w:val="24"/>
        </w:rPr>
      </w:pPr>
      <w:r>
        <w:rPr>
          <w:rFonts w:hint="eastAsia"/>
          <w:sz w:val="24"/>
        </w:rPr>
        <w:t>（</w:t>
      </w:r>
      <w:r>
        <w:rPr>
          <w:sz w:val="24"/>
        </w:rPr>
        <w:t>12</w:t>
      </w:r>
      <w:r>
        <w:rPr>
          <w:rFonts w:hint="eastAsia"/>
          <w:sz w:val="24"/>
        </w:rPr>
        <w:t>）不同投标人的投标文件相互混装。</w:t>
      </w:r>
    </w:p>
    <w:p>
      <w:pPr>
        <w:spacing w:line="352" w:lineRule="auto"/>
        <w:ind w:firstLine="482" w:firstLineChars="200"/>
        <w:rPr>
          <w:b/>
          <w:sz w:val="24"/>
        </w:rPr>
      </w:pPr>
      <w:r>
        <w:rPr>
          <w:b/>
          <w:sz w:val="24"/>
        </w:rPr>
        <w:t xml:space="preserve">4.6. </w:t>
      </w:r>
      <w:r>
        <w:rPr>
          <w:rFonts w:hint="eastAsia"/>
          <w:sz w:val="24"/>
        </w:rPr>
        <w:t>评标小组认为有必要时，将要求投标人述标或对投标文件中某些内容做出澄清或说明，但不接受投标人主动提出的澄清和说明。</w:t>
      </w:r>
    </w:p>
    <w:p>
      <w:pPr>
        <w:spacing w:line="352" w:lineRule="auto"/>
        <w:ind w:firstLine="482" w:firstLineChars="200"/>
        <w:rPr>
          <w:sz w:val="24"/>
        </w:rPr>
      </w:pPr>
      <w:r>
        <w:rPr>
          <w:b/>
          <w:sz w:val="24"/>
        </w:rPr>
        <w:t xml:space="preserve">4.7. </w:t>
      </w:r>
      <w:r>
        <w:rPr>
          <w:rFonts w:hint="eastAsia"/>
          <w:sz w:val="24"/>
        </w:rPr>
        <w:t>评标小组将从投标人的技术方案等方面，依据评标方法，对所有投标文件进行综合评审。</w:t>
      </w:r>
    </w:p>
    <w:p>
      <w:pPr>
        <w:pStyle w:val="50"/>
        <w:ind w:firstLine="420"/>
      </w:pPr>
    </w:p>
    <w:p>
      <w:pPr>
        <w:pStyle w:val="3"/>
        <w:jc w:val="left"/>
      </w:pPr>
      <w:bookmarkStart w:id="9" w:name="_Toc77795160"/>
      <w:r>
        <w:rPr>
          <w:rFonts w:hint="eastAsia"/>
        </w:rPr>
        <w:t>五、评标方法及评分标准</w:t>
      </w:r>
      <w:bookmarkEnd w:id="9"/>
    </w:p>
    <w:p>
      <w:pPr>
        <w:spacing w:line="353" w:lineRule="auto"/>
        <w:ind w:firstLine="472" w:firstLineChars="196"/>
        <w:rPr>
          <w:sz w:val="24"/>
        </w:rPr>
      </w:pPr>
      <w:r>
        <w:rPr>
          <w:b/>
          <w:sz w:val="24"/>
        </w:rPr>
        <w:t>5.1.</w:t>
      </w:r>
      <w:r>
        <w:rPr>
          <w:rFonts w:hint="eastAsia"/>
          <w:sz w:val="24"/>
        </w:rPr>
        <w:t>评标方法</w:t>
      </w:r>
    </w:p>
    <w:p>
      <w:pPr>
        <w:spacing w:line="353" w:lineRule="auto"/>
        <w:ind w:firstLine="470" w:firstLineChars="196"/>
        <w:rPr>
          <w:sz w:val="24"/>
        </w:rPr>
      </w:pPr>
      <w:r>
        <w:rPr>
          <w:rFonts w:hint="eastAsia"/>
          <w:sz w:val="24"/>
        </w:rPr>
        <w:t>（1）本次评标按一、二标段顺序开标。</w:t>
      </w:r>
    </w:p>
    <w:p>
      <w:pPr>
        <w:spacing w:line="360" w:lineRule="auto"/>
        <w:ind w:firstLine="480" w:firstLineChars="200"/>
        <w:rPr>
          <w:sz w:val="24"/>
        </w:rPr>
      </w:pPr>
      <w:r>
        <w:rPr>
          <w:rFonts w:hint="eastAsia"/>
          <w:sz w:val="24"/>
        </w:rPr>
        <w:t>（2）公开招标程序：资格符合性评审→技术标评审→确定中标候选人</w:t>
      </w:r>
    </w:p>
    <w:p>
      <w:pPr>
        <w:spacing w:line="360" w:lineRule="auto"/>
        <w:ind w:firstLine="480" w:firstLineChars="200"/>
        <w:rPr>
          <w:sz w:val="24"/>
        </w:rPr>
      </w:pPr>
      <w:r>
        <w:rPr>
          <w:rFonts w:hint="eastAsia"/>
          <w:sz w:val="24"/>
        </w:rPr>
        <w:t>（3）本次项目的综合得分总分值为100分。</w:t>
      </w:r>
    </w:p>
    <w:p>
      <w:pPr>
        <w:spacing w:line="360" w:lineRule="auto"/>
        <w:ind w:firstLine="480" w:firstLineChars="200"/>
        <w:rPr>
          <w:sz w:val="24"/>
        </w:rPr>
      </w:pPr>
      <w:r>
        <w:rPr>
          <w:rFonts w:hint="eastAsia"/>
          <w:sz w:val="24"/>
        </w:rPr>
        <w:t>（4）投标人的技术标评审得分为该投标人的综合得分（计算结果均四舍五入保留两位小数）。</w:t>
      </w:r>
    </w:p>
    <w:p>
      <w:pPr>
        <w:spacing w:line="360" w:lineRule="auto"/>
        <w:ind w:firstLine="480" w:firstLineChars="200"/>
        <w:rPr>
          <w:sz w:val="24"/>
        </w:rPr>
      </w:pPr>
      <w:r>
        <w:rPr>
          <w:rFonts w:hint="eastAsia"/>
          <w:sz w:val="24"/>
        </w:rPr>
        <w:t>（</w:t>
      </w:r>
      <w:r>
        <w:rPr>
          <w:sz w:val="24"/>
        </w:rPr>
        <w:t>5</w:t>
      </w:r>
      <w:r>
        <w:rPr>
          <w:rFonts w:hint="eastAsia"/>
          <w:sz w:val="24"/>
        </w:rPr>
        <w:t>）</w:t>
      </w:r>
      <w:r>
        <w:rPr>
          <w:rFonts w:hint="eastAsia"/>
          <w:bCs/>
          <w:sz w:val="24"/>
        </w:rPr>
        <w:t>评标小组按照投标人综合得分由高到低顺序对投标人进行排序。综合</w:t>
      </w:r>
      <w:r>
        <w:rPr>
          <w:rFonts w:hint="eastAsia"/>
          <w:sz w:val="24"/>
        </w:rPr>
        <w:t>得分相同的，则按照经营方案、管理方案、食堂优化方案、企业实力</w:t>
      </w:r>
      <w:r>
        <w:rPr>
          <w:sz w:val="24"/>
        </w:rPr>
        <w:t>、</w:t>
      </w:r>
      <w:r>
        <w:rPr>
          <w:rFonts w:hint="eastAsia"/>
          <w:sz w:val="24"/>
        </w:rPr>
        <w:t>经营</w:t>
      </w:r>
      <w:r>
        <w:rPr>
          <w:sz w:val="24"/>
        </w:rPr>
        <w:t>业绩、</w:t>
      </w:r>
      <w:r>
        <w:rPr>
          <w:rFonts w:hint="eastAsia"/>
          <w:sz w:val="24"/>
        </w:rPr>
        <w:t>企业</w:t>
      </w:r>
      <w:r>
        <w:rPr>
          <w:sz w:val="24"/>
        </w:rPr>
        <w:t>荣誉、服务团队</w:t>
      </w:r>
      <w:r>
        <w:rPr>
          <w:rFonts w:hint="eastAsia"/>
          <w:sz w:val="24"/>
        </w:rPr>
        <w:t>的顺序确定中标人，即综合得分相同则按照经营方案得分排序，如再相同则按照管理方案得分排序，</w:t>
      </w:r>
      <w:r>
        <w:rPr>
          <w:sz w:val="24"/>
        </w:rPr>
        <w:t>以此类推</w:t>
      </w:r>
      <w:r>
        <w:rPr>
          <w:rFonts w:hint="eastAsia"/>
          <w:sz w:val="24"/>
        </w:rPr>
        <w:t>。得分最高且排名第一的投标人将被推荐为中标候选人或者直接被确定为中标人。</w:t>
      </w:r>
    </w:p>
    <w:p>
      <w:pPr>
        <w:spacing w:line="360" w:lineRule="auto"/>
        <w:ind w:firstLine="480" w:firstLineChars="200"/>
        <w:rPr>
          <w:sz w:val="24"/>
        </w:rPr>
      </w:pPr>
    </w:p>
    <w:p>
      <w:pPr>
        <w:spacing w:line="360" w:lineRule="auto"/>
        <w:ind w:firstLine="480" w:firstLineChars="200"/>
        <w:rPr>
          <w:sz w:val="24"/>
        </w:rPr>
      </w:pPr>
    </w:p>
    <w:p>
      <w:pPr>
        <w:widowControl/>
        <w:jc w:val="left"/>
        <w:rPr>
          <w:b/>
          <w:sz w:val="24"/>
        </w:rPr>
      </w:pPr>
      <w:r>
        <w:rPr>
          <w:b/>
          <w:sz w:val="24"/>
        </w:rPr>
        <w:br w:type="page"/>
      </w:r>
    </w:p>
    <w:p>
      <w:pPr>
        <w:pStyle w:val="50"/>
        <w:ind w:firstLine="0" w:firstLineChars="0"/>
        <w:rPr>
          <w:rFonts w:ascii="宋体" w:hAnsi="宋体"/>
          <w:b/>
          <w:bCs/>
          <w:sz w:val="24"/>
          <w:szCs w:val="24"/>
        </w:rPr>
      </w:pPr>
      <w:r>
        <w:rPr>
          <w:sz w:val="24"/>
          <w:szCs w:val="24"/>
        </w:rPr>
        <w:t xml:space="preserve">5.2. </w:t>
      </w:r>
      <w:r>
        <w:rPr>
          <w:rFonts w:hint="eastAsia" w:ascii="宋体" w:hAnsi="宋体"/>
          <w:sz w:val="24"/>
          <w:szCs w:val="24"/>
        </w:rPr>
        <w:t>评判标准</w:t>
      </w:r>
    </w:p>
    <w:p>
      <w:pPr>
        <w:rPr>
          <w:b/>
          <w:sz w:val="24"/>
        </w:rPr>
      </w:pPr>
      <w:r>
        <w:rPr>
          <w:rFonts w:hint="eastAsia" w:ascii="宋体" w:hAnsi="宋体"/>
          <w:b/>
          <w:sz w:val="24"/>
        </w:rPr>
        <w:t>技术标（一）</w:t>
      </w:r>
    </w:p>
    <w:tbl>
      <w:tblPr>
        <w:tblStyle w:val="19"/>
        <w:tblpPr w:leftFromText="180" w:rightFromText="180" w:vertAnchor="text" w:horzAnchor="page" w:tblpX="1060" w:tblpY="42"/>
        <w:tblOverlap w:val="never"/>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825"/>
        <w:gridCol w:w="1515"/>
        <w:gridCol w:w="6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30" w:type="dxa"/>
            <w:tcBorders>
              <w:top w:val="single" w:color="auto" w:sz="4" w:space="0"/>
              <w:left w:val="single" w:color="auto" w:sz="4" w:space="0"/>
              <w:bottom w:val="single" w:color="auto" w:sz="4" w:space="0"/>
              <w:right w:val="single" w:color="auto" w:sz="4" w:space="0"/>
            </w:tcBorders>
            <w:vAlign w:val="center"/>
          </w:tcPr>
          <w:p>
            <w:pPr>
              <w:pStyle w:val="60"/>
              <w:spacing w:line="288" w:lineRule="auto"/>
              <w:ind w:left="422" w:hanging="422" w:hangingChars="200"/>
              <w:rPr>
                <w:rFonts w:ascii="宋体" w:hAnsi="宋体" w:eastAsia="宋体" w:cs="宋体"/>
                <w:b/>
                <w:bCs/>
                <w:spacing w:val="0"/>
                <w:sz w:val="21"/>
                <w:szCs w:val="21"/>
              </w:rPr>
            </w:pPr>
            <w:r>
              <w:rPr>
                <w:rFonts w:hint="eastAsia" w:ascii="宋体" w:hAnsi="宋体" w:eastAsia="宋体" w:cs="宋体"/>
                <w:b/>
                <w:bCs/>
                <w:spacing w:val="0"/>
                <w:sz w:val="21"/>
                <w:szCs w:val="21"/>
              </w:rPr>
              <w:t>评审</w:t>
            </w:r>
          </w:p>
          <w:p>
            <w:pPr>
              <w:pStyle w:val="60"/>
              <w:spacing w:line="288" w:lineRule="auto"/>
              <w:ind w:left="422" w:hanging="422" w:hangingChars="200"/>
              <w:rPr>
                <w:rFonts w:ascii="宋体" w:hAnsi="宋体" w:eastAsia="宋体" w:cs="宋体"/>
                <w:b/>
                <w:bCs/>
                <w:spacing w:val="0"/>
                <w:sz w:val="21"/>
                <w:szCs w:val="21"/>
              </w:rPr>
            </w:pPr>
            <w:r>
              <w:rPr>
                <w:rFonts w:hint="eastAsia" w:ascii="宋体" w:hAnsi="宋体" w:eastAsia="宋体" w:cs="宋体"/>
                <w:b/>
                <w:bCs/>
                <w:spacing w:val="0"/>
                <w:sz w:val="21"/>
                <w:szCs w:val="21"/>
              </w:rPr>
              <w:t>因素</w:t>
            </w:r>
          </w:p>
        </w:tc>
        <w:tc>
          <w:tcPr>
            <w:tcW w:w="2340" w:type="dxa"/>
            <w:gridSpan w:val="2"/>
            <w:tcBorders>
              <w:top w:val="single" w:color="auto" w:sz="4" w:space="0"/>
              <w:left w:val="single" w:color="auto" w:sz="4" w:space="0"/>
              <w:bottom w:val="single" w:color="auto" w:sz="4" w:space="0"/>
              <w:right w:val="single" w:color="auto" w:sz="4" w:space="0"/>
            </w:tcBorders>
            <w:vAlign w:val="center"/>
          </w:tcPr>
          <w:p>
            <w:pPr>
              <w:pStyle w:val="60"/>
              <w:spacing w:line="288" w:lineRule="auto"/>
              <w:ind w:firstLine="474"/>
              <w:rPr>
                <w:rFonts w:ascii="宋体" w:hAnsi="宋体" w:eastAsia="宋体" w:cs="宋体"/>
                <w:b/>
                <w:bCs/>
                <w:spacing w:val="0"/>
                <w:sz w:val="21"/>
                <w:szCs w:val="21"/>
              </w:rPr>
            </w:pPr>
            <w:r>
              <w:rPr>
                <w:rFonts w:hint="eastAsia" w:ascii="宋体" w:hAnsi="宋体" w:eastAsia="宋体" w:cs="宋体"/>
                <w:b/>
                <w:bCs/>
                <w:spacing w:val="0"/>
                <w:sz w:val="21"/>
                <w:szCs w:val="21"/>
              </w:rPr>
              <w:t>分值</w:t>
            </w:r>
          </w:p>
        </w:tc>
        <w:tc>
          <w:tcPr>
            <w:tcW w:w="6750" w:type="dxa"/>
            <w:tcBorders>
              <w:top w:val="single" w:color="auto" w:sz="4" w:space="0"/>
              <w:left w:val="single" w:color="auto" w:sz="4" w:space="0"/>
              <w:bottom w:val="single" w:color="auto" w:sz="4" w:space="0"/>
              <w:right w:val="single" w:color="auto" w:sz="4" w:space="0"/>
            </w:tcBorders>
            <w:vAlign w:val="center"/>
          </w:tcPr>
          <w:p>
            <w:pPr>
              <w:pStyle w:val="60"/>
              <w:spacing w:line="288" w:lineRule="auto"/>
              <w:ind w:firstLine="474"/>
              <w:rPr>
                <w:rFonts w:ascii="宋体" w:hAnsi="宋体" w:eastAsia="宋体" w:cs="宋体"/>
                <w:b/>
                <w:bCs/>
                <w:spacing w:val="0"/>
                <w:sz w:val="21"/>
                <w:szCs w:val="21"/>
              </w:rPr>
            </w:pPr>
            <w:r>
              <w:rPr>
                <w:rFonts w:hint="eastAsia" w:ascii="宋体" w:hAnsi="宋体" w:eastAsia="宋体" w:cs="宋体"/>
                <w:b/>
                <w:bCs/>
                <w:spacing w:val="0"/>
                <w:sz w:val="21"/>
                <w:szCs w:val="21"/>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rPr>
                <w:rFonts w:ascii="宋体" w:hAnsi="宋体" w:cs="宋体"/>
                <w:kern w:val="0"/>
                <w:szCs w:val="21"/>
              </w:rPr>
            </w:pPr>
          </w:p>
          <w:p>
            <w:pPr>
              <w:widowControl/>
              <w:spacing w:line="340" w:lineRule="exact"/>
              <w:jc w:val="center"/>
              <w:rPr>
                <w:rFonts w:ascii="宋体" w:hAnsi="宋体" w:cs="宋体"/>
                <w:kern w:val="0"/>
                <w:szCs w:val="21"/>
              </w:rPr>
            </w:pPr>
            <w:r>
              <w:rPr>
                <w:rFonts w:hint="eastAsia" w:ascii="宋体" w:hAnsi="宋体" w:cs="宋体"/>
                <w:kern w:val="0"/>
                <w:szCs w:val="21"/>
              </w:rPr>
              <w:t>技术分</w:t>
            </w:r>
          </w:p>
        </w:tc>
        <w:tc>
          <w:tcPr>
            <w:tcW w:w="82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jc w:val="center"/>
              <w:rPr>
                <w:rFonts w:ascii="宋体" w:hAnsi="宋体" w:cs="宋体"/>
                <w:kern w:val="0"/>
                <w:szCs w:val="21"/>
              </w:rPr>
            </w:pPr>
          </w:p>
          <w:p>
            <w:pPr>
              <w:widowControl/>
              <w:spacing w:line="340" w:lineRule="exact"/>
              <w:rPr>
                <w:rFonts w:ascii="宋体" w:hAnsi="宋体" w:cs="宋体"/>
                <w:kern w:val="0"/>
                <w:szCs w:val="21"/>
              </w:rPr>
            </w:pPr>
          </w:p>
          <w:p>
            <w:pPr>
              <w:widowControl/>
              <w:spacing w:line="340" w:lineRule="exact"/>
              <w:jc w:val="center"/>
              <w:rPr>
                <w:rFonts w:ascii="宋体" w:hAnsi="宋体" w:cs="宋体"/>
                <w:kern w:val="0"/>
                <w:szCs w:val="21"/>
              </w:rPr>
            </w:pPr>
            <w:r>
              <w:rPr>
                <w:rFonts w:hint="eastAsia" w:ascii="宋体" w:hAnsi="宋体" w:cs="宋体"/>
                <w:kern w:val="0"/>
                <w:szCs w:val="21"/>
              </w:rPr>
              <w:t>58分</w:t>
            </w: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企业实力</w:t>
            </w:r>
          </w:p>
          <w:p>
            <w:pPr>
              <w:widowControl/>
              <w:spacing w:line="340" w:lineRule="exact"/>
              <w:jc w:val="center"/>
              <w:rPr>
                <w:rFonts w:ascii="宋体" w:hAnsi="宋体" w:cs="宋体"/>
                <w:kern w:val="0"/>
                <w:szCs w:val="21"/>
              </w:rPr>
            </w:pPr>
            <w:r>
              <w:rPr>
                <w:rFonts w:hint="eastAsia" w:ascii="宋体" w:hAnsi="宋体" w:cs="宋体"/>
                <w:kern w:val="0"/>
                <w:szCs w:val="21"/>
              </w:rPr>
              <w:t>（4分）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1.具有有效</w:t>
            </w:r>
            <w:r>
              <w:rPr>
                <w:rFonts w:ascii="宋体" w:hAnsi="宋体"/>
                <w:szCs w:val="21"/>
              </w:rPr>
              <w:t>期内的</w:t>
            </w:r>
            <w:r>
              <w:rPr>
                <w:rFonts w:hint="eastAsia" w:ascii="宋体" w:hAnsi="宋体"/>
                <w:szCs w:val="21"/>
              </w:rPr>
              <w:t>GB</w:t>
            </w:r>
            <w:r>
              <w:rPr>
                <w:rFonts w:ascii="宋体" w:hAnsi="宋体"/>
                <w:szCs w:val="21"/>
              </w:rPr>
              <w:t>/T 19001质量体系认证</w:t>
            </w:r>
            <w:r>
              <w:rPr>
                <w:rFonts w:hint="eastAsia" w:ascii="宋体" w:hAnsi="宋体"/>
                <w:szCs w:val="21"/>
              </w:rPr>
              <w:t>的</w:t>
            </w:r>
            <w:r>
              <w:rPr>
                <w:rFonts w:ascii="宋体" w:hAnsi="宋体"/>
                <w:szCs w:val="21"/>
              </w:rPr>
              <w:t>，得1分；</w:t>
            </w:r>
          </w:p>
          <w:p>
            <w:pPr>
              <w:rPr>
                <w:rFonts w:ascii="宋体" w:hAnsi="宋体"/>
                <w:szCs w:val="21"/>
              </w:rPr>
            </w:pPr>
            <w:r>
              <w:rPr>
                <w:rFonts w:hint="eastAsia" w:ascii="宋体" w:hAnsi="宋体"/>
                <w:szCs w:val="21"/>
              </w:rPr>
              <w:t>2.具有有效期内的</w:t>
            </w:r>
            <w:r>
              <w:rPr>
                <w:rFonts w:ascii="宋体" w:hAnsi="宋体"/>
                <w:szCs w:val="21"/>
              </w:rPr>
              <w:t>GB/T 45001职业健康安全管理体系认证</w:t>
            </w:r>
            <w:r>
              <w:rPr>
                <w:rFonts w:hint="eastAsia" w:ascii="宋体" w:hAnsi="宋体"/>
                <w:szCs w:val="21"/>
              </w:rPr>
              <w:t>的</w:t>
            </w:r>
            <w:r>
              <w:rPr>
                <w:rFonts w:ascii="宋体" w:hAnsi="宋体"/>
                <w:szCs w:val="21"/>
              </w:rPr>
              <w:t>，得1分；</w:t>
            </w:r>
          </w:p>
          <w:p>
            <w:pPr>
              <w:rPr>
                <w:rFonts w:ascii="宋体" w:hAnsi="宋体"/>
                <w:szCs w:val="21"/>
              </w:rPr>
            </w:pPr>
            <w:r>
              <w:rPr>
                <w:rFonts w:hint="eastAsia" w:ascii="宋体" w:hAnsi="宋体"/>
                <w:szCs w:val="21"/>
              </w:rPr>
              <w:t>3.具有有效期内的</w:t>
            </w:r>
            <w:r>
              <w:rPr>
                <w:rFonts w:ascii="宋体" w:hAnsi="宋体"/>
                <w:szCs w:val="21"/>
              </w:rPr>
              <w:t>GB/T 24001环境管理体系认证</w:t>
            </w:r>
            <w:r>
              <w:rPr>
                <w:rFonts w:hint="eastAsia" w:ascii="宋体" w:hAnsi="宋体"/>
                <w:szCs w:val="21"/>
              </w:rPr>
              <w:t>的，</w:t>
            </w:r>
            <w:r>
              <w:rPr>
                <w:rFonts w:ascii="宋体" w:hAnsi="宋体"/>
                <w:szCs w:val="21"/>
              </w:rPr>
              <w:t>得1分；</w:t>
            </w:r>
          </w:p>
          <w:p>
            <w:pPr>
              <w:rPr>
                <w:rFonts w:ascii="宋体" w:hAnsi="宋体"/>
                <w:szCs w:val="21"/>
              </w:rPr>
            </w:pPr>
            <w:r>
              <w:rPr>
                <w:rFonts w:hint="eastAsia" w:ascii="宋体" w:hAnsi="宋体"/>
                <w:szCs w:val="21"/>
              </w:rPr>
              <w:t>4.具有有效期内的</w:t>
            </w:r>
            <w:r>
              <w:rPr>
                <w:rFonts w:ascii="宋体" w:hAnsi="宋体"/>
                <w:szCs w:val="21"/>
              </w:rPr>
              <w:t>GB/T 22000食品安全管理体系认证</w:t>
            </w:r>
            <w:r>
              <w:rPr>
                <w:rFonts w:hint="eastAsia" w:ascii="宋体" w:hAnsi="宋体"/>
                <w:szCs w:val="21"/>
              </w:rPr>
              <w:t>的</w:t>
            </w:r>
            <w:r>
              <w:rPr>
                <w:rFonts w:ascii="宋体" w:hAnsi="宋体"/>
                <w:szCs w:val="21"/>
              </w:rPr>
              <w:t>，得1分</w:t>
            </w:r>
            <w:r>
              <w:rPr>
                <w:rFonts w:hint="eastAsia" w:ascii="宋体" w:hAnsi="宋体"/>
                <w:szCs w:val="21"/>
              </w:rPr>
              <w:t>。</w:t>
            </w:r>
          </w:p>
          <w:p>
            <w:pPr>
              <w:rPr>
                <w:rFonts w:ascii="宋体" w:hAnsi="宋体" w:cs="宋体"/>
                <w:kern w:val="0"/>
                <w:szCs w:val="21"/>
                <w:shd w:val="clear" w:color="auto" w:fill="FFFFFF"/>
              </w:rPr>
            </w:pPr>
            <w:r>
              <w:rPr>
                <w:rFonts w:hint="eastAsia" w:ascii="宋体" w:hAnsi="宋体"/>
                <w:szCs w:val="21"/>
              </w:rPr>
              <w:t>（提供</w:t>
            </w:r>
            <w:r>
              <w:rPr>
                <w:rFonts w:ascii="宋体" w:hAnsi="宋体"/>
                <w:szCs w:val="21"/>
              </w:rPr>
              <w:t>证书复印件，原件备查</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企业信用</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6</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ascii="宋体" w:hAnsi="宋体"/>
                <w:szCs w:val="21"/>
              </w:rPr>
              <w:t>1</w:t>
            </w:r>
            <w:r>
              <w:rPr>
                <w:rFonts w:hint="eastAsia" w:ascii="宋体" w:hAnsi="宋体"/>
                <w:szCs w:val="21"/>
              </w:rPr>
              <w:t>.提供2020年度第三方</w:t>
            </w:r>
            <w:r>
              <w:rPr>
                <w:rFonts w:ascii="宋体" w:hAnsi="宋体"/>
                <w:szCs w:val="21"/>
              </w:rPr>
              <w:t>财务审计报告，得</w:t>
            </w:r>
            <w:r>
              <w:rPr>
                <w:rFonts w:hint="eastAsia" w:ascii="宋体" w:hAnsi="宋体"/>
                <w:szCs w:val="21"/>
              </w:rPr>
              <w:t>1分</w:t>
            </w:r>
            <w:r>
              <w:rPr>
                <w:rFonts w:ascii="宋体" w:hAnsi="宋体"/>
                <w:szCs w:val="21"/>
              </w:rPr>
              <w:t>；</w:t>
            </w:r>
            <w:r>
              <w:rPr>
                <w:rFonts w:hint="eastAsia" w:ascii="宋体" w:hAnsi="宋体"/>
                <w:szCs w:val="21"/>
              </w:rPr>
              <w:t>（附报告复印件，原件备查）</w:t>
            </w:r>
          </w:p>
          <w:p>
            <w:pPr>
              <w:rPr>
                <w:rFonts w:ascii="宋体" w:hAnsi="宋体"/>
                <w:szCs w:val="21"/>
              </w:rPr>
            </w:pPr>
            <w:r>
              <w:rPr>
                <w:rFonts w:ascii="宋体" w:hAnsi="宋体"/>
                <w:szCs w:val="21"/>
              </w:rPr>
              <w:t>2</w:t>
            </w:r>
            <w:r>
              <w:rPr>
                <w:rFonts w:hint="eastAsia" w:ascii="宋体" w:hAnsi="宋体"/>
                <w:szCs w:val="21"/>
              </w:rPr>
              <w:t>.提供</w:t>
            </w:r>
            <w:r>
              <w:rPr>
                <w:rFonts w:ascii="宋体" w:hAnsi="宋体"/>
                <w:szCs w:val="21"/>
              </w:rPr>
              <w:t>有效期内</w:t>
            </w:r>
            <w:r>
              <w:rPr>
                <w:rFonts w:hint="eastAsia" w:ascii="宋体" w:hAnsi="宋体"/>
                <w:szCs w:val="21"/>
              </w:rPr>
              <w:t>的</w:t>
            </w:r>
            <w:r>
              <w:rPr>
                <w:rFonts w:ascii="宋体" w:hAnsi="宋体"/>
                <w:szCs w:val="21"/>
              </w:rPr>
              <w:t>信用评级认证</w:t>
            </w:r>
            <w:r>
              <w:rPr>
                <w:rFonts w:hint="eastAsia" w:ascii="宋体" w:hAnsi="宋体"/>
                <w:szCs w:val="21"/>
              </w:rPr>
              <w:t>证书</w:t>
            </w:r>
            <w:r>
              <w:rPr>
                <w:rFonts w:ascii="宋体" w:hAnsi="宋体"/>
                <w:szCs w:val="21"/>
              </w:rPr>
              <w:t>，AAA级得2</w:t>
            </w:r>
            <w:r>
              <w:rPr>
                <w:rFonts w:hint="eastAsia" w:ascii="宋体" w:hAnsi="宋体"/>
                <w:szCs w:val="21"/>
              </w:rPr>
              <w:t>分</w:t>
            </w:r>
            <w:r>
              <w:rPr>
                <w:rFonts w:ascii="宋体" w:hAnsi="宋体"/>
                <w:szCs w:val="21"/>
              </w:rPr>
              <w:t>；</w:t>
            </w:r>
            <w:r>
              <w:rPr>
                <w:rFonts w:hint="eastAsia" w:ascii="宋体" w:hAnsi="宋体"/>
                <w:szCs w:val="21"/>
              </w:rPr>
              <w:t>（附证书复印件，原件备查）</w:t>
            </w:r>
          </w:p>
          <w:p>
            <w:pPr>
              <w:rPr>
                <w:rFonts w:ascii="宋体" w:hAnsi="宋体"/>
                <w:szCs w:val="21"/>
              </w:rPr>
            </w:pPr>
            <w:r>
              <w:rPr>
                <w:rFonts w:ascii="宋体" w:hAnsi="宋体"/>
                <w:szCs w:val="21"/>
              </w:rPr>
              <w:t>3.2018</w:t>
            </w:r>
            <w:r>
              <w:rPr>
                <w:rFonts w:hint="eastAsia" w:ascii="宋体" w:hAnsi="宋体"/>
                <w:szCs w:val="21"/>
              </w:rPr>
              <w:t>年</w:t>
            </w:r>
            <w:r>
              <w:rPr>
                <w:rFonts w:ascii="宋体" w:hAnsi="宋体"/>
                <w:szCs w:val="21"/>
              </w:rPr>
              <w:t>以来，获得</w:t>
            </w:r>
            <w:r>
              <w:rPr>
                <w:rFonts w:hint="eastAsia" w:ascii="宋体" w:hAnsi="宋体"/>
                <w:szCs w:val="21"/>
              </w:rPr>
              <w:t>服务</w:t>
            </w:r>
            <w:r>
              <w:rPr>
                <w:rFonts w:ascii="宋体" w:hAnsi="宋体"/>
                <w:szCs w:val="21"/>
              </w:rPr>
              <w:t>单位好评的，有</w:t>
            </w:r>
            <w:r>
              <w:rPr>
                <w:rFonts w:hint="eastAsia" w:ascii="宋体" w:hAnsi="宋体"/>
                <w:szCs w:val="21"/>
              </w:rPr>
              <w:t>1个得1分</w:t>
            </w:r>
            <w:r>
              <w:rPr>
                <w:rFonts w:ascii="宋体" w:hAnsi="宋体"/>
                <w:szCs w:val="21"/>
              </w:rPr>
              <w:t>，</w:t>
            </w:r>
            <w:r>
              <w:rPr>
                <w:rFonts w:hint="eastAsia" w:ascii="宋体" w:hAnsi="宋体"/>
                <w:szCs w:val="21"/>
              </w:rPr>
              <w:t>最高3分</w:t>
            </w:r>
            <w:r>
              <w:rPr>
                <w:rFonts w:ascii="宋体" w:hAnsi="宋体"/>
                <w:szCs w:val="21"/>
              </w:rPr>
              <w:t>。</w:t>
            </w:r>
            <w:r>
              <w:rPr>
                <w:rFonts w:hint="eastAsia" w:ascii="宋体" w:hAnsi="宋体"/>
                <w:szCs w:val="21"/>
              </w:rPr>
              <w:t>（同一</w:t>
            </w:r>
            <w:r>
              <w:rPr>
                <w:rFonts w:ascii="宋体" w:hAnsi="宋体"/>
                <w:szCs w:val="21"/>
              </w:rPr>
              <w:t>单位不重复计分</w:t>
            </w:r>
            <w:r>
              <w:rPr>
                <w:rFonts w:hint="eastAsia" w:ascii="宋体" w:hAnsi="宋体"/>
                <w:szCs w:val="21"/>
              </w:rPr>
              <w:t>，</w:t>
            </w:r>
            <w:r>
              <w:rPr>
                <w:rFonts w:ascii="宋体" w:hAnsi="宋体"/>
                <w:szCs w:val="21"/>
              </w:rPr>
              <w:t>提供</w:t>
            </w:r>
            <w:r>
              <w:rPr>
                <w:rFonts w:hint="eastAsia" w:ascii="宋体" w:hAnsi="宋体"/>
                <w:szCs w:val="21"/>
              </w:rPr>
              <w:t>合同复印件、</w:t>
            </w:r>
            <w:r>
              <w:rPr>
                <w:rFonts w:ascii="宋体" w:hAnsi="宋体"/>
                <w:szCs w:val="21"/>
              </w:rPr>
              <w:t>单位评价证明材料</w:t>
            </w:r>
            <w:r>
              <w:rPr>
                <w:rFonts w:hint="eastAsia" w:ascii="宋体" w:hAnsi="宋体"/>
                <w:szCs w:val="21"/>
              </w:rPr>
              <w:t>，合同</w:t>
            </w:r>
            <w:r>
              <w:rPr>
                <w:rFonts w:ascii="宋体" w:hAnsi="宋体"/>
                <w:szCs w:val="21"/>
              </w:rPr>
              <w:t>原件备查</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ind w:firstLine="210" w:firstLineChars="100"/>
              <w:jc w:val="left"/>
              <w:rPr>
                <w:rFonts w:ascii="宋体" w:hAnsi="宋体" w:cs="宋体"/>
                <w:kern w:val="0"/>
                <w:szCs w:val="21"/>
              </w:rPr>
            </w:pPr>
            <w:r>
              <w:rPr>
                <w:rFonts w:hint="eastAsia" w:ascii="宋体" w:hAnsi="宋体" w:cs="宋体"/>
                <w:kern w:val="0"/>
                <w:szCs w:val="21"/>
              </w:rPr>
              <w:t>经营业绩</w:t>
            </w:r>
          </w:p>
          <w:p>
            <w:pPr>
              <w:widowControl/>
              <w:ind w:firstLine="210" w:firstLineChars="100"/>
              <w:jc w:val="left"/>
              <w:rPr>
                <w:rFonts w:ascii="宋体" w:hAnsi="宋体" w:cs="宋体"/>
                <w:kern w:val="0"/>
                <w:szCs w:val="21"/>
              </w:rPr>
            </w:pPr>
            <w:r>
              <w:rPr>
                <w:rFonts w:hint="eastAsia" w:ascii="宋体" w:hAnsi="宋体" w:cs="宋体"/>
                <w:kern w:val="0"/>
                <w:szCs w:val="21"/>
              </w:rPr>
              <w:t>（</w:t>
            </w:r>
            <w:r>
              <w:rPr>
                <w:rFonts w:ascii="宋体" w:hAnsi="宋体" w:cs="宋体"/>
                <w:kern w:val="0"/>
                <w:szCs w:val="21"/>
              </w:rPr>
              <w:t>20</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1、2010年</w:t>
            </w:r>
            <w:r>
              <w:rPr>
                <w:rFonts w:ascii="宋体" w:hAnsi="宋体"/>
                <w:szCs w:val="21"/>
              </w:rPr>
              <w:t>以来，</w:t>
            </w:r>
            <w:r>
              <w:rPr>
                <w:rFonts w:hint="eastAsia" w:ascii="宋体" w:hAnsi="宋体"/>
                <w:szCs w:val="21"/>
              </w:rPr>
              <w:t>在高校</w:t>
            </w:r>
            <w:r>
              <w:rPr>
                <w:rFonts w:ascii="宋体" w:hAnsi="宋体"/>
                <w:szCs w:val="21"/>
              </w:rPr>
              <w:t>从事餐饮服务</w:t>
            </w:r>
            <w:r>
              <w:rPr>
                <w:rFonts w:hint="eastAsia" w:ascii="宋体" w:hAnsi="宋体"/>
                <w:szCs w:val="21"/>
              </w:rPr>
              <w:t>年限满</w:t>
            </w:r>
            <w:r>
              <w:rPr>
                <w:rFonts w:ascii="宋体" w:hAnsi="宋体"/>
                <w:szCs w:val="21"/>
              </w:rPr>
              <w:t>5</w:t>
            </w:r>
            <w:r>
              <w:rPr>
                <w:rFonts w:hint="eastAsia" w:ascii="宋体" w:hAnsi="宋体"/>
                <w:szCs w:val="21"/>
              </w:rPr>
              <w:t>年的得</w:t>
            </w:r>
            <w:r>
              <w:rPr>
                <w:rFonts w:ascii="宋体" w:hAnsi="宋体"/>
                <w:szCs w:val="21"/>
              </w:rPr>
              <w:t>2</w:t>
            </w:r>
            <w:r>
              <w:rPr>
                <w:rFonts w:hint="eastAsia" w:ascii="宋体" w:hAnsi="宋体"/>
                <w:szCs w:val="21"/>
              </w:rPr>
              <w:t>分，满</w:t>
            </w:r>
            <w:r>
              <w:rPr>
                <w:rFonts w:ascii="宋体" w:hAnsi="宋体"/>
                <w:szCs w:val="21"/>
              </w:rPr>
              <w:t>8</w:t>
            </w:r>
            <w:r>
              <w:rPr>
                <w:rFonts w:hint="eastAsia" w:ascii="宋体" w:hAnsi="宋体"/>
                <w:szCs w:val="21"/>
              </w:rPr>
              <w:t>年的得</w:t>
            </w:r>
            <w:r>
              <w:rPr>
                <w:rFonts w:ascii="宋体" w:hAnsi="宋体"/>
                <w:szCs w:val="21"/>
              </w:rPr>
              <w:t>4</w:t>
            </w:r>
            <w:r>
              <w:rPr>
                <w:rFonts w:hint="eastAsia" w:ascii="宋体" w:hAnsi="宋体"/>
                <w:szCs w:val="21"/>
              </w:rPr>
              <w:t>分</w:t>
            </w:r>
            <w:r>
              <w:rPr>
                <w:rFonts w:ascii="宋体" w:hAnsi="宋体"/>
                <w:szCs w:val="21"/>
              </w:rPr>
              <w:t>；（提供营业执照复印件</w:t>
            </w:r>
            <w:r>
              <w:rPr>
                <w:rFonts w:hint="eastAsia" w:ascii="宋体" w:hAnsi="宋体"/>
                <w:szCs w:val="21"/>
              </w:rPr>
              <w:t>、合同复印件，</w:t>
            </w:r>
            <w:r>
              <w:rPr>
                <w:rFonts w:ascii="宋体" w:hAnsi="宋体"/>
                <w:szCs w:val="21"/>
              </w:rPr>
              <w:t>原件备查）</w:t>
            </w:r>
            <w:r>
              <w:rPr>
                <w:rFonts w:hint="eastAsia" w:ascii="宋体" w:hAnsi="宋体"/>
                <w:szCs w:val="21"/>
              </w:rPr>
              <w:t>（</w:t>
            </w:r>
            <w:r>
              <w:rPr>
                <w:rFonts w:ascii="宋体" w:hAnsi="宋体"/>
                <w:szCs w:val="21"/>
              </w:rPr>
              <w:t>4</w:t>
            </w:r>
            <w:r>
              <w:rPr>
                <w:rFonts w:hint="eastAsia" w:ascii="宋体" w:hAnsi="宋体"/>
                <w:szCs w:val="21"/>
              </w:rPr>
              <w:t>分）</w:t>
            </w:r>
          </w:p>
          <w:p>
            <w:pPr>
              <w:rPr>
                <w:rFonts w:ascii="宋体" w:hAnsi="宋体"/>
                <w:szCs w:val="21"/>
              </w:rPr>
            </w:pPr>
            <w:r>
              <w:rPr>
                <w:rFonts w:hint="eastAsia" w:ascii="宋体" w:hAnsi="宋体"/>
                <w:szCs w:val="21"/>
              </w:rPr>
              <w:t>2、</w:t>
            </w:r>
            <w:r>
              <w:rPr>
                <w:rFonts w:ascii="宋体" w:hAnsi="宋体"/>
                <w:szCs w:val="21"/>
              </w:rPr>
              <w:t>2010</w:t>
            </w:r>
            <w:r>
              <w:rPr>
                <w:rFonts w:hint="eastAsia" w:ascii="宋体" w:hAnsi="宋体"/>
                <w:szCs w:val="21"/>
              </w:rPr>
              <w:t>年</w:t>
            </w:r>
            <w:r>
              <w:rPr>
                <w:rFonts w:ascii="宋体" w:hAnsi="宋体"/>
                <w:szCs w:val="21"/>
              </w:rPr>
              <w:t>以来，</w:t>
            </w:r>
            <w:r>
              <w:rPr>
                <w:rFonts w:hint="eastAsia" w:ascii="宋体" w:hAnsi="宋体"/>
                <w:szCs w:val="21"/>
              </w:rPr>
              <w:t>在同一单位连续经营服务年限满</w:t>
            </w:r>
            <w:r>
              <w:rPr>
                <w:rFonts w:ascii="宋体" w:hAnsi="宋体"/>
                <w:szCs w:val="21"/>
              </w:rPr>
              <w:t>3年</w:t>
            </w:r>
            <w:r>
              <w:rPr>
                <w:rFonts w:hint="eastAsia" w:ascii="宋体" w:hAnsi="宋体"/>
                <w:szCs w:val="21"/>
              </w:rPr>
              <w:t>的</w:t>
            </w:r>
            <w:r>
              <w:rPr>
                <w:rFonts w:ascii="宋体" w:hAnsi="宋体"/>
                <w:szCs w:val="21"/>
              </w:rPr>
              <w:t>，</w:t>
            </w:r>
            <w:r>
              <w:rPr>
                <w:rFonts w:hint="eastAsia" w:ascii="宋体" w:hAnsi="宋体"/>
                <w:szCs w:val="21"/>
              </w:rPr>
              <w:t>每有</w:t>
            </w:r>
            <w:r>
              <w:rPr>
                <w:rFonts w:ascii="宋体" w:hAnsi="宋体"/>
                <w:szCs w:val="21"/>
              </w:rPr>
              <w:t>一个案例得0.5分，累计最高1分</w:t>
            </w:r>
            <w:r>
              <w:rPr>
                <w:rFonts w:hint="eastAsia" w:ascii="宋体" w:hAnsi="宋体"/>
                <w:szCs w:val="21"/>
              </w:rPr>
              <w:t>；满5年</w:t>
            </w:r>
            <w:r>
              <w:rPr>
                <w:rFonts w:ascii="宋体" w:hAnsi="宋体"/>
                <w:szCs w:val="21"/>
              </w:rPr>
              <w:t>的，</w:t>
            </w:r>
            <w:r>
              <w:rPr>
                <w:rFonts w:hint="eastAsia" w:ascii="宋体" w:hAnsi="宋体"/>
                <w:szCs w:val="21"/>
              </w:rPr>
              <w:t>每有一个案例得</w:t>
            </w:r>
            <w:r>
              <w:rPr>
                <w:rFonts w:ascii="宋体" w:hAnsi="宋体"/>
                <w:szCs w:val="21"/>
              </w:rPr>
              <w:t>1.5</w:t>
            </w:r>
            <w:r>
              <w:rPr>
                <w:rFonts w:hint="eastAsia" w:ascii="宋体" w:hAnsi="宋体"/>
                <w:szCs w:val="21"/>
              </w:rPr>
              <w:t>分</w:t>
            </w:r>
            <w:r>
              <w:rPr>
                <w:rFonts w:ascii="宋体" w:hAnsi="宋体"/>
                <w:szCs w:val="21"/>
              </w:rPr>
              <w:t>，</w:t>
            </w:r>
            <w:r>
              <w:rPr>
                <w:rFonts w:hint="eastAsia" w:ascii="宋体" w:hAnsi="宋体"/>
                <w:szCs w:val="21"/>
              </w:rPr>
              <w:t>累计</w:t>
            </w:r>
            <w:r>
              <w:rPr>
                <w:rFonts w:ascii="宋体" w:hAnsi="宋体"/>
                <w:szCs w:val="21"/>
              </w:rPr>
              <w:t>最高3</w:t>
            </w:r>
            <w:r>
              <w:rPr>
                <w:rFonts w:hint="eastAsia" w:ascii="宋体" w:hAnsi="宋体"/>
                <w:szCs w:val="21"/>
              </w:rPr>
              <w:t>分</w:t>
            </w:r>
            <w:r>
              <w:rPr>
                <w:rFonts w:ascii="宋体" w:hAnsi="宋体"/>
                <w:szCs w:val="21"/>
              </w:rPr>
              <w:t>；满</w:t>
            </w:r>
            <w:r>
              <w:rPr>
                <w:rFonts w:hint="eastAsia" w:ascii="宋体" w:hAnsi="宋体"/>
                <w:szCs w:val="21"/>
              </w:rPr>
              <w:t>6年</w:t>
            </w:r>
            <w:r>
              <w:rPr>
                <w:rFonts w:ascii="宋体" w:hAnsi="宋体"/>
                <w:szCs w:val="21"/>
              </w:rPr>
              <w:t>的</w:t>
            </w:r>
            <w:r>
              <w:rPr>
                <w:rFonts w:hint="eastAsia" w:ascii="宋体" w:hAnsi="宋体"/>
                <w:szCs w:val="21"/>
              </w:rPr>
              <w:t>，每有一个案例</w:t>
            </w:r>
            <w:r>
              <w:rPr>
                <w:rFonts w:ascii="宋体" w:hAnsi="宋体"/>
                <w:szCs w:val="21"/>
              </w:rPr>
              <w:t>得</w:t>
            </w:r>
            <w:r>
              <w:rPr>
                <w:rFonts w:hint="eastAsia" w:ascii="宋体" w:hAnsi="宋体"/>
                <w:szCs w:val="21"/>
              </w:rPr>
              <w:t>2分</w:t>
            </w:r>
            <w:r>
              <w:rPr>
                <w:rFonts w:ascii="宋体" w:hAnsi="宋体"/>
                <w:szCs w:val="21"/>
              </w:rPr>
              <w:t>，累计最高4</w:t>
            </w:r>
            <w:r>
              <w:rPr>
                <w:rFonts w:hint="eastAsia" w:ascii="宋体" w:hAnsi="宋体"/>
                <w:szCs w:val="21"/>
              </w:rPr>
              <w:t>分</w:t>
            </w:r>
            <w:r>
              <w:rPr>
                <w:rFonts w:ascii="宋体" w:hAnsi="宋体"/>
                <w:szCs w:val="21"/>
              </w:rPr>
              <w:t>（</w:t>
            </w:r>
            <w:r>
              <w:rPr>
                <w:rFonts w:hint="eastAsia" w:ascii="宋体" w:hAnsi="宋体"/>
                <w:szCs w:val="21"/>
              </w:rPr>
              <w:t>在同一单位服务的年限不重复计分，</w:t>
            </w:r>
            <w:r>
              <w:rPr>
                <w:rFonts w:ascii="宋体" w:hAnsi="宋体"/>
                <w:szCs w:val="21"/>
              </w:rPr>
              <w:t>提供合同复印件，原件备查）（8分）。</w:t>
            </w:r>
          </w:p>
          <w:p>
            <w:pPr>
              <w:rPr>
                <w:rFonts w:ascii="宋体" w:hAnsi="宋体" w:cs="宋体"/>
                <w:b/>
                <w:kern w:val="0"/>
                <w:szCs w:val="21"/>
              </w:rPr>
            </w:pPr>
            <w:r>
              <w:rPr>
                <w:rFonts w:hint="eastAsia" w:ascii="宋体" w:hAnsi="宋体"/>
                <w:szCs w:val="21"/>
              </w:rPr>
              <w:t>3、2018年</w:t>
            </w:r>
            <w:r>
              <w:rPr>
                <w:rFonts w:ascii="宋体" w:hAnsi="宋体"/>
                <w:szCs w:val="21"/>
              </w:rPr>
              <w:t>以来，</w:t>
            </w:r>
            <w:r>
              <w:rPr>
                <w:rFonts w:hint="eastAsia" w:ascii="宋体" w:hAnsi="宋体"/>
                <w:szCs w:val="21"/>
              </w:rPr>
              <w:t>投标单位与</w:t>
            </w:r>
            <w:r>
              <w:rPr>
                <w:rFonts w:ascii="宋体" w:hAnsi="宋体"/>
                <w:szCs w:val="21"/>
              </w:rPr>
              <w:t>机关企事业单位</w:t>
            </w:r>
            <w:r>
              <w:rPr>
                <w:rFonts w:hint="eastAsia" w:ascii="宋体" w:hAnsi="宋体"/>
                <w:szCs w:val="21"/>
              </w:rPr>
              <w:t>签订</w:t>
            </w:r>
            <w:r>
              <w:rPr>
                <w:rFonts w:ascii="宋体" w:hAnsi="宋体"/>
                <w:szCs w:val="21"/>
              </w:rPr>
              <w:t>的餐饮类合同，单体案例年度经营业绩在300万元及以上，每提供1个案例得1分，累计最高2分；单体案例年度经营业绩在500万元及以上，每提供1个案例得3分，累计最高6分；（</w:t>
            </w:r>
            <w:r>
              <w:rPr>
                <w:rFonts w:hint="eastAsia" w:ascii="宋体" w:hAnsi="宋体"/>
                <w:szCs w:val="21"/>
              </w:rPr>
              <w:t>与同一单位签订的相同项目的合同为一个单体案例，同一单体案例只能按照其中一个年度经营业绩计分，其他年份业绩</w:t>
            </w:r>
            <w:r>
              <w:rPr>
                <w:rFonts w:ascii="宋体" w:hAnsi="宋体"/>
                <w:szCs w:val="21"/>
              </w:rPr>
              <w:t>不重复计分，需提供合同复印件及甲方</w:t>
            </w:r>
            <w:r>
              <w:rPr>
                <w:rFonts w:hint="eastAsia" w:ascii="宋体" w:hAnsi="宋体"/>
                <w:szCs w:val="21"/>
              </w:rPr>
              <w:t>食堂</w:t>
            </w:r>
            <w:r>
              <w:rPr>
                <w:rFonts w:ascii="宋体" w:hAnsi="宋体"/>
                <w:szCs w:val="21"/>
              </w:rPr>
              <w:t>管理部门盖章的经营业绩证明书，业绩证明书格式见</w:t>
            </w:r>
            <w:r>
              <w:rPr>
                <w:rFonts w:hint="eastAsia" w:ascii="宋体" w:hAnsi="宋体"/>
                <w:szCs w:val="21"/>
              </w:rPr>
              <w:t>附件5，业绩</w:t>
            </w:r>
            <w:r>
              <w:rPr>
                <w:rFonts w:ascii="宋体" w:hAnsi="宋体"/>
                <w:szCs w:val="21"/>
              </w:rPr>
              <w:t>汇总表</w:t>
            </w:r>
            <w:r>
              <w:rPr>
                <w:rFonts w:hint="eastAsia" w:ascii="宋体" w:hAnsi="宋体"/>
                <w:szCs w:val="21"/>
              </w:rPr>
              <w:t>见</w:t>
            </w:r>
            <w:r>
              <w:rPr>
                <w:rFonts w:ascii="宋体" w:hAnsi="宋体"/>
                <w:szCs w:val="21"/>
              </w:rPr>
              <w:t>附件</w:t>
            </w:r>
            <w:r>
              <w:rPr>
                <w:rFonts w:hint="eastAsia" w:ascii="宋体" w:hAnsi="宋体"/>
                <w:szCs w:val="21"/>
              </w:rPr>
              <w:t>4，</w:t>
            </w:r>
            <w:r>
              <w:rPr>
                <w:rFonts w:ascii="宋体" w:hAnsi="宋体"/>
                <w:szCs w:val="21"/>
              </w:rPr>
              <w:t>合同原件备查）（8分）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企业荣誉</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8</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Cs w:val="21"/>
              </w:rPr>
            </w:pPr>
            <w:r>
              <w:rPr>
                <w:rFonts w:ascii="宋体" w:hAnsi="宋体"/>
                <w:szCs w:val="21"/>
              </w:rPr>
              <w:t>2018年以来，投标单位</w:t>
            </w:r>
            <w:r>
              <w:rPr>
                <w:rFonts w:hint="eastAsia" w:ascii="宋体" w:hAnsi="宋体"/>
                <w:szCs w:val="21"/>
              </w:rPr>
              <w:t>或</w:t>
            </w:r>
            <w:r>
              <w:rPr>
                <w:rFonts w:ascii="宋体" w:hAnsi="宋体"/>
                <w:szCs w:val="21"/>
              </w:rPr>
              <w:t>其</w:t>
            </w:r>
            <w:r>
              <w:rPr>
                <w:rFonts w:hint="eastAsia" w:ascii="宋体" w:hAnsi="宋体"/>
                <w:szCs w:val="21"/>
              </w:rPr>
              <w:t>经营的</w:t>
            </w:r>
            <w:r>
              <w:rPr>
                <w:rFonts w:ascii="宋体" w:hAnsi="宋体"/>
                <w:szCs w:val="21"/>
              </w:rPr>
              <w:t>食堂获得政府部门</w:t>
            </w:r>
            <w:r>
              <w:rPr>
                <w:rFonts w:hint="eastAsia" w:ascii="宋体" w:hAnsi="宋体"/>
                <w:szCs w:val="21"/>
              </w:rPr>
              <w:t>或行业</w:t>
            </w:r>
            <w:r>
              <w:rPr>
                <w:rFonts w:ascii="宋体" w:hAnsi="宋体"/>
                <w:szCs w:val="21"/>
              </w:rPr>
              <w:t>协会的奖项</w:t>
            </w:r>
            <w:r>
              <w:rPr>
                <w:rFonts w:hint="eastAsia" w:ascii="宋体" w:hAnsi="宋体"/>
                <w:szCs w:val="21"/>
              </w:rPr>
              <w:t>或</w:t>
            </w:r>
            <w:r>
              <w:rPr>
                <w:rFonts w:ascii="宋体" w:hAnsi="宋体"/>
                <w:szCs w:val="21"/>
              </w:rPr>
              <w:t>荣誉</w:t>
            </w:r>
            <w:r>
              <w:rPr>
                <w:rFonts w:hint="eastAsia" w:ascii="宋体" w:hAnsi="宋体"/>
                <w:szCs w:val="21"/>
              </w:rPr>
              <w:t>，国家级每个得</w:t>
            </w:r>
            <w:r>
              <w:rPr>
                <w:rFonts w:ascii="宋体" w:hAnsi="宋体"/>
                <w:szCs w:val="21"/>
              </w:rPr>
              <w:t>3分、省级每个得2分、（地）市级每个得1分；</w:t>
            </w:r>
            <w:r>
              <w:rPr>
                <w:rFonts w:hint="eastAsia" w:ascii="宋体" w:hAnsi="宋体"/>
                <w:szCs w:val="21"/>
              </w:rPr>
              <w:t>（同年</w:t>
            </w:r>
            <w:r>
              <w:rPr>
                <w:rFonts w:ascii="宋体" w:hAnsi="宋体"/>
                <w:szCs w:val="21"/>
              </w:rPr>
              <w:t>同类</w:t>
            </w:r>
            <w:r>
              <w:rPr>
                <w:rFonts w:hint="eastAsia" w:ascii="宋体" w:hAnsi="宋体"/>
                <w:szCs w:val="21"/>
              </w:rPr>
              <w:t>就高</w:t>
            </w:r>
            <w:r>
              <w:rPr>
                <w:rFonts w:ascii="宋体" w:hAnsi="宋体"/>
                <w:szCs w:val="21"/>
              </w:rPr>
              <w:t>认定</w:t>
            </w:r>
            <w:r>
              <w:rPr>
                <w:rFonts w:hint="eastAsia" w:ascii="宋体" w:hAnsi="宋体"/>
                <w:szCs w:val="21"/>
              </w:rPr>
              <w:t>、</w:t>
            </w:r>
            <w:r>
              <w:rPr>
                <w:rFonts w:ascii="宋体" w:hAnsi="宋体"/>
                <w:szCs w:val="21"/>
              </w:rPr>
              <w:t>不可兼得</w:t>
            </w:r>
            <w:r>
              <w:rPr>
                <w:rFonts w:hint="eastAsia" w:ascii="宋体" w:hAnsi="宋体"/>
                <w:szCs w:val="21"/>
              </w:rPr>
              <w:t>，</w:t>
            </w:r>
            <w:r>
              <w:rPr>
                <w:rFonts w:ascii="宋体" w:hAnsi="宋体"/>
                <w:szCs w:val="21"/>
              </w:rPr>
              <w:t>提供相关证明材料，原件备查</w:t>
            </w:r>
            <w:r>
              <w:rPr>
                <w:rFonts w:hint="eastAsia" w:ascii="宋体" w:hAnsi="宋体"/>
                <w:szCs w:val="21"/>
              </w:rPr>
              <w:t>）（</w:t>
            </w:r>
            <w:r>
              <w:rPr>
                <w:rFonts w:ascii="宋体" w:hAnsi="宋体"/>
                <w:szCs w:val="21"/>
              </w:rPr>
              <w:t>8</w:t>
            </w:r>
            <w:r>
              <w:rPr>
                <w:rFonts w:hint="eastAsia" w:ascii="宋体" w:hAnsi="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社会公益</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4</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Cs w:val="21"/>
              </w:rPr>
            </w:pPr>
            <w:r>
              <w:rPr>
                <w:rFonts w:hint="eastAsia" w:ascii="宋体" w:hAnsi="宋体"/>
                <w:szCs w:val="21"/>
              </w:rPr>
              <w:t>2</w:t>
            </w:r>
            <w:r>
              <w:rPr>
                <w:rFonts w:ascii="宋体" w:hAnsi="宋体"/>
                <w:szCs w:val="21"/>
              </w:rPr>
              <w:t>018</w:t>
            </w:r>
            <w:r>
              <w:rPr>
                <w:rFonts w:hint="eastAsia" w:ascii="宋体" w:hAnsi="宋体"/>
                <w:szCs w:val="21"/>
              </w:rPr>
              <w:t>年以来积极</w:t>
            </w:r>
            <w:r>
              <w:rPr>
                <w:rFonts w:ascii="宋体" w:hAnsi="宋体"/>
                <w:szCs w:val="21"/>
              </w:rPr>
              <w:t>参与社会捐赠、</w:t>
            </w:r>
            <w:r>
              <w:rPr>
                <w:rFonts w:hint="eastAsia" w:ascii="宋体" w:hAnsi="宋体"/>
                <w:szCs w:val="21"/>
              </w:rPr>
              <w:t>救助、</w:t>
            </w:r>
            <w:r>
              <w:rPr>
                <w:rFonts w:ascii="宋体" w:hAnsi="宋体"/>
                <w:szCs w:val="21"/>
              </w:rPr>
              <w:t>脱贫</w:t>
            </w:r>
            <w:r>
              <w:rPr>
                <w:rFonts w:hint="eastAsia" w:ascii="宋体" w:hAnsi="宋体"/>
                <w:szCs w:val="21"/>
              </w:rPr>
              <w:t>等社会</w:t>
            </w:r>
            <w:r>
              <w:rPr>
                <w:rFonts w:ascii="宋体" w:hAnsi="宋体"/>
                <w:szCs w:val="21"/>
              </w:rPr>
              <w:t>公益活动的情况</w:t>
            </w:r>
            <w:r>
              <w:rPr>
                <w:rFonts w:hint="eastAsia" w:ascii="宋体" w:hAnsi="宋体"/>
                <w:szCs w:val="21"/>
              </w:rPr>
              <w:t>，有则</w:t>
            </w:r>
            <w:r>
              <w:rPr>
                <w:rFonts w:ascii="宋体" w:hAnsi="宋体"/>
                <w:szCs w:val="21"/>
              </w:rPr>
              <w:t>得4</w:t>
            </w:r>
            <w:r>
              <w:rPr>
                <w:rFonts w:hint="eastAsia" w:ascii="宋体" w:hAnsi="宋体"/>
                <w:szCs w:val="21"/>
              </w:rPr>
              <w:t>分</w:t>
            </w:r>
            <w:r>
              <w:rPr>
                <w:rFonts w:ascii="宋体" w:hAnsi="宋体"/>
                <w:szCs w:val="21"/>
              </w:rPr>
              <w:t>，无</w:t>
            </w:r>
            <w:r>
              <w:rPr>
                <w:rFonts w:hint="eastAsia" w:ascii="宋体" w:hAnsi="宋体"/>
                <w:szCs w:val="21"/>
              </w:rPr>
              <w:t>则</w:t>
            </w:r>
            <w:r>
              <w:rPr>
                <w:rFonts w:ascii="宋体" w:hAnsi="宋体"/>
                <w:szCs w:val="21"/>
              </w:rPr>
              <w:t>不得分</w:t>
            </w:r>
            <w:r>
              <w:rPr>
                <w:rFonts w:hint="eastAsia" w:ascii="宋体" w:hAnsi="宋体"/>
                <w:szCs w:val="21"/>
              </w:rPr>
              <w:t>。（</w:t>
            </w:r>
            <w:r>
              <w:rPr>
                <w:rFonts w:hint="eastAsia" w:ascii="宋体" w:hAnsi="宋体"/>
                <w:b/>
                <w:szCs w:val="21"/>
              </w:rPr>
              <w:t>提供</w:t>
            </w:r>
            <w:r>
              <w:rPr>
                <w:rFonts w:ascii="宋体" w:hAnsi="宋体"/>
                <w:b/>
                <w:szCs w:val="21"/>
              </w:rPr>
              <w:t>政府、机关事业单位</w:t>
            </w:r>
            <w:r>
              <w:rPr>
                <w:rFonts w:hint="eastAsia" w:ascii="宋体" w:hAnsi="宋体"/>
                <w:b/>
                <w:szCs w:val="21"/>
              </w:rPr>
              <w:t>相关</w:t>
            </w:r>
            <w:r>
              <w:rPr>
                <w:rFonts w:ascii="宋体" w:hAnsi="宋体"/>
                <w:b/>
                <w:szCs w:val="21"/>
              </w:rPr>
              <w:t>证明材料</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服务团队</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16</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ascii="宋体" w:hAnsi="宋体"/>
                <w:szCs w:val="21"/>
              </w:rPr>
              <w:t>1、投标人</w:t>
            </w:r>
            <w:r>
              <w:rPr>
                <w:rFonts w:hint="eastAsia" w:ascii="宋体" w:hAnsi="宋体"/>
                <w:szCs w:val="21"/>
              </w:rPr>
              <w:t>拟服务本</w:t>
            </w:r>
            <w:r>
              <w:rPr>
                <w:rFonts w:ascii="宋体" w:hAnsi="宋体"/>
                <w:szCs w:val="21"/>
              </w:rPr>
              <w:t>项目的骨干团队中项目</w:t>
            </w:r>
            <w:r>
              <w:rPr>
                <w:rFonts w:hint="eastAsia" w:ascii="宋体" w:hAnsi="宋体"/>
                <w:szCs w:val="21"/>
              </w:rPr>
              <w:t>负责人</w:t>
            </w:r>
            <w:r>
              <w:rPr>
                <w:rFonts w:ascii="宋体" w:hAnsi="宋体"/>
                <w:szCs w:val="21"/>
              </w:rPr>
              <w:t>具有大专及以上学历、有从事餐饮服务管理五年及以上的经历、在</w:t>
            </w:r>
            <w:r>
              <w:rPr>
                <w:rFonts w:hint="eastAsia" w:ascii="宋体" w:hAnsi="宋体"/>
                <w:szCs w:val="21"/>
              </w:rPr>
              <w:t>投标单位</w:t>
            </w:r>
            <w:r>
              <w:rPr>
                <w:rFonts w:ascii="宋体" w:hAnsi="宋体"/>
                <w:szCs w:val="21"/>
              </w:rPr>
              <w:t>服务三年及以上得1分，</w:t>
            </w:r>
            <w:r>
              <w:rPr>
                <w:rFonts w:hint="eastAsia" w:ascii="宋体" w:hAnsi="宋体"/>
                <w:szCs w:val="21"/>
              </w:rPr>
              <w:t>该项目负责人</w:t>
            </w:r>
            <w:r>
              <w:rPr>
                <w:rFonts w:ascii="宋体" w:hAnsi="宋体"/>
                <w:szCs w:val="21"/>
              </w:rPr>
              <w:t>具有</w:t>
            </w:r>
            <w:r>
              <w:rPr>
                <w:rFonts w:hint="eastAsia" w:ascii="宋体" w:hAnsi="宋体"/>
                <w:szCs w:val="21"/>
              </w:rPr>
              <w:t>三级及</w:t>
            </w:r>
            <w:r>
              <w:rPr>
                <w:rFonts w:ascii="宋体" w:hAnsi="宋体"/>
                <w:szCs w:val="21"/>
              </w:rPr>
              <w:t>以上中式烹调师资格证的得1分</w:t>
            </w:r>
            <w:r>
              <w:rPr>
                <w:rFonts w:hint="eastAsia" w:ascii="宋体" w:hAnsi="宋体"/>
                <w:szCs w:val="21"/>
              </w:rPr>
              <w:t>，该项目负责人</w:t>
            </w:r>
            <w:r>
              <w:rPr>
                <w:rFonts w:ascii="宋体" w:hAnsi="宋体"/>
                <w:szCs w:val="21"/>
              </w:rPr>
              <w:t>具有高校食堂管理3</w:t>
            </w:r>
            <w:r>
              <w:rPr>
                <w:rFonts w:hint="eastAsia" w:ascii="宋体" w:hAnsi="宋体"/>
                <w:szCs w:val="21"/>
              </w:rPr>
              <w:t>年</w:t>
            </w:r>
            <w:r>
              <w:rPr>
                <w:rFonts w:ascii="宋体" w:hAnsi="宋体"/>
                <w:szCs w:val="21"/>
              </w:rPr>
              <w:t>及以上</w:t>
            </w:r>
            <w:r>
              <w:rPr>
                <w:rFonts w:hint="eastAsia" w:ascii="宋体" w:hAnsi="宋体"/>
                <w:szCs w:val="21"/>
              </w:rPr>
              <w:t>经验</w:t>
            </w:r>
            <w:r>
              <w:rPr>
                <w:rFonts w:ascii="宋体" w:hAnsi="宋体"/>
                <w:szCs w:val="21"/>
              </w:rPr>
              <w:t>的得2</w:t>
            </w:r>
            <w:r>
              <w:rPr>
                <w:rFonts w:hint="eastAsia" w:ascii="宋体" w:hAnsi="宋体"/>
                <w:szCs w:val="21"/>
              </w:rPr>
              <w:t>分；</w:t>
            </w:r>
            <w:r>
              <w:rPr>
                <w:rFonts w:ascii="宋体" w:hAnsi="宋体"/>
                <w:szCs w:val="21"/>
              </w:rPr>
              <w:t>（需提供</w:t>
            </w:r>
            <w:r>
              <w:rPr>
                <w:rFonts w:hint="eastAsia" w:ascii="宋体" w:hAnsi="宋体"/>
                <w:szCs w:val="21"/>
              </w:rPr>
              <w:t>相应</w:t>
            </w:r>
            <w:r>
              <w:rPr>
                <w:rFonts w:ascii="宋体" w:hAnsi="宋体"/>
                <w:szCs w:val="21"/>
              </w:rPr>
              <w:t>的</w:t>
            </w:r>
            <w:r>
              <w:rPr>
                <w:rFonts w:hint="eastAsia" w:ascii="宋体" w:hAnsi="宋体"/>
                <w:szCs w:val="21"/>
              </w:rPr>
              <w:t>学历</w:t>
            </w:r>
            <w:r>
              <w:rPr>
                <w:rFonts w:ascii="宋体" w:hAnsi="宋体"/>
                <w:szCs w:val="21"/>
              </w:rPr>
              <w:t>证书、劳动合同、技能证书</w:t>
            </w:r>
            <w:r>
              <w:rPr>
                <w:rFonts w:hint="eastAsia" w:ascii="宋体" w:hAnsi="宋体"/>
                <w:szCs w:val="21"/>
              </w:rPr>
              <w:t>复印件</w:t>
            </w:r>
            <w:r>
              <w:rPr>
                <w:rFonts w:ascii="宋体" w:hAnsi="宋体"/>
                <w:szCs w:val="21"/>
              </w:rPr>
              <w:t>，</w:t>
            </w:r>
            <w:r>
              <w:rPr>
                <w:rFonts w:hint="eastAsia" w:ascii="宋体" w:hAnsi="宋体"/>
                <w:szCs w:val="21"/>
              </w:rPr>
              <w:t>合作</w:t>
            </w:r>
            <w:r>
              <w:rPr>
                <w:rFonts w:ascii="宋体" w:hAnsi="宋体"/>
                <w:szCs w:val="21"/>
              </w:rPr>
              <w:t>高校食堂管理</w:t>
            </w:r>
            <w:r>
              <w:rPr>
                <w:rFonts w:hint="eastAsia" w:ascii="宋体" w:hAnsi="宋体"/>
                <w:szCs w:val="21"/>
              </w:rPr>
              <w:t>部门</w:t>
            </w:r>
            <w:r>
              <w:rPr>
                <w:rFonts w:ascii="宋体" w:hAnsi="宋体"/>
                <w:szCs w:val="21"/>
              </w:rPr>
              <w:t>证明</w:t>
            </w:r>
            <w:r>
              <w:rPr>
                <w:rFonts w:hint="eastAsia" w:ascii="宋体" w:hAnsi="宋体"/>
                <w:szCs w:val="21"/>
              </w:rPr>
              <w:t>、自2</w:t>
            </w:r>
            <w:r>
              <w:rPr>
                <w:rFonts w:ascii="宋体" w:hAnsi="宋体"/>
                <w:szCs w:val="21"/>
              </w:rPr>
              <w:t>021</w:t>
            </w:r>
            <w:r>
              <w:rPr>
                <w:rFonts w:hint="eastAsia" w:ascii="宋体" w:hAnsi="宋体"/>
                <w:szCs w:val="21"/>
              </w:rPr>
              <w:t>年1月</w:t>
            </w:r>
            <w:r>
              <w:rPr>
                <w:rFonts w:ascii="宋体" w:hAnsi="宋体"/>
                <w:szCs w:val="21"/>
              </w:rPr>
              <w:t>以来任意一个月社保</w:t>
            </w:r>
            <w:r>
              <w:rPr>
                <w:rFonts w:hint="eastAsia" w:ascii="宋体" w:hAnsi="宋体"/>
                <w:szCs w:val="21"/>
              </w:rPr>
              <w:t>证明材料，</w:t>
            </w:r>
            <w:r>
              <w:rPr>
                <w:rFonts w:ascii="宋体" w:hAnsi="宋体"/>
                <w:szCs w:val="21"/>
              </w:rPr>
              <w:t>原件备查）（4分）</w:t>
            </w:r>
          </w:p>
          <w:p>
            <w:pPr>
              <w:rPr>
                <w:rFonts w:ascii="宋体" w:hAnsi="宋体"/>
                <w:szCs w:val="21"/>
              </w:rPr>
            </w:pPr>
            <w:r>
              <w:rPr>
                <w:rFonts w:ascii="宋体" w:hAnsi="宋体"/>
                <w:szCs w:val="21"/>
              </w:rPr>
              <w:t>2、投标人</w:t>
            </w:r>
            <w:r>
              <w:rPr>
                <w:rFonts w:hint="eastAsia" w:ascii="宋体" w:hAnsi="宋体"/>
                <w:szCs w:val="21"/>
              </w:rPr>
              <w:t>拟服务本项目</w:t>
            </w:r>
            <w:r>
              <w:rPr>
                <w:rFonts w:ascii="宋体" w:hAnsi="宋体"/>
                <w:szCs w:val="21"/>
              </w:rPr>
              <w:t>的骨干团队中</w:t>
            </w:r>
            <w:r>
              <w:rPr>
                <w:rFonts w:hint="eastAsia" w:ascii="宋体" w:hAnsi="宋体"/>
                <w:szCs w:val="21"/>
              </w:rPr>
              <w:t>除</w:t>
            </w:r>
            <w:r>
              <w:rPr>
                <w:rFonts w:ascii="宋体" w:hAnsi="宋体"/>
                <w:szCs w:val="21"/>
              </w:rPr>
              <w:t>项目负责人外有</w:t>
            </w:r>
            <w:r>
              <w:rPr>
                <w:rFonts w:hint="eastAsia" w:ascii="宋体" w:hAnsi="宋体"/>
                <w:szCs w:val="21"/>
              </w:rPr>
              <w:t>1</w:t>
            </w:r>
            <w:r>
              <w:rPr>
                <w:rFonts w:ascii="宋体" w:hAnsi="宋体"/>
                <w:szCs w:val="21"/>
              </w:rPr>
              <w:t>名中式烹调师得</w:t>
            </w:r>
            <w:r>
              <w:rPr>
                <w:rFonts w:hint="eastAsia" w:ascii="宋体" w:hAnsi="宋体"/>
                <w:szCs w:val="21"/>
              </w:rPr>
              <w:t>1</w:t>
            </w:r>
            <w:r>
              <w:rPr>
                <w:rFonts w:ascii="宋体" w:hAnsi="宋体"/>
                <w:szCs w:val="21"/>
              </w:rPr>
              <w:t>分</w:t>
            </w:r>
            <w:r>
              <w:rPr>
                <w:rFonts w:hint="eastAsia" w:ascii="宋体" w:hAnsi="宋体"/>
                <w:szCs w:val="21"/>
              </w:rPr>
              <w:t>，</w:t>
            </w:r>
            <w:r>
              <w:rPr>
                <w:rFonts w:ascii="宋体" w:hAnsi="宋体"/>
                <w:szCs w:val="21"/>
              </w:rPr>
              <w:t>最高得</w:t>
            </w:r>
            <w:r>
              <w:rPr>
                <w:rFonts w:hint="eastAsia" w:ascii="宋体" w:hAnsi="宋体"/>
                <w:szCs w:val="21"/>
              </w:rPr>
              <w:t>3分；</w:t>
            </w:r>
            <w:r>
              <w:rPr>
                <w:rFonts w:ascii="宋体" w:hAnsi="宋体"/>
                <w:szCs w:val="21"/>
              </w:rPr>
              <w:t>（需提供劳动合同、技能证书</w:t>
            </w:r>
            <w:r>
              <w:rPr>
                <w:rFonts w:hint="eastAsia" w:ascii="宋体" w:hAnsi="宋体"/>
                <w:szCs w:val="21"/>
              </w:rPr>
              <w:t>复印件</w:t>
            </w:r>
            <w:r>
              <w:rPr>
                <w:rFonts w:ascii="宋体" w:hAnsi="宋体"/>
                <w:szCs w:val="21"/>
              </w:rPr>
              <w:t>，</w:t>
            </w:r>
            <w:r>
              <w:rPr>
                <w:rFonts w:hint="eastAsia" w:ascii="宋体" w:hAnsi="宋体"/>
                <w:szCs w:val="21"/>
              </w:rPr>
              <w:t>自2021年1月以来任意一个月社保证明材料</w:t>
            </w:r>
            <w:r>
              <w:rPr>
                <w:rFonts w:ascii="宋体" w:hAnsi="宋体"/>
                <w:szCs w:val="21"/>
              </w:rPr>
              <w:t>，原件备查）（3分）</w:t>
            </w:r>
          </w:p>
          <w:p>
            <w:pPr>
              <w:rPr>
                <w:rFonts w:ascii="宋体" w:hAnsi="宋体"/>
                <w:szCs w:val="21"/>
              </w:rPr>
            </w:pPr>
            <w:r>
              <w:rPr>
                <w:rFonts w:ascii="宋体" w:hAnsi="宋体"/>
                <w:szCs w:val="21"/>
              </w:rPr>
              <w:t>3、投标人</w:t>
            </w:r>
            <w:r>
              <w:rPr>
                <w:rFonts w:hint="eastAsia" w:ascii="宋体" w:hAnsi="宋体"/>
                <w:szCs w:val="21"/>
              </w:rPr>
              <w:t>拟服务本项目</w:t>
            </w:r>
            <w:r>
              <w:rPr>
                <w:rFonts w:ascii="宋体" w:hAnsi="宋体"/>
                <w:szCs w:val="21"/>
              </w:rPr>
              <w:t>的骨干团队中</w:t>
            </w:r>
            <w:r>
              <w:rPr>
                <w:rFonts w:hint="eastAsia" w:ascii="宋体" w:hAnsi="宋体"/>
                <w:szCs w:val="21"/>
              </w:rPr>
              <w:t>除项目负责人外</w:t>
            </w:r>
            <w:r>
              <w:rPr>
                <w:rFonts w:ascii="宋体" w:hAnsi="宋体"/>
                <w:szCs w:val="21"/>
              </w:rPr>
              <w:t>具</w:t>
            </w:r>
            <w:r>
              <w:rPr>
                <w:rFonts w:hint="eastAsia" w:ascii="宋体" w:hAnsi="宋体"/>
                <w:szCs w:val="21"/>
              </w:rPr>
              <w:t>有</w:t>
            </w:r>
            <w:r>
              <w:rPr>
                <w:rFonts w:ascii="宋体" w:hAnsi="宋体"/>
                <w:szCs w:val="21"/>
              </w:rPr>
              <w:t>三级及以上中式烹调师</w:t>
            </w:r>
            <w:r>
              <w:rPr>
                <w:rFonts w:hint="eastAsia" w:ascii="宋体" w:hAnsi="宋体"/>
                <w:szCs w:val="21"/>
              </w:rPr>
              <w:t>证书</w:t>
            </w:r>
            <w:r>
              <w:rPr>
                <w:rFonts w:ascii="宋体" w:hAnsi="宋体"/>
                <w:szCs w:val="21"/>
              </w:rPr>
              <w:t>，</w:t>
            </w:r>
            <w:r>
              <w:rPr>
                <w:rFonts w:hint="eastAsia" w:ascii="宋体" w:hAnsi="宋体"/>
                <w:szCs w:val="21"/>
              </w:rPr>
              <w:t>有</w:t>
            </w:r>
            <w:r>
              <w:rPr>
                <w:rFonts w:ascii="宋体" w:hAnsi="宋体"/>
                <w:szCs w:val="21"/>
              </w:rPr>
              <w:t>1名得</w:t>
            </w:r>
            <w:r>
              <w:rPr>
                <w:rFonts w:hint="eastAsia" w:ascii="宋体" w:hAnsi="宋体"/>
                <w:szCs w:val="21"/>
              </w:rPr>
              <w:t>2</w:t>
            </w:r>
            <w:r>
              <w:rPr>
                <w:rFonts w:ascii="宋体" w:hAnsi="宋体"/>
                <w:szCs w:val="21"/>
              </w:rPr>
              <w:t>分</w:t>
            </w:r>
            <w:r>
              <w:rPr>
                <w:rFonts w:hint="eastAsia" w:ascii="宋体" w:hAnsi="宋体"/>
                <w:szCs w:val="21"/>
              </w:rPr>
              <w:t>，最高</w:t>
            </w:r>
            <w:r>
              <w:rPr>
                <w:rFonts w:ascii="宋体" w:hAnsi="宋体"/>
                <w:szCs w:val="21"/>
              </w:rPr>
              <w:t>4</w:t>
            </w:r>
            <w:r>
              <w:rPr>
                <w:rFonts w:hint="eastAsia" w:ascii="宋体" w:hAnsi="宋体"/>
                <w:szCs w:val="21"/>
              </w:rPr>
              <w:t>分；</w:t>
            </w:r>
            <w:r>
              <w:rPr>
                <w:rFonts w:ascii="宋体" w:hAnsi="宋体"/>
                <w:szCs w:val="21"/>
              </w:rPr>
              <w:t>（需提供劳动合同、技能证书</w:t>
            </w:r>
            <w:r>
              <w:rPr>
                <w:rFonts w:hint="eastAsia" w:ascii="宋体" w:hAnsi="宋体"/>
                <w:szCs w:val="21"/>
              </w:rPr>
              <w:t>复印件</w:t>
            </w:r>
            <w:r>
              <w:rPr>
                <w:rFonts w:ascii="宋体" w:hAnsi="宋体"/>
                <w:szCs w:val="21"/>
              </w:rPr>
              <w:t>，</w:t>
            </w:r>
            <w:r>
              <w:rPr>
                <w:rFonts w:hint="eastAsia" w:ascii="宋体" w:hAnsi="宋体"/>
                <w:szCs w:val="21"/>
              </w:rPr>
              <w:t>自2021年1月以来任意一个月社保证明材料</w:t>
            </w:r>
            <w:r>
              <w:rPr>
                <w:rFonts w:ascii="宋体" w:hAnsi="宋体"/>
                <w:szCs w:val="21"/>
              </w:rPr>
              <w:t>，原件备查）（4分）</w:t>
            </w:r>
          </w:p>
          <w:p>
            <w:pPr>
              <w:rPr>
                <w:rFonts w:ascii="宋体" w:hAnsi="宋体"/>
                <w:szCs w:val="21"/>
              </w:rPr>
            </w:pPr>
            <w:r>
              <w:rPr>
                <w:rFonts w:ascii="宋体" w:hAnsi="宋体"/>
                <w:szCs w:val="21"/>
              </w:rPr>
              <w:t>4、投标人</w:t>
            </w:r>
            <w:r>
              <w:rPr>
                <w:rFonts w:hint="eastAsia" w:ascii="宋体" w:hAnsi="宋体"/>
                <w:szCs w:val="21"/>
              </w:rPr>
              <w:t>拟服务本项目</w:t>
            </w:r>
            <w:r>
              <w:rPr>
                <w:rFonts w:ascii="宋体" w:hAnsi="宋体"/>
                <w:szCs w:val="21"/>
              </w:rPr>
              <w:t>的骨干团队</w:t>
            </w:r>
            <w:r>
              <w:rPr>
                <w:rFonts w:hint="eastAsia" w:ascii="宋体" w:hAnsi="宋体"/>
                <w:szCs w:val="21"/>
              </w:rPr>
              <w:t>中除项目负责人外</w:t>
            </w:r>
            <w:r>
              <w:rPr>
                <w:rFonts w:ascii="宋体" w:hAnsi="宋体"/>
                <w:szCs w:val="21"/>
              </w:rPr>
              <w:t>具有三级及以上中式面点师的得2分，具有西式面点师得1分</w:t>
            </w:r>
            <w:r>
              <w:rPr>
                <w:rFonts w:hint="eastAsia" w:ascii="宋体" w:hAnsi="宋体"/>
                <w:szCs w:val="21"/>
              </w:rPr>
              <w:t>；</w:t>
            </w:r>
            <w:r>
              <w:rPr>
                <w:rFonts w:ascii="宋体" w:hAnsi="宋体"/>
                <w:szCs w:val="21"/>
              </w:rPr>
              <w:t>（需提供劳动合同、技能证书</w:t>
            </w:r>
            <w:r>
              <w:rPr>
                <w:rFonts w:hint="eastAsia" w:ascii="宋体" w:hAnsi="宋体"/>
                <w:szCs w:val="21"/>
              </w:rPr>
              <w:t>复印件</w:t>
            </w:r>
            <w:r>
              <w:rPr>
                <w:rFonts w:ascii="宋体" w:hAnsi="宋体"/>
                <w:szCs w:val="21"/>
              </w:rPr>
              <w:t>，</w:t>
            </w:r>
            <w:r>
              <w:rPr>
                <w:rFonts w:hint="eastAsia" w:ascii="宋体" w:hAnsi="宋体"/>
                <w:szCs w:val="21"/>
              </w:rPr>
              <w:t>自2021年1月以来任意一个月社保证明材料</w:t>
            </w:r>
            <w:r>
              <w:rPr>
                <w:rFonts w:ascii="宋体" w:hAnsi="宋体"/>
                <w:szCs w:val="21"/>
              </w:rPr>
              <w:t>，原件备查）（3分）</w:t>
            </w:r>
          </w:p>
          <w:p>
            <w:pPr>
              <w:rPr>
                <w:rFonts w:ascii="宋体" w:hAnsi="宋体"/>
                <w:szCs w:val="21"/>
              </w:rPr>
            </w:pPr>
            <w:r>
              <w:rPr>
                <w:rFonts w:hint="eastAsia" w:ascii="宋体" w:hAnsi="宋体"/>
                <w:szCs w:val="21"/>
              </w:rPr>
              <w:t>5、投标人</w:t>
            </w:r>
            <w:r>
              <w:rPr>
                <w:rFonts w:ascii="宋体" w:hAnsi="宋体"/>
                <w:szCs w:val="21"/>
              </w:rPr>
              <w:t>拟</w:t>
            </w:r>
            <w:r>
              <w:rPr>
                <w:rFonts w:hint="eastAsia" w:ascii="宋体" w:hAnsi="宋体"/>
                <w:szCs w:val="21"/>
              </w:rPr>
              <w:t>服务</w:t>
            </w:r>
            <w:r>
              <w:rPr>
                <w:rFonts w:ascii="宋体" w:hAnsi="宋体"/>
                <w:szCs w:val="21"/>
              </w:rPr>
              <w:t>本项目的</w:t>
            </w:r>
            <w:r>
              <w:rPr>
                <w:rFonts w:hint="eastAsia" w:ascii="宋体" w:hAnsi="宋体"/>
                <w:szCs w:val="21"/>
              </w:rPr>
              <w:t>骨干团队成员中具有</w:t>
            </w:r>
            <w:r>
              <w:rPr>
                <w:rFonts w:ascii="宋体" w:hAnsi="宋体"/>
                <w:szCs w:val="21"/>
              </w:rPr>
              <w:t>公共营养师资格证书的</w:t>
            </w:r>
            <w:r>
              <w:rPr>
                <w:rFonts w:hint="eastAsia" w:ascii="宋体" w:hAnsi="宋体"/>
                <w:szCs w:val="21"/>
              </w:rPr>
              <w:t>得</w:t>
            </w:r>
            <w:r>
              <w:rPr>
                <w:rFonts w:ascii="宋体" w:hAnsi="宋体"/>
                <w:szCs w:val="21"/>
              </w:rPr>
              <w:t>1</w:t>
            </w:r>
            <w:r>
              <w:rPr>
                <w:rFonts w:hint="eastAsia" w:ascii="宋体" w:hAnsi="宋体"/>
                <w:szCs w:val="21"/>
              </w:rPr>
              <w:t>分；（需提供劳动合同、技能证书复印件</w:t>
            </w:r>
            <w:r>
              <w:rPr>
                <w:rFonts w:ascii="宋体" w:hAnsi="宋体"/>
                <w:szCs w:val="21"/>
              </w:rPr>
              <w:t>，</w:t>
            </w:r>
            <w:r>
              <w:rPr>
                <w:rFonts w:hint="eastAsia" w:ascii="宋体" w:hAnsi="宋体"/>
                <w:szCs w:val="21"/>
              </w:rPr>
              <w:t>自2021年1月以来任意一个月社保证明材料，原件备查）（1分）</w:t>
            </w:r>
          </w:p>
          <w:p>
            <w:pPr>
              <w:rPr>
                <w:rFonts w:ascii="宋体" w:hAnsi="宋体"/>
                <w:szCs w:val="21"/>
              </w:rPr>
            </w:pPr>
            <w:r>
              <w:rPr>
                <w:rFonts w:ascii="宋体" w:hAnsi="宋体"/>
                <w:szCs w:val="21"/>
              </w:rPr>
              <w:t>6</w:t>
            </w:r>
            <w:r>
              <w:rPr>
                <w:rFonts w:hint="eastAsia" w:ascii="宋体" w:hAnsi="宋体"/>
                <w:szCs w:val="21"/>
              </w:rPr>
              <w:t>、</w:t>
            </w:r>
            <w:r>
              <w:rPr>
                <w:rFonts w:ascii="宋体" w:hAnsi="宋体"/>
                <w:szCs w:val="21"/>
              </w:rPr>
              <w:t>投标人拟服务本项目的骨干团队成员中</w:t>
            </w:r>
            <w:r>
              <w:rPr>
                <w:rFonts w:hint="eastAsia" w:ascii="宋体" w:hAnsi="宋体"/>
                <w:szCs w:val="21"/>
              </w:rPr>
              <w:t>具有食品</w:t>
            </w:r>
            <w:r>
              <w:rPr>
                <w:rFonts w:ascii="宋体" w:hAnsi="宋体"/>
                <w:szCs w:val="21"/>
              </w:rPr>
              <w:t>安全管理师资格证书</w:t>
            </w:r>
            <w:r>
              <w:rPr>
                <w:rFonts w:hint="eastAsia" w:ascii="宋体" w:hAnsi="宋体"/>
                <w:szCs w:val="21"/>
              </w:rPr>
              <w:t>的得</w:t>
            </w:r>
            <w:r>
              <w:rPr>
                <w:rFonts w:ascii="宋体" w:hAnsi="宋体"/>
                <w:szCs w:val="21"/>
              </w:rPr>
              <w:t>1</w:t>
            </w:r>
            <w:r>
              <w:rPr>
                <w:rFonts w:hint="eastAsia" w:ascii="宋体" w:hAnsi="宋体"/>
                <w:szCs w:val="21"/>
              </w:rPr>
              <w:t>分。（需提供劳动合同、技能证书复印件</w:t>
            </w:r>
            <w:r>
              <w:rPr>
                <w:rFonts w:ascii="宋体" w:hAnsi="宋体"/>
                <w:szCs w:val="21"/>
              </w:rPr>
              <w:t>，</w:t>
            </w:r>
            <w:r>
              <w:rPr>
                <w:rFonts w:hint="eastAsia" w:ascii="宋体" w:hAnsi="宋体"/>
                <w:szCs w:val="21"/>
              </w:rPr>
              <w:t>自2021年1月以来任意一个月社保证明材料，原件备查）（1分）</w:t>
            </w:r>
          </w:p>
          <w:p>
            <w:pPr>
              <w:rPr>
                <w:rFonts w:ascii="宋体" w:hAnsi="宋体" w:cs="宋体"/>
                <w:b/>
                <w:kern w:val="0"/>
                <w:szCs w:val="21"/>
                <w:shd w:val="clear" w:color="auto" w:fill="FFFFFF"/>
              </w:rPr>
            </w:pPr>
            <w:r>
              <w:rPr>
                <w:rFonts w:hint="eastAsia" w:ascii="宋体" w:hAnsi="宋体"/>
                <w:b/>
                <w:szCs w:val="21"/>
              </w:rPr>
              <w:t>注</w:t>
            </w:r>
            <w:r>
              <w:rPr>
                <w:rFonts w:ascii="宋体" w:hAnsi="宋体"/>
                <w:b/>
                <w:szCs w:val="21"/>
              </w:rPr>
              <w:t>：</w:t>
            </w:r>
            <w:r>
              <w:rPr>
                <w:rFonts w:hint="eastAsia" w:ascii="宋体" w:hAnsi="宋体"/>
                <w:b/>
                <w:szCs w:val="21"/>
              </w:rPr>
              <w:t>投标人</w:t>
            </w:r>
            <w:r>
              <w:rPr>
                <w:rFonts w:ascii="宋体" w:hAnsi="宋体"/>
                <w:b/>
                <w:szCs w:val="21"/>
              </w:rPr>
              <w:t>一旦中标，</w:t>
            </w:r>
            <w:r>
              <w:rPr>
                <w:rFonts w:hint="eastAsia" w:ascii="宋体" w:hAnsi="宋体"/>
                <w:b/>
                <w:szCs w:val="21"/>
              </w:rPr>
              <w:t>上述</w:t>
            </w:r>
            <w:r>
              <w:rPr>
                <w:rFonts w:ascii="宋体" w:hAnsi="宋体"/>
                <w:b/>
                <w:szCs w:val="21"/>
              </w:rPr>
              <w:t>拟服务本项目的人员</w:t>
            </w:r>
            <w:r>
              <w:rPr>
                <w:rFonts w:hint="eastAsia" w:ascii="宋体" w:hAnsi="宋体"/>
                <w:b/>
                <w:szCs w:val="21"/>
              </w:rPr>
              <w:t>必须</w:t>
            </w:r>
            <w:r>
              <w:rPr>
                <w:rFonts w:ascii="宋体" w:hAnsi="宋体"/>
                <w:b/>
                <w:szCs w:val="21"/>
              </w:rPr>
              <w:t>全部</w:t>
            </w:r>
            <w:r>
              <w:rPr>
                <w:rFonts w:hint="eastAsia" w:ascii="宋体" w:hAnsi="宋体"/>
                <w:b/>
                <w:szCs w:val="21"/>
              </w:rPr>
              <w:t>长</w:t>
            </w:r>
            <w:r>
              <w:rPr>
                <w:rFonts w:ascii="宋体" w:hAnsi="宋体"/>
                <w:b/>
                <w:szCs w:val="21"/>
              </w:rPr>
              <w:t>驻本项目，6</w:t>
            </w:r>
            <w:r>
              <w:rPr>
                <w:rFonts w:hint="eastAsia" w:ascii="宋体" w:hAnsi="宋体"/>
                <w:b/>
                <w:szCs w:val="21"/>
              </w:rPr>
              <w:t>个月</w:t>
            </w:r>
            <w:r>
              <w:rPr>
                <w:rFonts w:ascii="宋体" w:hAnsi="宋体"/>
                <w:b/>
                <w:szCs w:val="21"/>
              </w:rPr>
              <w:t>内不得调整</w:t>
            </w:r>
            <w:r>
              <w:rPr>
                <w:rFonts w:hint="eastAsia" w:ascii="宋体" w:hAnsi="宋体"/>
                <w:b/>
                <w:szCs w:val="21"/>
              </w:rPr>
              <w:t>，6个月</w:t>
            </w:r>
            <w:r>
              <w:rPr>
                <w:rFonts w:ascii="宋体" w:hAnsi="宋体"/>
                <w:b/>
                <w:szCs w:val="21"/>
              </w:rPr>
              <w:t>后如</w:t>
            </w:r>
            <w:r>
              <w:rPr>
                <w:rFonts w:hint="eastAsia" w:ascii="宋体" w:hAnsi="宋体"/>
                <w:b/>
                <w:szCs w:val="21"/>
              </w:rPr>
              <w:t>有特殊</w:t>
            </w:r>
            <w:r>
              <w:rPr>
                <w:rFonts w:ascii="宋体" w:hAnsi="宋体"/>
                <w:b/>
                <w:szCs w:val="21"/>
              </w:rPr>
              <w:t>情况调整，须征得学校</w:t>
            </w:r>
            <w:r>
              <w:rPr>
                <w:rFonts w:hint="eastAsia" w:ascii="宋体" w:hAnsi="宋体"/>
                <w:b/>
                <w:szCs w:val="21"/>
              </w:rPr>
              <w:t>同意</w:t>
            </w:r>
            <w:r>
              <w:rPr>
                <w:rFonts w:ascii="宋体" w:hAnsi="宋体"/>
                <w:b/>
                <w:szCs w:val="21"/>
              </w:rPr>
              <w:t>，</w:t>
            </w:r>
            <w:r>
              <w:rPr>
                <w:rFonts w:hint="eastAsia" w:ascii="宋体" w:hAnsi="宋体"/>
                <w:b/>
                <w:szCs w:val="21"/>
              </w:rPr>
              <w:t>并且相应</w:t>
            </w:r>
            <w:r>
              <w:rPr>
                <w:rFonts w:ascii="宋体" w:hAnsi="宋体"/>
                <w:b/>
                <w:szCs w:val="21"/>
              </w:rPr>
              <w:t>派驻同类型人员，否则</w:t>
            </w:r>
            <w:r>
              <w:rPr>
                <w:rFonts w:hint="eastAsia" w:ascii="宋体" w:hAnsi="宋体"/>
                <w:b/>
                <w:szCs w:val="21"/>
              </w:rPr>
              <w:t>每</w:t>
            </w:r>
            <w:r>
              <w:rPr>
                <w:rFonts w:ascii="宋体" w:hAnsi="宋体"/>
                <w:b/>
                <w:szCs w:val="21"/>
              </w:rPr>
              <w:t>缺少</w:t>
            </w:r>
            <w:r>
              <w:rPr>
                <w:rFonts w:hint="eastAsia" w:ascii="宋体" w:hAnsi="宋体"/>
                <w:b/>
                <w:szCs w:val="21"/>
              </w:rPr>
              <w:t>1人学校</w:t>
            </w:r>
            <w:r>
              <w:rPr>
                <w:rFonts w:ascii="宋体" w:hAnsi="宋体"/>
                <w:b/>
                <w:szCs w:val="21"/>
              </w:rPr>
              <w:t>将扣除履约保证金</w:t>
            </w:r>
            <w:r>
              <w:rPr>
                <w:rFonts w:hint="eastAsia" w:ascii="宋体" w:hAnsi="宋体"/>
                <w:b/>
                <w:szCs w:val="21"/>
              </w:rPr>
              <w:t>5万元</w:t>
            </w:r>
            <w:r>
              <w:rPr>
                <w:rFonts w:ascii="宋体" w:hAnsi="宋体"/>
                <w:b/>
                <w:szCs w:val="21"/>
              </w:rPr>
              <w:t>。</w:t>
            </w:r>
            <w:r>
              <w:rPr>
                <w:rFonts w:hint="eastAsia" w:ascii="宋体" w:hAnsi="宋体"/>
                <w:b/>
                <w:szCs w:val="21"/>
              </w:rPr>
              <w:t>服务团队</w:t>
            </w:r>
            <w:r>
              <w:rPr>
                <w:rFonts w:ascii="宋体" w:hAnsi="宋体"/>
                <w:b/>
                <w:szCs w:val="21"/>
              </w:rPr>
              <w:t>成员汇总表见附件</w:t>
            </w:r>
            <w:r>
              <w:rPr>
                <w:rFonts w:hint="eastAsia" w:ascii="宋体" w:hAnsi="宋体"/>
                <w:b/>
                <w:szCs w:val="21"/>
              </w:rPr>
              <w:t>6。</w:t>
            </w:r>
          </w:p>
        </w:tc>
      </w:tr>
    </w:tbl>
    <w:p>
      <w:pPr>
        <w:rPr>
          <w:rFonts w:ascii="宋体" w:hAnsi="宋体"/>
          <w:b/>
          <w:sz w:val="24"/>
        </w:rPr>
      </w:pPr>
      <w:r>
        <w:rPr>
          <w:rFonts w:hint="eastAsia" w:ascii="宋体" w:hAnsi="宋体"/>
          <w:b/>
          <w:sz w:val="24"/>
        </w:rPr>
        <w:t>为便于评分，请投标人按评分表样式，逐条列出证明材料所在页码，格式自定。</w:t>
      </w:r>
    </w:p>
    <w:p/>
    <w:p>
      <w:pPr>
        <w:rPr>
          <w:b/>
          <w:sz w:val="24"/>
        </w:rPr>
      </w:pPr>
      <w:r>
        <w:rPr>
          <w:rFonts w:hint="eastAsia"/>
          <w:b/>
          <w:sz w:val="24"/>
        </w:rPr>
        <w:t>技术标（二）</w:t>
      </w:r>
    </w:p>
    <w:tbl>
      <w:tblPr>
        <w:tblStyle w:val="19"/>
        <w:tblpPr w:leftFromText="180" w:rightFromText="180" w:vertAnchor="text" w:horzAnchor="page" w:tblpX="1060" w:tblpY="42"/>
        <w:tblOverlap w:val="never"/>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825"/>
        <w:gridCol w:w="1515"/>
        <w:gridCol w:w="6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0"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技术分</w:t>
            </w:r>
          </w:p>
        </w:tc>
        <w:tc>
          <w:tcPr>
            <w:tcW w:w="825" w:type="dxa"/>
            <w:vMerge w:val="restart"/>
            <w:tcBorders>
              <w:top w:val="single" w:color="auto" w:sz="4" w:space="0"/>
              <w:left w:val="single" w:color="auto" w:sz="4" w:space="0"/>
              <w:right w:val="single" w:color="auto" w:sz="4" w:space="0"/>
            </w:tcBorders>
            <w:vAlign w:val="center"/>
          </w:tcPr>
          <w:p>
            <w:pPr>
              <w:widowControl/>
              <w:jc w:val="left"/>
              <w:rPr>
                <w:rFonts w:ascii="宋体" w:hAnsi="宋体" w:cs="宋体"/>
                <w:kern w:val="0"/>
                <w:szCs w:val="21"/>
              </w:rPr>
            </w:pPr>
            <w:r>
              <w:rPr>
                <w:rFonts w:hint="eastAsia" w:ascii="宋体" w:hAnsi="宋体" w:cs="宋体"/>
                <w:kern w:val="0"/>
                <w:szCs w:val="21"/>
              </w:rPr>
              <w:t>42分</w:t>
            </w: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经营方案</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10</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szCs w:val="21"/>
              </w:rPr>
              <w:t>1.</w:t>
            </w:r>
            <w:r>
              <w:rPr>
                <w:rFonts w:ascii="宋体" w:hAnsi="宋体"/>
                <w:szCs w:val="21"/>
              </w:rPr>
              <w:t>食堂</w:t>
            </w:r>
            <w:r>
              <w:rPr>
                <w:rFonts w:hint="eastAsia" w:ascii="宋体" w:hAnsi="宋体"/>
                <w:szCs w:val="21"/>
              </w:rPr>
              <w:t>基本</w:t>
            </w:r>
            <w:r>
              <w:rPr>
                <w:rFonts w:ascii="宋体" w:hAnsi="宋体"/>
                <w:szCs w:val="21"/>
              </w:rPr>
              <w:t>大伙</w:t>
            </w:r>
            <w:r>
              <w:rPr>
                <w:rFonts w:hint="eastAsia" w:ascii="宋体" w:hAnsi="宋体"/>
                <w:szCs w:val="21"/>
              </w:rPr>
              <w:t>经营</w:t>
            </w:r>
            <w:r>
              <w:rPr>
                <w:rFonts w:ascii="宋体" w:hAnsi="宋体"/>
                <w:szCs w:val="21"/>
              </w:rPr>
              <w:t>方案</w:t>
            </w:r>
            <w:r>
              <w:rPr>
                <w:rFonts w:hint="eastAsia" w:ascii="宋体" w:hAnsi="宋体"/>
                <w:szCs w:val="21"/>
              </w:rPr>
              <w:t>，</w:t>
            </w:r>
            <w:r>
              <w:rPr>
                <w:rFonts w:ascii="宋体" w:hAnsi="宋体"/>
                <w:szCs w:val="21"/>
              </w:rPr>
              <w:t>优秀4</w:t>
            </w:r>
            <w:r>
              <w:rPr>
                <w:rFonts w:hint="eastAsia" w:ascii="宋体" w:hAnsi="宋体"/>
                <w:szCs w:val="21"/>
              </w:rPr>
              <w:t>分、</w:t>
            </w:r>
            <w:r>
              <w:rPr>
                <w:rFonts w:ascii="宋体" w:hAnsi="宋体"/>
                <w:szCs w:val="21"/>
              </w:rPr>
              <w:t>良好2-3</w:t>
            </w:r>
            <w:r>
              <w:rPr>
                <w:rFonts w:hint="eastAsia" w:ascii="宋体" w:hAnsi="宋体"/>
                <w:szCs w:val="21"/>
              </w:rPr>
              <w:t>分</w:t>
            </w:r>
            <w:r>
              <w:rPr>
                <w:rFonts w:ascii="宋体" w:hAnsi="宋体"/>
                <w:szCs w:val="21"/>
              </w:rPr>
              <w:t>、一般</w:t>
            </w:r>
            <w:r>
              <w:rPr>
                <w:rFonts w:hint="eastAsia" w:ascii="宋体" w:hAnsi="宋体"/>
                <w:szCs w:val="21"/>
              </w:rPr>
              <w:t>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w:t>
            </w:r>
            <w:r>
              <w:rPr>
                <w:rFonts w:ascii="宋体" w:hAnsi="宋体"/>
                <w:szCs w:val="21"/>
              </w:rPr>
              <w:t>食堂风味窗口经营方案</w:t>
            </w:r>
            <w:r>
              <w:rPr>
                <w:rFonts w:hint="eastAsia" w:ascii="宋体" w:hAnsi="宋体"/>
                <w:szCs w:val="21"/>
              </w:rPr>
              <w:t>，优秀</w:t>
            </w:r>
            <w:r>
              <w:rPr>
                <w:rFonts w:ascii="宋体" w:hAnsi="宋体"/>
                <w:szCs w:val="21"/>
              </w:rPr>
              <w:t>3分、良好2分、一般1分</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3.食堂</w:t>
            </w:r>
            <w:r>
              <w:rPr>
                <w:rFonts w:ascii="宋体" w:hAnsi="宋体"/>
                <w:szCs w:val="21"/>
              </w:rPr>
              <w:t>经营品种、价格、配料</w:t>
            </w:r>
            <w:r>
              <w:rPr>
                <w:rFonts w:hint="eastAsia" w:ascii="宋体" w:hAnsi="宋体"/>
                <w:szCs w:val="21"/>
              </w:rPr>
              <w:t>构成</w:t>
            </w:r>
            <w:r>
              <w:rPr>
                <w:rFonts w:ascii="宋体" w:hAnsi="宋体"/>
                <w:szCs w:val="21"/>
              </w:rPr>
              <w:t>及份量的方案</w:t>
            </w:r>
            <w:r>
              <w:rPr>
                <w:rFonts w:hint="eastAsia" w:ascii="宋体" w:hAnsi="宋体"/>
                <w:szCs w:val="21"/>
              </w:rPr>
              <w:t>，优秀</w:t>
            </w:r>
            <w:r>
              <w:rPr>
                <w:rFonts w:ascii="宋体" w:hAnsi="宋体"/>
                <w:szCs w:val="21"/>
              </w:rPr>
              <w:t>3分、良好2分、一般1分</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管理方案</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8</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szCs w:val="21"/>
              </w:rPr>
              <w:t>1.</w:t>
            </w:r>
            <w:r>
              <w:rPr>
                <w:rFonts w:ascii="宋体" w:hAnsi="宋体"/>
                <w:szCs w:val="21"/>
              </w:rPr>
              <w:t>食堂管理</w:t>
            </w:r>
            <w:r>
              <w:rPr>
                <w:rFonts w:hint="eastAsia" w:ascii="宋体" w:hAnsi="宋体"/>
                <w:szCs w:val="21"/>
              </w:rPr>
              <w:t>、人员配备等</w:t>
            </w:r>
            <w:r>
              <w:rPr>
                <w:rFonts w:ascii="宋体" w:hAnsi="宋体"/>
                <w:szCs w:val="21"/>
              </w:rPr>
              <w:t>相关制度，</w:t>
            </w:r>
            <w:r>
              <w:rPr>
                <w:rFonts w:hint="eastAsia" w:ascii="宋体" w:hAnsi="宋体"/>
                <w:szCs w:val="21"/>
              </w:rPr>
              <w:t>优秀</w:t>
            </w:r>
            <w:r>
              <w:rPr>
                <w:rFonts w:ascii="宋体" w:hAnsi="宋体"/>
                <w:szCs w:val="21"/>
              </w:rPr>
              <w:t>4分、良好2-3分、一般</w:t>
            </w:r>
            <w:r>
              <w:rPr>
                <w:rFonts w:hint="eastAsia" w:ascii="宋体" w:hAnsi="宋体"/>
                <w:szCs w:val="21"/>
              </w:rPr>
              <w:t>1</w:t>
            </w:r>
            <w:r>
              <w:rPr>
                <w:rFonts w:ascii="宋体" w:hAnsi="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w:t>
            </w:r>
            <w:r>
              <w:rPr>
                <w:rFonts w:ascii="宋体" w:hAnsi="宋体"/>
                <w:szCs w:val="21"/>
              </w:rPr>
              <w:t>食堂食品安全、生产安全、消防安全等的保障措施及应急预案，</w:t>
            </w:r>
            <w:r>
              <w:rPr>
                <w:rFonts w:hint="eastAsia" w:ascii="宋体" w:hAnsi="宋体"/>
                <w:szCs w:val="21"/>
              </w:rPr>
              <w:t>优秀</w:t>
            </w:r>
            <w:r>
              <w:rPr>
                <w:rFonts w:ascii="宋体" w:hAnsi="宋体"/>
                <w:szCs w:val="21"/>
              </w:rPr>
              <w:t>4分、良好2-3分、一般1分</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食堂优化方案</w:t>
            </w:r>
          </w:p>
          <w:p>
            <w:pPr>
              <w:widowControl/>
              <w:spacing w:line="340" w:lineRule="exact"/>
              <w:jc w:val="center"/>
              <w:rPr>
                <w:rFonts w:ascii="宋体" w:hAnsi="宋体" w:cs="宋体"/>
                <w:kern w:val="0"/>
                <w:szCs w:val="21"/>
              </w:rPr>
            </w:pPr>
            <w:r>
              <w:rPr>
                <w:rFonts w:hint="eastAsia" w:ascii="宋体" w:hAnsi="宋体" w:cs="宋体"/>
                <w:kern w:val="0"/>
                <w:szCs w:val="21"/>
              </w:rPr>
              <w:t>（1</w:t>
            </w:r>
            <w:r>
              <w:rPr>
                <w:rFonts w:ascii="宋体" w:hAnsi="宋体" w:cs="宋体"/>
                <w:kern w:val="0"/>
                <w:szCs w:val="21"/>
              </w:rPr>
              <w:t>0</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Cs w:val="21"/>
              </w:rPr>
            </w:pPr>
            <w:r>
              <w:rPr>
                <w:rFonts w:hint="eastAsia" w:ascii="宋体" w:hAnsi="宋体"/>
                <w:szCs w:val="21"/>
              </w:rPr>
              <w:t>1.</w:t>
            </w:r>
            <w:r>
              <w:rPr>
                <w:rFonts w:ascii="宋体" w:hAnsi="宋体"/>
                <w:szCs w:val="21"/>
              </w:rPr>
              <w:t>食堂环境</w:t>
            </w:r>
            <w:r>
              <w:rPr>
                <w:rFonts w:hint="eastAsia" w:ascii="宋体" w:hAnsi="宋体"/>
                <w:szCs w:val="21"/>
              </w:rPr>
              <w:t>优化</w:t>
            </w:r>
            <w:r>
              <w:rPr>
                <w:rFonts w:ascii="宋体" w:hAnsi="宋体"/>
                <w:szCs w:val="21"/>
              </w:rPr>
              <w:t>，</w:t>
            </w:r>
            <w:r>
              <w:rPr>
                <w:rFonts w:hint="eastAsia" w:ascii="宋体" w:hAnsi="宋体"/>
                <w:szCs w:val="21"/>
              </w:rPr>
              <w:t>在</w:t>
            </w:r>
            <w:r>
              <w:rPr>
                <w:rFonts w:ascii="宋体" w:hAnsi="宋体"/>
                <w:szCs w:val="21"/>
              </w:rPr>
              <w:t>食堂</w:t>
            </w:r>
            <w:r>
              <w:rPr>
                <w:rFonts w:hint="eastAsia" w:ascii="宋体" w:hAnsi="宋体"/>
                <w:szCs w:val="21"/>
              </w:rPr>
              <w:t>现有</w:t>
            </w:r>
            <w:r>
              <w:rPr>
                <w:rFonts w:ascii="宋体" w:hAnsi="宋体"/>
                <w:szCs w:val="21"/>
              </w:rPr>
              <w:t>状况</w:t>
            </w:r>
            <w:r>
              <w:rPr>
                <w:rFonts w:hint="eastAsia" w:ascii="宋体" w:hAnsi="宋体"/>
                <w:szCs w:val="21"/>
              </w:rPr>
              <w:t>基础</w:t>
            </w:r>
            <w:r>
              <w:rPr>
                <w:rFonts w:ascii="宋体" w:hAnsi="宋体"/>
                <w:szCs w:val="21"/>
              </w:rPr>
              <w:t>上，</w:t>
            </w:r>
            <w:r>
              <w:rPr>
                <w:rFonts w:hint="eastAsia" w:ascii="宋体" w:hAnsi="宋体"/>
                <w:szCs w:val="21"/>
              </w:rPr>
              <w:t>提出</w:t>
            </w:r>
            <w:r>
              <w:rPr>
                <w:rFonts w:ascii="宋体" w:hAnsi="宋体"/>
                <w:szCs w:val="21"/>
              </w:rPr>
              <w:t>对食堂</w:t>
            </w:r>
            <w:r>
              <w:rPr>
                <w:rFonts w:hint="eastAsia" w:ascii="宋体" w:hAnsi="宋体"/>
                <w:szCs w:val="21"/>
              </w:rPr>
              <w:t>环境</w:t>
            </w:r>
            <w:r>
              <w:rPr>
                <w:rFonts w:ascii="宋体" w:hAnsi="宋体"/>
                <w:szCs w:val="21"/>
              </w:rPr>
              <w:t>优化的方案</w:t>
            </w:r>
            <w:r>
              <w:rPr>
                <w:rFonts w:hint="eastAsia" w:ascii="宋体" w:hAnsi="宋体"/>
                <w:szCs w:val="21"/>
              </w:rPr>
              <w:t>，优秀4</w:t>
            </w:r>
            <w:r>
              <w:rPr>
                <w:rFonts w:ascii="宋体" w:hAnsi="宋体"/>
                <w:szCs w:val="21"/>
              </w:rPr>
              <w:t>-5分、良好2-3分、一般1分</w:t>
            </w:r>
            <w:r>
              <w:rPr>
                <w:rFonts w:hint="eastAsia" w:ascii="宋体" w:hAnsi="宋体"/>
                <w:szCs w:val="21"/>
              </w:rPr>
              <w:t>（投标单位</w:t>
            </w:r>
            <w:r>
              <w:rPr>
                <w:rFonts w:ascii="宋体" w:hAnsi="宋体"/>
                <w:szCs w:val="21"/>
              </w:rPr>
              <w:t>须</w:t>
            </w:r>
            <w:r>
              <w:rPr>
                <w:rFonts w:hint="eastAsia" w:ascii="宋体" w:hAnsi="宋体"/>
                <w:szCs w:val="21"/>
              </w:rPr>
              <w:t>承诺投标</w:t>
            </w:r>
            <w:r>
              <w:rPr>
                <w:rFonts w:ascii="宋体" w:hAnsi="宋体"/>
                <w:szCs w:val="21"/>
              </w:rPr>
              <w:t>方案在</w:t>
            </w:r>
            <w:r>
              <w:rPr>
                <w:rFonts w:hint="eastAsia" w:ascii="宋体" w:hAnsi="宋体"/>
                <w:szCs w:val="21"/>
              </w:rPr>
              <w:t>六</w:t>
            </w:r>
            <w:r>
              <w:rPr>
                <w:rFonts w:ascii="宋体" w:hAnsi="宋体"/>
                <w:szCs w:val="21"/>
              </w:rPr>
              <w:t>个月内实施到位，</w:t>
            </w:r>
            <w:r>
              <w:rPr>
                <w:rFonts w:hint="eastAsia" w:ascii="宋体" w:hAnsi="宋体"/>
                <w:szCs w:val="21"/>
              </w:rPr>
              <w:t>见</w:t>
            </w:r>
            <w:r>
              <w:rPr>
                <w:rFonts w:ascii="宋体" w:hAnsi="宋体"/>
                <w:szCs w:val="21"/>
              </w:rPr>
              <w:t>附件</w:t>
            </w:r>
            <w:r>
              <w:rPr>
                <w:rFonts w:hint="eastAsia" w:ascii="宋体" w:hAnsi="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93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w:t>
            </w:r>
            <w:r>
              <w:rPr>
                <w:rFonts w:ascii="宋体" w:hAnsi="宋体"/>
                <w:szCs w:val="21"/>
              </w:rPr>
              <w:t>智慧</w:t>
            </w:r>
            <w:r>
              <w:rPr>
                <w:rFonts w:hint="eastAsia" w:ascii="宋体" w:hAnsi="宋体"/>
                <w:szCs w:val="21"/>
              </w:rPr>
              <w:t>食堂优化</w:t>
            </w:r>
            <w:r>
              <w:rPr>
                <w:rFonts w:ascii="宋体" w:hAnsi="宋体"/>
                <w:szCs w:val="21"/>
              </w:rPr>
              <w:t>，</w:t>
            </w:r>
            <w:r>
              <w:rPr>
                <w:rFonts w:hint="eastAsia" w:ascii="宋体" w:hAnsi="宋体"/>
                <w:szCs w:val="21"/>
              </w:rPr>
              <w:t>利用</w:t>
            </w:r>
            <w:r>
              <w:rPr>
                <w:rFonts w:ascii="宋体" w:hAnsi="宋体"/>
                <w:szCs w:val="21"/>
              </w:rPr>
              <w:t>信息化等</w:t>
            </w:r>
            <w:r>
              <w:rPr>
                <w:rFonts w:hint="eastAsia" w:ascii="宋体" w:hAnsi="宋体"/>
                <w:szCs w:val="21"/>
              </w:rPr>
              <w:t>方式提高</w:t>
            </w:r>
            <w:r>
              <w:rPr>
                <w:rFonts w:ascii="宋体" w:hAnsi="宋体"/>
                <w:szCs w:val="21"/>
              </w:rPr>
              <w:t>食堂管理效率和实效</w:t>
            </w:r>
            <w:r>
              <w:rPr>
                <w:rFonts w:hint="eastAsia" w:ascii="宋体" w:hAnsi="宋体"/>
                <w:szCs w:val="21"/>
              </w:rPr>
              <w:t>的</w:t>
            </w:r>
            <w:r>
              <w:rPr>
                <w:rFonts w:ascii="宋体" w:hAnsi="宋体"/>
                <w:szCs w:val="21"/>
              </w:rPr>
              <w:t>方案。</w:t>
            </w:r>
            <w:r>
              <w:rPr>
                <w:rFonts w:hint="eastAsia" w:ascii="宋体" w:hAnsi="宋体"/>
                <w:szCs w:val="21"/>
              </w:rPr>
              <w:t>优秀</w:t>
            </w:r>
            <w:r>
              <w:rPr>
                <w:rFonts w:ascii="宋体" w:hAnsi="宋体"/>
                <w:szCs w:val="21"/>
              </w:rPr>
              <w:t>4-5分、良好2-3分、一般1分</w:t>
            </w:r>
            <w:r>
              <w:rPr>
                <w:rFonts w:hint="eastAsia" w:ascii="宋体" w:hAnsi="宋体"/>
                <w:szCs w:val="21"/>
              </w:rPr>
              <w:t>（投标单位须承诺投标方案在六个月内实施到位，见附件8）。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930"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restart"/>
            <w:tcBorders>
              <w:top w:val="single" w:color="auto" w:sz="4" w:space="0"/>
              <w:left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餐饮文化建设</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5</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kern w:val="0"/>
                <w:szCs w:val="21"/>
              </w:rPr>
            </w:pPr>
            <w:r>
              <w:rPr>
                <w:rFonts w:hint="eastAsia" w:ascii="宋体" w:hAnsi="宋体"/>
                <w:szCs w:val="21"/>
              </w:rPr>
              <w:t>1.</w:t>
            </w:r>
            <w:r>
              <w:rPr>
                <w:rFonts w:ascii="宋体" w:hAnsi="宋体"/>
                <w:szCs w:val="21"/>
              </w:rPr>
              <w:t>举办过美食节等重要活动</w:t>
            </w:r>
            <w:r>
              <w:rPr>
                <w:rFonts w:hint="eastAsia" w:ascii="宋体" w:hAnsi="宋体"/>
                <w:szCs w:val="21"/>
              </w:rPr>
              <w:t>，优秀</w:t>
            </w:r>
            <w:r>
              <w:rPr>
                <w:rFonts w:ascii="宋体" w:hAnsi="宋体"/>
                <w:szCs w:val="21"/>
              </w:rPr>
              <w:t>3分、</w:t>
            </w:r>
            <w:r>
              <w:rPr>
                <w:rFonts w:hint="eastAsia" w:ascii="宋体" w:hAnsi="宋体"/>
                <w:szCs w:val="21"/>
              </w:rPr>
              <w:t>良好2分</w:t>
            </w:r>
            <w:r>
              <w:rPr>
                <w:rFonts w:ascii="宋体" w:hAnsi="宋体"/>
                <w:szCs w:val="21"/>
              </w:rPr>
              <w:t>、一般1分（</w:t>
            </w:r>
            <w:r>
              <w:rPr>
                <w:rFonts w:hint="eastAsia" w:ascii="宋体" w:hAnsi="宋体"/>
                <w:szCs w:val="21"/>
              </w:rPr>
              <w:t>提供甲方</w:t>
            </w:r>
            <w:r>
              <w:rPr>
                <w:rFonts w:ascii="宋体" w:hAnsi="宋体"/>
                <w:szCs w:val="21"/>
              </w:rPr>
              <w:t>证明、活动文案及活动现场体现</w:t>
            </w:r>
            <w:r>
              <w:rPr>
                <w:rFonts w:hint="eastAsia" w:ascii="宋体" w:hAnsi="宋体"/>
                <w:szCs w:val="21"/>
              </w:rPr>
              <w:t>公司名称的照片</w:t>
            </w:r>
            <w:r>
              <w:rPr>
                <w:rFonts w:ascii="宋体" w:hAnsi="宋体"/>
                <w:szCs w:val="21"/>
              </w:rPr>
              <w:t>）</w:t>
            </w: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930"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515" w:type="dxa"/>
            <w:vMerge w:val="continue"/>
            <w:tcBorders>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2.提供</w:t>
            </w:r>
            <w:r>
              <w:rPr>
                <w:rFonts w:ascii="宋体" w:hAnsi="宋体"/>
                <w:szCs w:val="21"/>
              </w:rPr>
              <w:t>体现中国传统习俗的节日活动</w:t>
            </w:r>
            <w:r>
              <w:rPr>
                <w:rFonts w:hint="eastAsia" w:ascii="宋体" w:hAnsi="宋体"/>
                <w:szCs w:val="21"/>
              </w:rPr>
              <w:t>方案，优秀</w:t>
            </w:r>
            <w:r>
              <w:rPr>
                <w:rFonts w:ascii="宋体" w:hAnsi="宋体"/>
                <w:szCs w:val="21"/>
              </w:rPr>
              <w:t>2</w:t>
            </w:r>
            <w:r>
              <w:rPr>
                <w:rFonts w:hint="eastAsia" w:ascii="宋体" w:hAnsi="宋体"/>
                <w:szCs w:val="21"/>
              </w:rPr>
              <w:t>分、</w:t>
            </w:r>
            <w:r>
              <w:rPr>
                <w:rFonts w:ascii="宋体" w:hAnsi="宋体"/>
                <w:szCs w:val="21"/>
              </w:rPr>
              <w:t>一般1分。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930"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承诺</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5</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rPr>
                <w:rFonts w:ascii="宋体" w:hAnsi="宋体"/>
                <w:szCs w:val="21"/>
              </w:rPr>
            </w:pPr>
            <w:r>
              <w:rPr>
                <w:rFonts w:hint="eastAsia" w:ascii="宋体" w:hAnsi="宋体"/>
                <w:szCs w:val="21"/>
              </w:rPr>
              <w:t>1.服从管理承诺</w:t>
            </w:r>
            <w:r>
              <w:rPr>
                <w:rFonts w:ascii="宋体" w:hAnsi="宋体"/>
                <w:szCs w:val="21"/>
              </w:rPr>
              <w:t>；</w:t>
            </w:r>
          </w:p>
          <w:p>
            <w:pPr>
              <w:rPr>
                <w:rFonts w:ascii="宋体" w:hAnsi="宋体"/>
                <w:szCs w:val="21"/>
              </w:rPr>
            </w:pPr>
            <w:r>
              <w:rPr>
                <w:rFonts w:hint="eastAsia" w:ascii="宋体" w:hAnsi="宋体"/>
                <w:szCs w:val="21"/>
              </w:rPr>
              <w:t>2.发生安全事故的责任承诺</w:t>
            </w:r>
            <w:r>
              <w:rPr>
                <w:rFonts w:ascii="宋体" w:hAnsi="宋体"/>
                <w:szCs w:val="21"/>
              </w:rPr>
              <w:t>；</w:t>
            </w:r>
          </w:p>
          <w:p>
            <w:pPr>
              <w:rPr>
                <w:rFonts w:ascii="宋体" w:hAnsi="宋体"/>
                <w:szCs w:val="21"/>
              </w:rPr>
            </w:pPr>
            <w:r>
              <w:rPr>
                <w:rFonts w:hint="eastAsia" w:ascii="宋体" w:hAnsi="宋体"/>
                <w:szCs w:val="21"/>
              </w:rPr>
              <w:t>3.承担经营风险承诺</w:t>
            </w:r>
            <w:r>
              <w:rPr>
                <w:rFonts w:ascii="宋体" w:hAnsi="宋体"/>
                <w:szCs w:val="21"/>
              </w:rPr>
              <w:t>；</w:t>
            </w:r>
          </w:p>
          <w:p>
            <w:pPr>
              <w:rPr>
                <w:rFonts w:ascii="宋体" w:hAnsi="宋体"/>
                <w:szCs w:val="21"/>
              </w:rPr>
            </w:pPr>
            <w:r>
              <w:rPr>
                <w:rFonts w:hint="eastAsia" w:ascii="宋体" w:hAnsi="宋体"/>
                <w:szCs w:val="21"/>
              </w:rPr>
              <w:t>4.期满退出承诺</w:t>
            </w:r>
            <w:r>
              <w:rPr>
                <w:rFonts w:ascii="宋体" w:hAnsi="宋体"/>
                <w:szCs w:val="21"/>
              </w:rPr>
              <w:t>；</w:t>
            </w:r>
          </w:p>
          <w:p>
            <w:pPr>
              <w:rPr>
                <w:rFonts w:ascii="宋体" w:hAnsi="宋体"/>
                <w:szCs w:val="21"/>
              </w:rPr>
            </w:pPr>
            <w:r>
              <w:rPr>
                <w:rFonts w:hint="eastAsia" w:ascii="宋体" w:hAnsi="宋体"/>
                <w:szCs w:val="21"/>
              </w:rPr>
              <w:t>5.不转包、分包承诺</w:t>
            </w:r>
            <w:r>
              <w:rPr>
                <w:rFonts w:ascii="宋体" w:hAnsi="宋体"/>
                <w:szCs w:val="21"/>
              </w:rPr>
              <w:t>；</w:t>
            </w:r>
          </w:p>
          <w:p>
            <w:pPr>
              <w:rPr>
                <w:rFonts w:ascii="宋体" w:hAnsi="宋体" w:cs="宋体"/>
                <w:kern w:val="0"/>
                <w:szCs w:val="21"/>
              </w:rPr>
            </w:pPr>
            <w:r>
              <w:rPr>
                <w:rFonts w:hint="eastAsia" w:ascii="宋体" w:hAnsi="宋体"/>
                <w:szCs w:val="21"/>
              </w:rPr>
              <w:t>根据</w:t>
            </w:r>
            <w:r>
              <w:rPr>
                <w:rFonts w:ascii="宋体" w:hAnsi="宋体"/>
                <w:szCs w:val="21"/>
              </w:rPr>
              <w:t>承诺情况，</w:t>
            </w:r>
            <w:r>
              <w:rPr>
                <w:rFonts w:hint="eastAsia" w:ascii="宋体" w:hAnsi="宋体"/>
                <w:szCs w:val="21"/>
              </w:rPr>
              <w:t>优秀4</w:t>
            </w:r>
            <w:r>
              <w:rPr>
                <w:rFonts w:ascii="宋体" w:hAnsi="宋体"/>
                <w:szCs w:val="21"/>
              </w:rPr>
              <w:t>-5</w:t>
            </w:r>
            <w:r>
              <w:rPr>
                <w:rFonts w:hint="eastAsia" w:ascii="宋体" w:hAnsi="宋体"/>
                <w:szCs w:val="21"/>
              </w:rPr>
              <w:t>分</w:t>
            </w:r>
            <w:r>
              <w:rPr>
                <w:rFonts w:ascii="宋体" w:hAnsi="宋体"/>
                <w:szCs w:val="21"/>
              </w:rPr>
              <w:t>，</w:t>
            </w:r>
            <w:r>
              <w:rPr>
                <w:rFonts w:hint="eastAsia" w:ascii="宋体" w:hAnsi="宋体"/>
                <w:szCs w:val="21"/>
              </w:rPr>
              <w:t>良好</w:t>
            </w:r>
            <w:r>
              <w:rPr>
                <w:rFonts w:ascii="宋体" w:hAnsi="宋体"/>
                <w:szCs w:val="21"/>
              </w:rPr>
              <w:t>2-3</w:t>
            </w:r>
            <w:r>
              <w:rPr>
                <w:rFonts w:hint="eastAsia" w:ascii="宋体" w:hAnsi="宋体"/>
                <w:szCs w:val="21"/>
              </w:rPr>
              <w:t>分、一般1分</w:t>
            </w:r>
            <w:r>
              <w:rPr>
                <w:rFonts w:ascii="宋体" w:hAnsi="宋体"/>
                <w:szCs w:val="21"/>
              </w:rPr>
              <w:t>，</w:t>
            </w:r>
            <w:r>
              <w:rPr>
                <w:rFonts w:hint="eastAsia" w:ascii="宋体" w:hAnsi="宋体"/>
                <w:szCs w:val="21"/>
              </w:rPr>
              <w:t>不全</w:t>
            </w:r>
            <w:r>
              <w:rPr>
                <w:rFonts w:ascii="宋体" w:hAnsi="宋体"/>
                <w:szCs w:val="21"/>
              </w:rPr>
              <w:t>或无</w:t>
            </w:r>
            <w:r>
              <w:rPr>
                <w:rFonts w:hint="eastAsia" w:ascii="宋体" w:hAnsi="宋体"/>
                <w:szCs w:val="21"/>
              </w:rPr>
              <w:t>则不得分</w:t>
            </w:r>
            <w:r>
              <w:rPr>
                <w:rFonts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930"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825"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Cs w:val="21"/>
              </w:rPr>
            </w:pPr>
          </w:p>
        </w:tc>
        <w:tc>
          <w:tcPr>
            <w:tcW w:w="151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kern w:val="0"/>
                <w:szCs w:val="21"/>
              </w:rPr>
            </w:pPr>
            <w:r>
              <w:rPr>
                <w:rFonts w:hint="eastAsia" w:ascii="宋体" w:hAnsi="宋体" w:cs="宋体"/>
                <w:kern w:val="0"/>
                <w:szCs w:val="21"/>
              </w:rPr>
              <w:t>标书文件</w:t>
            </w:r>
          </w:p>
          <w:p>
            <w:pPr>
              <w:widowControl/>
              <w:spacing w:line="340" w:lineRule="exact"/>
              <w:jc w:val="center"/>
              <w:rPr>
                <w:rFonts w:ascii="宋体" w:hAnsi="宋体" w:cs="宋体"/>
                <w:kern w:val="0"/>
                <w:szCs w:val="21"/>
              </w:rPr>
            </w:pPr>
            <w:r>
              <w:rPr>
                <w:rFonts w:hint="eastAsia" w:ascii="宋体" w:hAnsi="宋体" w:cs="宋体"/>
                <w:kern w:val="0"/>
                <w:szCs w:val="21"/>
              </w:rPr>
              <w:t>（</w:t>
            </w:r>
            <w:r>
              <w:rPr>
                <w:rFonts w:ascii="宋体" w:hAnsi="宋体" w:cs="宋体"/>
                <w:kern w:val="0"/>
                <w:szCs w:val="21"/>
              </w:rPr>
              <w:t>4</w:t>
            </w:r>
            <w:r>
              <w:rPr>
                <w:rFonts w:hint="eastAsia" w:ascii="宋体" w:hAnsi="宋体" w:cs="宋体"/>
                <w:kern w:val="0"/>
                <w:szCs w:val="21"/>
              </w:rPr>
              <w:t>分）</w:t>
            </w:r>
          </w:p>
        </w:tc>
        <w:tc>
          <w:tcPr>
            <w:tcW w:w="675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kern w:val="0"/>
                <w:szCs w:val="21"/>
              </w:rPr>
            </w:pPr>
            <w:r>
              <w:rPr>
                <w:rFonts w:hint="eastAsia"/>
                <w:szCs w:val="21"/>
              </w:rPr>
              <w:t>根据投标文件对招标文件的响应情况、表述清晰程度、规范性等评分</w:t>
            </w:r>
            <w:r>
              <w:rPr>
                <w:rFonts w:hint="eastAsia"/>
              </w:rPr>
              <w:t>，优秀4分，良好2-3分、一般1分。</w:t>
            </w:r>
          </w:p>
        </w:tc>
      </w:tr>
    </w:tbl>
    <w:p>
      <w:pPr>
        <w:rPr>
          <w:rFonts w:ascii="宋体" w:hAnsi="宋体"/>
          <w:b/>
          <w:sz w:val="24"/>
        </w:rPr>
      </w:pPr>
      <w:r>
        <w:rPr>
          <w:rFonts w:hint="eastAsia" w:ascii="宋体" w:hAnsi="宋体"/>
          <w:b/>
          <w:sz w:val="24"/>
        </w:rPr>
        <w:t>为便于评分，请投标人按评分表样式，逐条列出证明材料所在页码，格式自定。</w:t>
      </w:r>
    </w:p>
    <w:p/>
    <w:p/>
    <w:p/>
    <w:p>
      <w:pPr>
        <w:pStyle w:val="50"/>
        <w:ind w:firstLine="420"/>
      </w:pPr>
    </w:p>
    <w:p/>
    <w:p/>
    <w:p/>
    <w:p/>
    <w:p/>
    <w:p/>
    <w:p/>
    <w:p/>
    <w:p/>
    <w:p/>
    <w:p/>
    <w:p/>
    <w:p/>
    <w:p/>
    <w:p/>
    <w:p/>
    <w:p/>
    <w:p/>
    <w:p/>
    <w:p/>
    <w:p/>
    <w:p/>
    <w:p/>
    <w:p/>
    <w:p>
      <w:pPr>
        <w:pStyle w:val="3"/>
        <w:rPr>
          <w:rFonts w:ascii="宋体"/>
          <w:bCs w:val="0"/>
          <w:sz w:val="24"/>
        </w:rPr>
      </w:pPr>
      <w:bookmarkStart w:id="10" w:name="_Toc77795161"/>
      <w:r>
        <w:rPr>
          <w:rFonts w:hint="eastAsia"/>
        </w:rPr>
        <w:t>六、定标</w:t>
      </w:r>
      <w:bookmarkEnd w:id="10"/>
    </w:p>
    <w:p>
      <w:pPr>
        <w:spacing w:line="360" w:lineRule="auto"/>
        <w:ind w:firstLine="465"/>
        <w:rPr>
          <w:b/>
          <w:sz w:val="24"/>
        </w:rPr>
      </w:pPr>
      <w:r>
        <w:rPr>
          <w:b/>
          <w:sz w:val="24"/>
        </w:rPr>
        <w:t>6.1.</w:t>
      </w:r>
      <w:r>
        <w:rPr>
          <w:rFonts w:hint="eastAsia"/>
          <w:bCs/>
          <w:sz w:val="24"/>
        </w:rPr>
        <w:t>评标小组按照投标人综合得分由高到低顺序对投标人进行排序。综合</w:t>
      </w:r>
      <w:r>
        <w:rPr>
          <w:rFonts w:hint="eastAsia"/>
          <w:sz w:val="24"/>
        </w:rPr>
        <w:t>得分相同的，则按照经营方案、管理方案、食堂优化方案、企业实力</w:t>
      </w:r>
      <w:r>
        <w:rPr>
          <w:sz w:val="24"/>
        </w:rPr>
        <w:t>、</w:t>
      </w:r>
      <w:r>
        <w:rPr>
          <w:rFonts w:hint="eastAsia"/>
          <w:sz w:val="24"/>
        </w:rPr>
        <w:t>经营</w:t>
      </w:r>
      <w:r>
        <w:rPr>
          <w:sz w:val="24"/>
        </w:rPr>
        <w:t>业绩、</w:t>
      </w:r>
      <w:r>
        <w:rPr>
          <w:rFonts w:hint="eastAsia"/>
          <w:sz w:val="24"/>
        </w:rPr>
        <w:t>企业</w:t>
      </w:r>
      <w:r>
        <w:rPr>
          <w:sz w:val="24"/>
        </w:rPr>
        <w:t>荣誉、服务团队</w:t>
      </w:r>
      <w:r>
        <w:rPr>
          <w:rFonts w:hint="eastAsia"/>
          <w:sz w:val="24"/>
        </w:rPr>
        <w:t>的顺序确定中标人，即综合得分相同则按照经营方案得分排序，如再相同则按照管理方案得分排序，</w:t>
      </w:r>
      <w:r>
        <w:rPr>
          <w:sz w:val="24"/>
        </w:rPr>
        <w:t>以此类推</w:t>
      </w:r>
      <w:r>
        <w:rPr>
          <w:rFonts w:hint="eastAsia"/>
          <w:sz w:val="24"/>
        </w:rPr>
        <w:t>。得分最高且排名第一的投标人将被推荐为中标候选人或者直接被确定为中标人。</w:t>
      </w:r>
    </w:p>
    <w:p>
      <w:pPr>
        <w:spacing w:line="360" w:lineRule="auto"/>
        <w:ind w:firstLine="465"/>
        <w:rPr>
          <w:b/>
          <w:bCs/>
          <w:sz w:val="24"/>
        </w:rPr>
      </w:pPr>
      <w:r>
        <w:rPr>
          <w:rFonts w:hint="eastAsia"/>
          <w:b/>
          <w:bCs/>
          <w:sz w:val="24"/>
        </w:rPr>
        <w:t>每个投标人可以投多个标段，但最多只能中一个标段！投标人在第一标段已经中标（第一中标候选人）的，仍然</w:t>
      </w:r>
      <w:r>
        <w:rPr>
          <w:b/>
          <w:bCs/>
          <w:sz w:val="24"/>
        </w:rPr>
        <w:t>可以</w:t>
      </w:r>
      <w:r>
        <w:rPr>
          <w:rFonts w:hint="eastAsia"/>
          <w:b/>
          <w:bCs/>
          <w:sz w:val="24"/>
        </w:rPr>
        <w:t>继续参加后面标段的评审，但不再中标（如为第二标段第一中标候选人的，按该标段评审得分由高到低排序、由排序次之的投标人中标）。如遇特殊情况由评标小组研究决定。对此，投标人必须响应。</w:t>
      </w:r>
    </w:p>
    <w:p>
      <w:pPr>
        <w:spacing w:line="360" w:lineRule="auto"/>
        <w:ind w:firstLine="472" w:firstLineChars="196"/>
        <w:rPr>
          <w:b/>
          <w:bCs/>
          <w:sz w:val="24"/>
        </w:rPr>
      </w:pPr>
      <w:r>
        <w:rPr>
          <w:rFonts w:hint="eastAsia"/>
          <w:b/>
          <w:bCs/>
          <w:sz w:val="24"/>
        </w:rPr>
        <w:t>在启东校区二期食堂中标的单位，不可参加南通大学</w:t>
      </w:r>
      <w:r>
        <w:rPr>
          <w:b/>
          <w:bCs/>
          <w:sz w:val="24"/>
        </w:rPr>
        <w:t>其他</w:t>
      </w:r>
      <w:r>
        <w:rPr>
          <w:rFonts w:hint="eastAsia"/>
          <w:b/>
          <w:bCs/>
          <w:sz w:val="24"/>
        </w:rPr>
        <w:t>食堂项目的</w:t>
      </w:r>
      <w:r>
        <w:rPr>
          <w:b/>
          <w:bCs/>
          <w:sz w:val="24"/>
        </w:rPr>
        <w:t>投标</w:t>
      </w:r>
      <w:r>
        <w:rPr>
          <w:rFonts w:hint="eastAsia"/>
          <w:b/>
          <w:bCs/>
          <w:sz w:val="24"/>
        </w:rPr>
        <w:t>。</w:t>
      </w:r>
    </w:p>
    <w:p>
      <w:pPr>
        <w:spacing w:line="360" w:lineRule="auto"/>
        <w:ind w:firstLine="470" w:firstLineChars="196"/>
        <w:rPr>
          <w:bCs/>
          <w:sz w:val="24"/>
        </w:rPr>
      </w:pPr>
      <w:r>
        <w:rPr>
          <w:rFonts w:hint="eastAsia"/>
          <w:bCs/>
          <w:sz w:val="24"/>
        </w:rPr>
        <w:t>排名第一的中标候选人放弃中标、因不可抗力不能履行合同、不按照招标文件要求提交履约保证金，或者被查实存在影响中标结果的违法行为等情形，不符合中标条件的，招标人可以按照评标小组提出的中标候选人名单排序依次确定其他中标候选人为中标人，也可以重新招标。</w:t>
      </w:r>
    </w:p>
    <w:p>
      <w:pPr>
        <w:spacing w:line="360" w:lineRule="auto"/>
        <w:ind w:firstLine="472" w:firstLineChars="196"/>
        <w:rPr>
          <w:rFonts w:ascii="宋体" w:cs="Arial"/>
          <w:sz w:val="24"/>
        </w:rPr>
      </w:pPr>
      <w:r>
        <w:rPr>
          <w:b/>
          <w:sz w:val="24"/>
        </w:rPr>
        <w:t>6.</w:t>
      </w:r>
      <w:r>
        <w:rPr>
          <w:rFonts w:hint="eastAsia"/>
          <w:b/>
          <w:sz w:val="24"/>
        </w:rPr>
        <w:t>2</w:t>
      </w:r>
      <w:r>
        <w:rPr>
          <w:b/>
          <w:sz w:val="24"/>
        </w:rPr>
        <w:t xml:space="preserve">. </w:t>
      </w:r>
      <w:r>
        <w:rPr>
          <w:rFonts w:hint="eastAsia" w:ascii="宋体" w:hAnsi="宋体" w:cs="Arial"/>
          <w:sz w:val="24"/>
        </w:rPr>
        <w:t>出现下列情形之一的，招标人有权决定本次招标作废标处理：</w:t>
      </w:r>
    </w:p>
    <w:p>
      <w:pPr>
        <w:spacing w:line="360" w:lineRule="auto"/>
        <w:ind w:firstLine="560"/>
        <w:rPr>
          <w:rFonts w:ascii="宋体" w:cs="Arial"/>
          <w:sz w:val="24"/>
        </w:rPr>
      </w:pPr>
      <w:r>
        <w:rPr>
          <w:rFonts w:hint="eastAsia"/>
          <w:sz w:val="24"/>
        </w:rPr>
        <w:t>（</w:t>
      </w:r>
      <w:r>
        <w:rPr>
          <w:sz w:val="24"/>
        </w:rPr>
        <w:t>1</w:t>
      </w:r>
      <w:r>
        <w:rPr>
          <w:rFonts w:hint="eastAsia"/>
          <w:sz w:val="24"/>
        </w:rPr>
        <w:t>）</w:t>
      </w:r>
      <w:r>
        <w:rPr>
          <w:rFonts w:hint="eastAsia" w:ascii="宋体" w:hAnsi="宋体" w:cs="Arial"/>
          <w:sz w:val="24"/>
        </w:rPr>
        <w:t>发生影响招标公平、公正的违法、违规行为的；</w:t>
      </w:r>
    </w:p>
    <w:p>
      <w:pPr>
        <w:spacing w:line="360" w:lineRule="auto"/>
        <w:ind w:firstLine="560"/>
        <w:rPr>
          <w:rFonts w:ascii="宋体" w:cs="Arial"/>
          <w:sz w:val="24"/>
        </w:rPr>
      </w:pPr>
      <w:r>
        <w:rPr>
          <w:rFonts w:hint="eastAsia"/>
          <w:sz w:val="24"/>
        </w:rPr>
        <w:t>（2）</w:t>
      </w:r>
      <w:r>
        <w:rPr>
          <w:rFonts w:hint="eastAsia" w:ascii="宋体" w:hAnsi="宋体" w:cs="Arial"/>
          <w:sz w:val="24"/>
        </w:rPr>
        <w:t>因重大变故，采购任务取消的。</w:t>
      </w:r>
    </w:p>
    <w:p>
      <w:pPr>
        <w:spacing w:line="360" w:lineRule="auto"/>
        <w:ind w:firstLine="472" w:firstLineChars="196"/>
        <w:rPr>
          <w:sz w:val="24"/>
        </w:rPr>
      </w:pPr>
      <w:r>
        <w:rPr>
          <w:b/>
          <w:sz w:val="24"/>
        </w:rPr>
        <w:t>6.</w:t>
      </w:r>
      <w:r>
        <w:rPr>
          <w:rFonts w:hint="eastAsia"/>
          <w:b/>
          <w:sz w:val="24"/>
        </w:rPr>
        <w:t>3</w:t>
      </w:r>
      <w:r>
        <w:rPr>
          <w:b/>
          <w:sz w:val="24"/>
        </w:rPr>
        <w:t xml:space="preserve">. </w:t>
      </w:r>
      <w:r>
        <w:rPr>
          <w:rFonts w:hint="eastAsia"/>
          <w:sz w:val="24"/>
        </w:rPr>
        <w:t>对未中标的投标人，招标人不做未中标解释。</w:t>
      </w:r>
    </w:p>
    <w:p>
      <w:pPr>
        <w:spacing w:line="360" w:lineRule="auto"/>
        <w:ind w:firstLine="472" w:firstLineChars="196"/>
        <w:rPr>
          <w:b/>
          <w:sz w:val="24"/>
        </w:rPr>
      </w:pPr>
      <w:r>
        <w:rPr>
          <w:rFonts w:hint="eastAsia"/>
          <w:b/>
          <w:sz w:val="24"/>
        </w:rPr>
        <w:t>6.4</w:t>
      </w:r>
      <w:r>
        <w:rPr>
          <w:b/>
          <w:sz w:val="24"/>
        </w:rPr>
        <w:t xml:space="preserve">. </w:t>
      </w:r>
      <w:r>
        <w:rPr>
          <w:rFonts w:hint="eastAsia"/>
          <w:bCs/>
          <w:sz w:val="24"/>
        </w:rPr>
        <w:t>按照</w:t>
      </w:r>
      <w:r>
        <w:rPr>
          <w:bCs/>
          <w:sz w:val="24"/>
        </w:rPr>
        <w:t>疫情防控要求，</w:t>
      </w:r>
      <w:r>
        <w:rPr>
          <w:rFonts w:hint="eastAsia"/>
          <w:bCs/>
          <w:sz w:val="24"/>
        </w:rPr>
        <w:t>中标</w:t>
      </w:r>
      <w:r>
        <w:rPr>
          <w:bCs/>
          <w:sz w:val="24"/>
        </w:rPr>
        <w:t>单位</w:t>
      </w:r>
      <w:r>
        <w:rPr>
          <w:rFonts w:hint="eastAsia"/>
          <w:bCs/>
          <w:sz w:val="24"/>
        </w:rPr>
        <w:t>所有</w:t>
      </w:r>
      <w:r>
        <w:rPr>
          <w:bCs/>
          <w:sz w:val="24"/>
        </w:rPr>
        <w:t>进校员工须完成疫苗接种</w:t>
      </w:r>
      <w:r>
        <w:rPr>
          <w:rFonts w:hint="eastAsia"/>
          <w:bCs/>
          <w:sz w:val="24"/>
        </w:rPr>
        <w:t>全过程</w:t>
      </w:r>
      <w:r>
        <w:rPr>
          <w:bCs/>
          <w:sz w:val="24"/>
        </w:rPr>
        <w:t>，</w:t>
      </w:r>
      <w:r>
        <w:rPr>
          <w:rFonts w:hint="eastAsia"/>
          <w:bCs/>
          <w:sz w:val="24"/>
        </w:rPr>
        <w:t>未</w:t>
      </w:r>
      <w:r>
        <w:rPr>
          <w:bCs/>
          <w:sz w:val="24"/>
        </w:rPr>
        <w:t>完成</w:t>
      </w:r>
      <w:r>
        <w:rPr>
          <w:rFonts w:hint="eastAsia"/>
          <w:bCs/>
          <w:sz w:val="24"/>
        </w:rPr>
        <w:t>接种</w:t>
      </w:r>
      <w:r>
        <w:rPr>
          <w:bCs/>
          <w:sz w:val="24"/>
        </w:rPr>
        <w:t>的人员一律不得进校</w:t>
      </w:r>
      <w:r>
        <w:rPr>
          <w:rFonts w:hint="eastAsia"/>
          <w:bCs/>
          <w:sz w:val="24"/>
        </w:rPr>
        <w:t>。</w:t>
      </w:r>
    </w:p>
    <w:p>
      <w:pPr>
        <w:pStyle w:val="3"/>
      </w:pPr>
      <w:bookmarkStart w:id="11" w:name="_Toc77795162"/>
      <w:r>
        <w:rPr>
          <w:rFonts w:hint="eastAsia"/>
        </w:rPr>
        <w:t>七、合同的签订</w:t>
      </w:r>
      <w:bookmarkEnd w:id="11"/>
    </w:p>
    <w:p>
      <w:pPr>
        <w:spacing w:line="360" w:lineRule="auto"/>
        <w:ind w:right="-4" w:rightChars="-2" w:firstLine="475" w:firstLineChars="197"/>
        <w:rPr>
          <w:rFonts w:ascii="宋体" w:hAnsi="宋体" w:cs="宋体"/>
          <w:kern w:val="0"/>
          <w:sz w:val="24"/>
        </w:rPr>
      </w:pPr>
      <w:r>
        <w:rPr>
          <w:b/>
          <w:sz w:val="24"/>
        </w:rPr>
        <w:t xml:space="preserve">7.1. </w:t>
      </w:r>
      <w:r>
        <w:rPr>
          <w:rFonts w:hint="eastAsia" w:ascii="宋体" w:hAnsi="宋体" w:cs="宋体"/>
          <w:kern w:val="0"/>
          <w:sz w:val="24"/>
        </w:rPr>
        <w:t>中标人确定后，招标人将通过学校招标网公示1天，公示期满无异议，中标人应在30日内与招标人签订采购合同，过期视为放弃中标。</w:t>
      </w:r>
    </w:p>
    <w:p>
      <w:pPr>
        <w:spacing w:line="360" w:lineRule="auto"/>
        <w:ind w:right="-4" w:rightChars="-2" w:firstLine="475" w:firstLineChars="197"/>
        <w:rPr>
          <w:b/>
          <w:bCs/>
          <w:kern w:val="0"/>
          <w:sz w:val="24"/>
        </w:rPr>
      </w:pPr>
      <w:r>
        <w:rPr>
          <w:b/>
          <w:bCs/>
          <w:kern w:val="0"/>
          <w:sz w:val="24"/>
        </w:rPr>
        <w:t>7.2.</w:t>
      </w:r>
      <w:r>
        <w:rPr>
          <w:rFonts w:hint="eastAsia"/>
          <w:b/>
          <w:bCs/>
          <w:kern w:val="0"/>
          <w:sz w:val="24"/>
        </w:rPr>
        <w:t xml:space="preserve"> </w:t>
      </w:r>
      <w:r>
        <w:rPr>
          <w:rFonts w:hint="eastAsia"/>
          <w:kern w:val="0"/>
          <w:sz w:val="24"/>
        </w:rPr>
        <w:t>签订合同时必须一次性缴纳履约保证金2</w:t>
      </w:r>
      <w:r>
        <w:rPr>
          <w:kern w:val="0"/>
          <w:sz w:val="24"/>
        </w:rPr>
        <w:t>0</w:t>
      </w:r>
      <w:r>
        <w:rPr>
          <w:rFonts w:hint="eastAsia"/>
          <w:kern w:val="0"/>
          <w:sz w:val="24"/>
        </w:rPr>
        <w:t>万元人民币。</w:t>
      </w:r>
    </w:p>
    <w:p>
      <w:pPr>
        <w:spacing w:line="360" w:lineRule="auto"/>
        <w:ind w:firstLine="482" w:firstLineChars="200"/>
        <w:rPr>
          <w:b/>
          <w:sz w:val="24"/>
        </w:rPr>
      </w:pPr>
      <w:r>
        <w:rPr>
          <w:b/>
          <w:sz w:val="24"/>
        </w:rPr>
        <w:t xml:space="preserve">7.3. </w:t>
      </w:r>
      <w:r>
        <w:rPr>
          <w:rFonts w:hint="eastAsia" w:ascii="宋体" w:hAnsi="宋体" w:cs="宋体"/>
          <w:kern w:val="0"/>
          <w:sz w:val="24"/>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rFonts w:eastAsia="黑体"/>
          <w:sz w:val="24"/>
        </w:rPr>
      </w:pPr>
      <w:r>
        <w:rPr>
          <w:b/>
          <w:sz w:val="24"/>
        </w:rPr>
        <w:t xml:space="preserve">7.4. </w:t>
      </w:r>
      <w:r>
        <w:rPr>
          <w:rFonts w:hint="eastAsia"/>
          <w:sz w:val="24"/>
        </w:rPr>
        <w:t>如投标人中标后悔标，招标人将取消该投标人本次中标资格及今后两年内的投标资格。</w:t>
      </w:r>
    </w:p>
    <w:p>
      <w:pPr>
        <w:spacing w:line="360" w:lineRule="auto"/>
        <w:rPr>
          <w:rFonts w:ascii="宋体"/>
          <w:b/>
          <w:sz w:val="24"/>
        </w:rPr>
      </w:pPr>
    </w:p>
    <w:p>
      <w:pPr>
        <w:pStyle w:val="3"/>
      </w:pPr>
      <w:bookmarkStart w:id="12" w:name="_Toc77795163"/>
      <w:r>
        <w:rPr>
          <w:rFonts w:hint="eastAsia"/>
        </w:rPr>
        <w:t>八、其他</w:t>
      </w:r>
      <w:bookmarkEnd w:id="12"/>
    </w:p>
    <w:p>
      <w:pPr>
        <w:spacing w:line="360" w:lineRule="auto"/>
        <w:ind w:firstLine="482" w:firstLineChars="200"/>
        <w:rPr>
          <w:rFonts w:ascii="宋体"/>
          <w:b/>
          <w:spacing w:val="4"/>
          <w:sz w:val="44"/>
          <w:szCs w:val="44"/>
        </w:rPr>
        <w:sectPr>
          <w:footerReference r:id="rId4" w:type="default"/>
          <w:pgSz w:w="11906" w:h="16838"/>
          <w:pgMar w:top="1440" w:right="1800" w:bottom="1440" w:left="1800" w:header="851" w:footer="992" w:gutter="0"/>
          <w:pgNumType w:start="1"/>
          <w:cols w:space="425" w:num="1"/>
          <w:docGrid w:type="lines" w:linePitch="312" w:charSpace="0"/>
        </w:sectPr>
      </w:pPr>
      <w:r>
        <w:rPr>
          <w:rFonts w:ascii="黑体" w:eastAsia="黑体"/>
          <w:b/>
          <w:sz w:val="24"/>
        </w:rPr>
        <w:t xml:space="preserve">8.1. </w:t>
      </w:r>
      <w:r>
        <w:rPr>
          <w:rFonts w:hint="eastAsia" w:ascii="黑体" w:eastAsia="黑体"/>
          <w:b/>
          <w:sz w:val="24"/>
        </w:rPr>
        <w:t>投标人无论中标与否，招标人不承担投标人参加投标的任何费用。</w:t>
      </w:r>
    </w:p>
    <w:p>
      <w:pPr>
        <w:pStyle w:val="2"/>
        <w:jc w:val="center"/>
      </w:pPr>
      <w:bookmarkStart w:id="13" w:name="_Toc77795164"/>
      <w:bookmarkStart w:id="14" w:name="_Toc50645809"/>
      <w:r>
        <w:rPr>
          <w:rFonts w:hint="eastAsia"/>
        </w:rPr>
        <w:t>第三部分</w:t>
      </w:r>
      <w:r>
        <w:t xml:space="preserve"> </w:t>
      </w:r>
      <w:r>
        <w:rPr>
          <w:rFonts w:hint="eastAsia"/>
        </w:rPr>
        <w:t>招标项目要求及相关说明</w:t>
      </w:r>
      <w:bookmarkEnd w:id="13"/>
    </w:p>
    <w:p>
      <w:pPr>
        <w:widowControl/>
        <w:adjustRightInd w:val="0"/>
        <w:snapToGrid w:val="0"/>
        <w:spacing w:line="360" w:lineRule="auto"/>
        <w:ind w:firstLine="480"/>
        <w:jc w:val="left"/>
        <w:rPr>
          <w:rFonts w:ascii="宋体" w:hAnsi="宋体" w:cs="宋体"/>
          <w:b/>
          <w:kern w:val="0"/>
          <w:sz w:val="24"/>
        </w:rPr>
      </w:pPr>
      <w:r>
        <w:rPr>
          <w:rFonts w:hint="eastAsia" w:ascii="宋体" w:hAnsi="宋体" w:cs="宋体"/>
          <w:b/>
          <w:kern w:val="0"/>
          <w:sz w:val="24"/>
        </w:rPr>
        <w:t>一、项目概况：</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1110"/>
        <w:gridCol w:w="1875"/>
        <w:gridCol w:w="1275"/>
        <w:gridCol w:w="1170"/>
        <w:gridCol w:w="2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校区</w:t>
            </w:r>
          </w:p>
        </w:tc>
        <w:tc>
          <w:tcPr>
            <w:tcW w:w="1110"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标段号</w:t>
            </w:r>
          </w:p>
        </w:tc>
        <w:tc>
          <w:tcPr>
            <w:tcW w:w="1875"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位置地点</w:t>
            </w:r>
          </w:p>
        </w:tc>
        <w:tc>
          <w:tcPr>
            <w:tcW w:w="1275"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建筑面积</w:t>
            </w:r>
          </w:p>
        </w:tc>
        <w:tc>
          <w:tcPr>
            <w:tcW w:w="1170"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座位数</w:t>
            </w:r>
          </w:p>
        </w:tc>
        <w:tc>
          <w:tcPr>
            <w:tcW w:w="2315"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供应品种规划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Merge w:val="restart"/>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启东</w:t>
            </w:r>
          </w:p>
        </w:tc>
        <w:tc>
          <w:tcPr>
            <w:tcW w:w="1110"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标段一</w:t>
            </w:r>
          </w:p>
        </w:tc>
        <w:tc>
          <w:tcPr>
            <w:tcW w:w="1875"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二期食堂一楼</w:t>
            </w:r>
          </w:p>
        </w:tc>
        <w:tc>
          <w:tcPr>
            <w:tcW w:w="1275"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约2000</w:t>
            </w:r>
            <w:r>
              <w:rPr>
                <w:rFonts w:eastAsia="Tahoma"/>
                <w:bCs/>
                <w:kern w:val="0"/>
                <w:sz w:val="24"/>
              </w:rPr>
              <w:t>㎡</w:t>
            </w:r>
          </w:p>
        </w:tc>
        <w:tc>
          <w:tcPr>
            <w:tcW w:w="1170"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约500个</w:t>
            </w:r>
          </w:p>
        </w:tc>
        <w:tc>
          <w:tcPr>
            <w:tcW w:w="2315"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基本大伙+风味窗口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1" w:type="dxa"/>
            <w:vMerge w:val="continue"/>
            <w:vAlign w:val="center"/>
          </w:tcPr>
          <w:p>
            <w:pPr>
              <w:widowControl/>
              <w:adjustRightInd w:val="0"/>
              <w:snapToGrid w:val="0"/>
              <w:spacing w:line="500" w:lineRule="exact"/>
              <w:jc w:val="center"/>
              <w:rPr>
                <w:rFonts w:ascii="宋体" w:hAnsi="宋体" w:cs="宋体"/>
                <w:bCs/>
                <w:kern w:val="0"/>
                <w:sz w:val="24"/>
              </w:rPr>
            </w:pPr>
          </w:p>
        </w:tc>
        <w:tc>
          <w:tcPr>
            <w:tcW w:w="1110"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标段二</w:t>
            </w:r>
          </w:p>
        </w:tc>
        <w:tc>
          <w:tcPr>
            <w:tcW w:w="1875"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二期食堂二楼</w:t>
            </w:r>
          </w:p>
        </w:tc>
        <w:tc>
          <w:tcPr>
            <w:tcW w:w="1275"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约2000</w:t>
            </w:r>
            <w:r>
              <w:rPr>
                <w:rFonts w:eastAsia="Tahoma"/>
                <w:bCs/>
                <w:kern w:val="0"/>
                <w:sz w:val="24"/>
              </w:rPr>
              <w:t>㎡</w:t>
            </w:r>
          </w:p>
        </w:tc>
        <w:tc>
          <w:tcPr>
            <w:tcW w:w="1170"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约600个</w:t>
            </w:r>
          </w:p>
        </w:tc>
        <w:tc>
          <w:tcPr>
            <w:tcW w:w="2315" w:type="dxa"/>
            <w:vAlign w:val="center"/>
          </w:tcPr>
          <w:p>
            <w:pPr>
              <w:widowControl/>
              <w:adjustRightInd w:val="0"/>
              <w:snapToGrid w:val="0"/>
              <w:spacing w:line="500" w:lineRule="exact"/>
              <w:jc w:val="center"/>
              <w:rPr>
                <w:rFonts w:ascii="宋体" w:hAnsi="宋体" w:cs="宋体"/>
                <w:bCs/>
                <w:kern w:val="0"/>
                <w:sz w:val="24"/>
              </w:rPr>
            </w:pPr>
            <w:r>
              <w:rPr>
                <w:rFonts w:hint="eastAsia" w:ascii="宋体" w:hAnsi="宋体" w:cs="宋体"/>
                <w:bCs/>
                <w:kern w:val="0"/>
                <w:sz w:val="24"/>
              </w:rPr>
              <w:t>基本大伙+风味窗口</w:t>
            </w:r>
          </w:p>
        </w:tc>
      </w:tr>
    </w:tbl>
    <w:p>
      <w:pPr>
        <w:spacing w:line="400" w:lineRule="exact"/>
        <w:ind w:firstLine="480" w:firstLineChars="200"/>
        <w:rPr>
          <w:bCs/>
          <w:sz w:val="24"/>
        </w:rPr>
      </w:pPr>
      <w:r>
        <w:rPr>
          <w:rFonts w:hint="eastAsia"/>
          <w:bCs/>
          <w:sz w:val="24"/>
        </w:rPr>
        <w:t>启东校区二期食堂一楼二楼设备暂时还未进场，目前已确定中标单位。建议投标人通过</w:t>
      </w:r>
      <w:r>
        <w:rPr>
          <w:bCs/>
          <w:sz w:val="24"/>
        </w:rPr>
        <w:t>现场踏勘、</w:t>
      </w:r>
      <w:r>
        <w:rPr>
          <w:rFonts w:hint="eastAsia"/>
          <w:bCs/>
          <w:sz w:val="24"/>
        </w:rPr>
        <w:t>根据设备清单及中标单位设计图进行了解。</w:t>
      </w:r>
    </w:p>
    <w:p>
      <w:pPr>
        <w:spacing w:line="400" w:lineRule="exact"/>
        <w:ind w:firstLine="482" w:firstLineChars="200"/>
        <w:rPr>
          <w:b/>
          <w:sz w:val="24"/>
        </w:rPr>
      </w:pPr>
      <w:r>
        <w:rPr>
          <w:rFonts w:hint="eastAsia"/>
          <w:b/>
          <w:sz w:val="24"/>
        </w:rPr>
        <w:t>二、有关说明</w:t>
      </w:r>
    </w:p>
    <w:p>
      <w:pPr>
        <w:spacing w:line="400" w:lineRule="exact"/>
        <w:ind w:firstLine="480" w:firstLineChars="200"/>
        <w:rPr>
          <w:rFonts w:ascii="宋体" w:hAnsi="宋体"/>
          <w:kern w:val="0"/>
          <w:sz w:val="24"/>
        </w:rPr>
      </w:pPr>
      <w:r>
        <w:rPr>
          <w:rFonts w:hint="eastAsia" w:ascii="宋体" w:hAnsi="宋体"/>
          <w:kern w:val="0"/>
          <w:sz w:val="24"/>
        </w:rPr>
        <w:t>（一）本次</w:t>
      </w:r>
      <w:r>
        <w:rPr>
          <w:rFonts w:ascii="宋体" w:hAnsi="宋体"/>
          <w:kern w:val="0"/>
          <w:sz w:val="24"/>
        </w:rPr>
        <w:t>招标</w:t>
      </w:r>
      <w:r>
        <w:rPr>
          <w:rFonts w:hint="eastAsia" w:ascii="宋体" w:hAnsi="宋体"/>
          <w:kern w:val="0"/>
          <w:sz w:val="24"/>
        </w:rPr>
        <w:t>是由学校自主经营，引进餐饮企业组建服务团队为南通大学学生食堂提供供餐服务，主要包括但不限于以下内容：菜品加工、售卖，原材料采购（含集中平台采购、经</w:t>
      </w:r>
      <w:r>
        <w:rPr>
          <w:rFonts w:ascii="宋体" w:hAnsi="宋体"/>
          <w:kern w:val="0"/>
          <w:sz w:val="24"/>
        </w:rPr>
        <w:t>批准的</w:t>
      </w:r>
      <w:r>
        <w:rPr>
          <w:rFonts w:hint="eastAsia" w:ascii="宋体" w:hAnsi="宋体"/>
          <w:kern w:val="0"/>
          <w:sz w:val="24"/>
        </w:rPr>
        <w:t>自行采购）、餐具洗消、标段所属区域卫生保洁、各项安全措施落实等。餐饮企业根据学校的伙食供应保障需求，为学生提供伙食供应服务。学校统一组织开展以下工作：小型设施设备购置维修、小型改造、公共服务、安全检查、日常监管、集中采购服务等。</w:t>
      </w:r>
    </w:p>
    <w:p>
      <w:pPr>
        <w:spacing w:line="400" w:lineRule="exact"/>
        <w:ind w:firstLine="480" w:firstLineChars="200"/>
        <w:rPr>
          <w:rFonts w:ascii="宋体" w:hAnsi="宋体"/>
          <w:kern w:val="0"/>
          <w:sz w:val="24"/>
        </w:rPr>
      </w:pPr>
      <w:r>
        <w:rPr>
          <w:rFonts w:hint="eastAsia" w:ascii="宋体" w:hAnsi="宋体"/>
          <w:kern w:val="0"/>
          <w:sz w:val="24"/>
        </w:rPr>
        <w:t>（二）学校财务处对食堂账目进行统一核算。中标单位按照上述服务的人员工资、绩效和服务</w:t>
      </w:r>
      <w:r>
        <w:rPr>
          <w:rFonts w:ascii="宋体" w:hAnsi="宋体"/>
          <w:kern w:val="0"/>
          <w:sz w:val="24"/>
        </w:rPr>
        <w:t>过程中产生的</w:t>
      </w:r>
      <w:r>
        <w:rPr>
          <w:rFonts w:hint="eastAsia" w:ascii="宋体" w:hAnsi="宋体"/>
          <w:kern w:val="0"/>
          <w:sz w:val="24"/>
        </w:rPr>
        <w:t>相关费用（包括原材料</w:t>
      </w:r>
      <w:r>
        <w:rPr>
          <w:rFonts w:ascii="宋体" w:hAnsi="宋体"/>
          <w:kern w:val="0"/>
          <w:sz w:val="24"/>
        </w:rPr>
        <w:t>成本</w:t>
      </w:r>
      <w:r>
        <w:rPr>
          <w:rFonts w:hint="eastAsia" w:ascii="宋体" w:hAnsi="宋体"/>
          <w:kern w:val="0"/>
          <w:sz w:val="24"/>
        </w:rPr>
        <w:t>、</w:t>
      </w:r>
      <w:r>
        <w:rPr>
          <w:rFonts w:ascii="宋体" w:hAnsi="宋体"/>
          <w:kern w:val="0"/>
          <w:sz w:val="24"/>
        </w:rPr>
        <w:t>水</w:t>
      </w:r>
      <w:r>
        <w:rPr>
          <w:rFonts w:hint="eastAsia" w:ascii="宋体" w:hAnsi="宋体"/>
          <w:kern w:val="0"/>
          <w:sz w:val="24"/>
        </w:rPr>
        <w:t>、</w:t>
      </w:r>
      <w:r>
        <w:rPr>
          <w:rFonts w:ascii="宋体" w:hAnsi="宋体"/>
          <w:kern w:val="0"/>
          <w:sz w:val="24"/>
        </w:rPr>
        <w:t>电</w:t>
      </w:r>
      <w:r>
        <w:rPr>
          <w:rFonts w:hint="eastAsia" w:ascii="宋体" w:hAnsi="宋体"/>
          <w:kern w:val="0"/>
          <w:sz w:val="24"/>
        </w:rPr>
        <w:t>、</w:t>
      </w:r>
      <w:r>
        <w:rPr>
          <w:rFonts w:ascii="宋体" w:hAnsi="宋体"/>
          <w:kern w:val="0"/>
          <w:sz w:val="24"/>
        </w:rPr>
        <w:t>气</w:t>
      </w:r>
      <w:r>
        <w:rPr>
          <w:rFonts w:hint="eastAsia" w:ascii="宋体" w:hAnsi="宋体"/>
          <w:kern w:val="0"/>
          <w:sz w:val="24"/>
        </w:rPr>
        <w:t>等</w:t>
      </w:r>
      <w:r>
        <w:rPr>
          <w:rFonts w:ascii="宋体" w:hAnsi="宋体"/>
          <w:kern w:val="0"/>
          <w:sz w:val="24"/>
        </w:rPr>
        <w:t>费用</w:t>
      </w:r>
      <w:r>
        <w:rPr>
          <w:rFonts w:hint="eastAsia" w:ascii="宋体" w:hAnsi="宋体"/>
          <w:kern w:val="0"/>
          <w:sz w:val="24"/>
        </w:rPr>
        <w:t>）进行打包结算，其中一楼总费用为营业额的87%、二楼总费用为营业额的89%。营业额的1%左右作为食堂考核奖励。由学校统一组织开展的工作相关费用支出和在食堂工作的学校人员工资、绩效在食堂成本中列支，其中属于学校事业编制的，其社保和公积金由学校承担。</w:t>
      </w:r>
    </w:p>
    <w:p>
      <w:pPr>
        <w:spacing w:line="400" w:lineRule="exact"/>
        <w:ind w:firstLine="480" w:firstLineChars="200"/>
        <w:rPr>
          <w:rFonts w:ascii="宋体" w:hAnsi="宋体"/>
          <w:kern w:val="0"/>
          <w:sz w:val="24"/>
        </w:rPr>
      </w:pPr>
      <w:r>
        <w:rPr>
          <w:rFonts w:hint="eastAsia" w:ascii="宋体" w:hAnsi="宋体"/>
          <w:kern w:val="0"/>
          <w:sz w:val="24"/>
        </w:rPr>
        <w:t>经财务统一核算后，如食堂账户仍有结余，则在次年主要通过直接发放学生餐费补贴、传统节日赠送学生福利、设置特价菜、贫困生餐费补助、</w:t>
      </w:r>
      <w:r>
        <w:rPr>
          <w:rFonts w:ascii="宋体" w:hAnsi="宋体"/>
          <w:kern w:val="0"/>
          <w:sz w:val="24"/>
        </w:rPr>
        <w:t>划拨至食堂价格平抑基金</w:t>
      </w:r>
      <w:r>
        <w:rPr>
          <w:rFonts w:hint="eastAsia" w:ascii="宋体" w:hAnsi="宋体"/>
          <w:kern w:val="0"/>
          <w:sz w:val="24"/>
        </w:rPr>
        <w:t>以及食堂环境改善等方式全部返还或用于学生。此外，学校承担食堂的大型维修改造、大型餐饮设备配置和更新，空调、电梯等大型配套服务设施投入和运行的费用，不纳入食堂成本支出。</w:t>
      </w:r>
    </w:p>
    <w:p>
      <w:pPr>
        <w:spacing w:line="400" w:lineRule="exact"/>
        <w:ind w:firstLine="482" w:firstLineChars="200"/>
        <w:rPr>
          <w:rFonts w:ascii="宋体" w:hAnsi="宋体"/>
          <w:b/>
          <w:kern w:val="0"/>
          <w:sz w:val="24"/>
        </w:rPr>
      </w:pPr>
      <w:r>
        <w:rPr>
          <w:rFonts w:hint="eastAsia" w:ascii="宋体" w:hAnsi="宋体"/>
          <w:b/>
          <w:kern w:val="0"/>
          <w:sz w:val="24"/>
        </w:rPr>
        <w:t>（三）</w:t>
      </w:r>
      <w:r>
        <w:rPr>
          <w:rFonts w:ascii="宋体" w:hAnsi="宋体"/>
          <w:b/>
          <w:kern w:val="0"/>
          <w:sz w:val="24"/>
        </w:rPr>
        <w:t>服务期限：自合同签订之日起至</w:t>
      </w:r>
      <w:r>
        <w:rPr>
          <w:rFonts w:hint="eastAsia" w:ascii="宋体" w:hAnsi="宋体"/>
          <w:b/>
          <w:kern w:val="0"/>
          <w:sz w:val="24"/>
        </w:rPr>
        <w:t>2024年7月15日，</w:t>
      </w:r>
      <w:r>
        <w:rPr>
          <w:rFonts w:ascii="宋体" w:hAnsi="宋体"/>
          <w:b/>
          <w:kern w:val="0"/>
          <w:sz w:val="24"/>
        </w:rPr>
        <w:t>合同一年一签</w:t>
      </w:r>
      <w:r>
        <w:rPr>
          <w:rFonts w:hint="eastAsia" w:ascii="宋体" w:hAnsi="宋体"/>
          <w:b/>
          <w:kern w:val="0"/>
          <w:sz w:val="24"/>
        </w:rPr>
        <w:t>，</w:t>
      </w:r>
      <w:r>
        <w:rPr>
          <w:rFonts w:ascii="宋体" w:hAnsi="宋体"/>
          <w:b/>
          <w:kern w:val="0"/>
          <w:sz w:val="24"/>
        </w:rPr>
        <w:t>经</w:t>
      </w:r>
      <w:r>
        <w:rPr>
          <w:rFonts w:hint="eastAsia" w:ascii="宋体" w:hAnsi="宋体"/>
          <w:b/>
          <w:kern w:val="0"/>
          <w:sz w:val="24"/>
        </w:rPr>
        <w:t>考核</w:t>
      </w:r>
      <w:r>
        <w:rPr>
          <w:rFonts w:ascii="宋体" w:hAnsi="宋体"/>
          <w:b/>
          <w:kern w:val="0"/>
          <w:sz w:val="24"/>
        </w:rPr>
        <w:t>合格后续签下一年合同</w:t>
      </w:r>
      <w:r>
        <w:rPr>
          <w:rFonts w:hint="eastAsia" w:ascii="宋体" w:hAnsi="宋体"/>
          <w:b/>
          <w:kern w:val="0"/>
          <w:sz w:val="24"/>
        </w:rPr>
        <w:t>。</w:t>
      </w:r>
    </w:p>
    <w:p>
      <w:pPr>
        <w:spacing w:line="400" w:lineRule="exact"/>
        <w:ind w:firstLine="482" w:firstLineChars="200"/>
        <w:rPr>
          <w:rFonts w:ascii="宋体" w:hAnsi="宋体"/>
          <w:b/>
          <w:sz w:val="24"/>
        </w:rPr>
      </w:pPr>
      <w:r>
        <w:rPr>
          <w:rFonts w:hint="eastAsia" w:ascii="宋体" w:hAnsi="宋体"/>
          <w:b/>
          <w:sz w:val="24"/>
        </w:rPr>
        <w:t>（四）</w:t>
      </w:r>
      <w:r>
        <w:rPr>
          <w:rFonts w:hint="eastAsia"/>
          <w:b/>
          <w:sz w:val="24"/>
        </w:rPr>
        <w:t>投标人中标后须缴纳服务履约保证金，</w:t>
      </w:r>
      <w:r>
        <w:rPr>
          <w:rFonts w:hint="eastAsia" w:ascii="宋体" w:hAnsi="宋体"/>
          <w:b/>
          <w:sz w:val="24"/>
        </w:rPr>
        <w:t>每个标段中标单位需向学校缴纳履约保证金</w:t>
      </w:r>
      <w:r>
        <w:rPr>
          <w:rFonts w:ascii="宋体" w:hAnsi="宋体"/>
          <w:b/>
          <w:sz w:val="24"/>
        </w:rPr>
        <w:t>20万元人民币</w:t>
      </w:r>
      <w:r>
        <w:rPr>
          <w:rFonts w:hint="eastAsia" w:ascii="宋体" w:hAnsi="宋体"/>
          <w:b/>
          <w:sz w:val="24"/>
        </w:rPr>
        <w:t>，</w:t>
      </w:r>
      <w:r>
        <w:rPr>
          <w:rFonts w:hint="eastAsia"/>
          <w:b/>
          <w:sz w:val="24"/>
        </w:rPr>
        <w:t>期满，无任何违约、纠纷等，则无息退还。</w:t>
      </w:r>
    </w:p>
    <w:p>
      <w:pPr>
        <w:widowControl/>
        <w:spacing w:line="400" w:lineRule="exact"/>
        <w:ind w:firstLine="480" w:firstLineChars="200"/>
        <w:jc w:val="left"/>
        <w:rPr>
          <w:sz w:val="24"/>
        </w:rPr>
      </w:pPr>
      <w:r>
        <w:rPr>
          <w:rFonts w:hint="eastAsia"/>
          <w:sz w:val="24"/>
        </w:rPr>
        <w:t>（五）投标人在招投标过程中所发生的费用自理，所有投标文件概不退还。</w:t>
      </w:r>
    </w:p>
    <w:p>
      <w:pPr>
        <w:spacing w:line="400" w:lineRule="exact"/>
        <w:ind w:firstLine="480" w:firstLineChars="200"/>
        <w:rPr>
          <w:rFonts w:ascii="宋体" w:hAnsi="宋体"/>
          <w:sz w:val="24"/>
        </w:rPr>
      </w:pPr>
      <w:r>
        <w:rPr>
          <w:rFonts w:hint="eastAsia"/>
          <w:sz w:val="24"/>
        </w:rPr>
        <w:t>（六）合同签订10日内，中标人必须有实质性的应标响应，否则视为违约处理，违约责任由中标人承担，招标人有权终止合同，并没收中标方履约保证金。</w:t>
      </w:r>
    </w:p>
    <w:p>
      <w:pPr>
        <w:spacing w:line="400" w:lineRule="exact"/>
        <w:ind w:firstLine="480" w:firstLineChars="200"/>
        <w:rPr>
          <w:rFonts w:ascii="宋体" w:hAnsi="宋体"/>
          <w:sz w:val="24"/>
        </w:rPr>
      </w:pPr>
      <w:r>
        <w:rPr>
          <w:rFonts w:hint="eastAsia" w:ascii="宋体" w:hAnsi="宋体"/>
          <w:sz w:val="24"/>
        </w:rPr>
        <w:t>（八）</w:t>
      </w:r>
      <w:r>
        <w:rPr>
          <w:rFonts w:hint="eastAsia" w:ascii="宋体" w:hAnsi="宋体"/>
          <w:b/>
          <w:sz w:val="24"/>
        </w:rPr>
        <w:t>学生食堂就餐一律使用南通大学一卡通刷卡消费，中标单位不得收取现金或使用其它未经</w:t>
      </w:r>
      <w:r>
        <w:rPr>
          <w:rFonts w:ascii="宋体" w:hAnsi="宋体"/>
          <w:b/>
          <w:sz w:val="24"/>
        </w:rPr>
        <w:t>允许</w:t>
      </w:r>
      <w:r>
        <w:rPr>
          <w:rFonts w:hint="eastAsia" w:ascii="宋体" w:hAnsi="宋体"/>
          <w:b/>
          <w:sz w:val="24"/>
        </w:rPr>
        <w:t>的支付方式，否则，每次扣除履约保证金伍</w:t>
      </w:r>
      <w:r>
        <w:rPr>
          <w:rFonts w:ascii="宋体" w:hAnsi="宋体"/>
          <w:b/>
          <w:sz w:val="24"/>
        </w:rPr>
        <w:t>千元。</w:t>
      </w:r>
    </w:p>
    <w:p>
      <w:pPr>
        <w:spacing w:line="400" w:lineRule="exact"/>
        <w:ind w:firstLine="480" w:firstLineChars="200"/>
        <w:rPr>
          <w:rFonts w:ascii="宋体" w:hAnsi="宋体"/>
          <w:sz w:val="24"/>
        </w:rPr>
      </w:pPr>
      <w:r>
        <w:rPr>
          <w:rFonts w:hint="eastAsia" w:ascii="宋体" w:hAnsi="宋体"/>
          <w:sz w:val="24"/>
        </w:rPr>
        <w:t>（九）中标单位所中标段一楼基本大伙应不低于</w:t>
      </w:r>
      <w:r>
        <w:rPr>
          <w:rFonts w:ascii="宋体" w:hAnsi="宋体"/>
          <w:sz w:val="24"/>
        </w:rPr>
        <w:t>40%的营业面积</w:t>
      </w:r>
      <w:r>
        <w:rPr>
          <w:rFonts w:hint="eastAsia" w:ascii="宋体" w:hAnsi="宋体"/>
          <w:sz w:val="24"/>
        </w:rPr>
        <w:t>、二楼基本大伙不低于</w:t>
      </w:r>
      <w:r>
        <w:rPr>
          <w:rFonts w:ascii="宋体" w:hAnsi="宋体"/>
          <w:sz w:val="24"/>
        </w:rPr>
        <w:t>30</w:t>
      </w:r>
      <w:r>
        <w:rPr>
          <w:rFonts w:hint="eastAsia" w:ascii="宋体" w:hAnsi="宋体"/>
          <w:sz w:val="24"/>
        </w:rPr>
        <w:t>%的营业面积</w:t>
      </w:r>
      <w:r>
        <w:rPr>
          <w:rFonts w:ascii="宋体" w:hAnsi="宋体"/>
          <w:sz w:val="24"/>
        </w:rPr>
        <w:t>，</w:t>
      </w:r>
      <w:r>
        <w:rPr>
          <w:rFonts w:ascii="宋体" w:hAnsi="宋体"/>
          <w:b/>
          <w:sz w:val="24"/>
        </w:rPr>
        <w:t>各</w:t>
      </w:r>
      <w:r>
        <w:rPr>
          <w:rFonts w:hint="eastAsia" w:ascii="宋体" w:hAnsi="宋体"/>
          <w:b/>
          <w:sz w:val="24"/>
        </w:rPr>
        <w:t>中标单位</w:t>
      </w:r>
      <w:r>
        <w:rPr>
          <w:rFonts w:ascii="宋体" w:hAnsi="宋体"/>
          <w:b/>
          <w:sz w:val="24"/>
        </w:rPr>
        <w:t>务必在签署正式合同</w:t>
      </w:r>
      <w:r>
        <w:rPr>
          <w:rFonts w:hint="eastAsia" w:ascii="宋体" w:hAnsi="宋体"/>
          <w:b/>
          <w:sz w:val="24"/>
        </w:rPr>
        <w:t>后</w:t>
      </w:r>
      <w:r>
        <w:rPr>
          <w:rFonts w:ascii="宋体" w:hAnsi="宋体"/>
          <w:b/>
          <w:sz w:val="24"/>
        </w:rPr>
        <w:t>，书面向学校备案</w:t>
      </w:r>
      <w:r>
        <w:rPr>
          <w:rFonts w:hint="eastAsia" w:ascii="宋体" w:hAnsi="宋体"/>
          <w:b/>
          <w:sz w:val="24"/>
        </w:rPr>
        <w:t>基本</w:t>
      </w:r>
      <w:r>
        <w:rPr>
          <w:rFonts w:ascii="宋体" w:hAnsi="宋体"/>
          <w:b/>
          <w:sz w:val="24"/>
        </w:rPr>
        <w:t>大伙和风味窗口负责人信息，并</w:t>
      </w:r>
      <w:r>
        <w:rPr>
          <w:rFonts w:hint="eastAsia" w:ascii="宋体" w:hAnsi="宋体"/>
          <w:b/>
          <w:sz w:val="24"/>
        </w:rPr>
        <w:t>在</w:t>
      </w:r>
      <w:r>
        <w:rPr>
          <w:rFonts w:ascii="宋体" w:hAnsi="宋体"/>
          <w:b/>
          <w:sz w:val="24"/>
        </w:rPr>
        <w:t>一个月</w:t>
      </w:r>
      <w:r>
        <w:rPr>
          <w:rFonts w:hint="eastAsia" w:ascii="宋体" w:hAnsi="宋体"/>
          <w:b/>
          <w:sz w:val="24"/>
        </w:rPr>
        <w:t>内</w:t>
      </w:r>
      <w:r>
        <w:rPr>
          <w:rFonts w:ascii="宋体" w:hAnsi="宋体"/>
          <w:b/>
          <w:sz w:val="24"/>
        </w:rPr>
        <w:t>提供</w:t>
      </w:r>
      <w:r>
        <w:rPr>
          <w:rFonts w:hint="eastAsia" w:ascii="宋体" w:hAnsi="宋体"/>
          <w:b/>
          <w:sz w:val="24"/>
        </w:rPr>
        <w:t>基本大伙和</w:t>
      </w:r>
      <w:r>
        <w:rPr>
          <w:rFonts w:ascii="宋体" w:hAnsi="宋体"/>
          <w:b/>
          <w:sz w:val="24"/>
        </w:rPr>
        <w:t>各风味窗口负责人相关社保资料。</w:t>
      </w:r>
      <w:r>
        <w:rPr>
          <w:rFonts w:ascii="宋体" w:hAnsi="宋体"/>
          <w:sz w:val="24"/>
        </w:rPr>
        <w:t>风味窗口项目须按照投标文件开设，不得通过私自增设或分割方式变相增加风味窗口。未经批准开设风味窗口项目，学校有权终止其经营项目，并扣除全部履约保证金。</w:t>
      </w:r>
    </w:p>
    <w:p>
      <w:pPr>
        <w:spacing w:line="400" w:lineRule="exact"/>
        <w:ind w:firstLine="480" w:firstLineChars="200"/>
        <w:rPr>
          <w:rFonts w:ascii="宋体" w:hAnsi="宋体"/>
          <w:sz w:val="24"/>
        </w:rPr>
      </w:pPr>
      <w:r>
        <w:rPr>
          <w:rFonts w:hint="eastAsia" w:ascii="宋体" w:hAnsi="宋体"/>
          <w:sz w:val="24"/>
        </w:rPr>
        <w:t>（十）</w:t>
      </w:r>
      <w:r>
        <w:rPr>
          <w:rFonts w:hint="eastAsia" w:ascii="宋体" w:hAnsi="宋体"/>
          <w:b/>
          <w:sz w:val="24"/>
        </w:rPr>
        <w:t>中标单位不得转包、</w:t>
      </w:r>
      <w:r>
        <w:rPr>
          <w:rFonts w:ascii="宋体" w:hAnsi="宋体"/>
          <w:b/>
          <w:sz w:val="24"/>
        </w:rPr>
        <w:t>分包</w:t>
      </w:r>
      <w:r>
        <w:rPr>
          <w:rFonts w:hint="eastAsia" w:ascii="宋体" w:hAnsi="宋体"/>
          <w:b/>
          <w:sz w:val="24"/>
        </w:rPr>
        <w:t>，否则，学校有权中止合同并扣除全部履约保证金，由此引起的一切后果由中标单位自行承担。</w:t>
      </w:r>
    </w:p>
    <w:p>
      <w:pPr>
        <w:spacing w:line="400" w:lineRule="exact"/>
        <w:ind w:firstLine="480" w:firstLineChars="200"/>
        <w:rPr>
          <w:rFonts w:ascii="宋体" w:hAnsi="宋体"/>
          <w:sz w:val="24"/>
        </w:rPr>
      </w:pPr>
      <w:r>
        <w:rPr>
          <w:rFonts w:hint="eastAsia" w:ascii="宋体" w:hAnsi="宋体"/>
          <w:sz w:val="24"/>
        </w:rPr>
        <w:t>（十一）现场勘察联系人及联系方式：殷老师</w:t>
      </w:r>
      <w:r>
        <w:rPr>
          <w:rFonts w:ascii="宋体" w:hAnsi="宋体"/>
          <w:sz w:val="24"/>
        </w:rPr>
        <w:t>13706298006</w:t>
      </w:r>
    </w:p>
    <w:p>
      <w:pPr>
        <w:spacing w:line="400" w:lineRule="exact"/>
        <w:rPr>
          <w:rFonts w:ascii="宋体" w:hAnsi="宋体"/>
          <w:sz w:val="24"/>
        </w:rPr>
      </w:pPr>
      <w:r>
        <w:rPr>
          <w:rFonts w:hint="eastAsia" w:ascii="宋体" w:hAnsi="宋体"/>
          <w:sz w:val="24"/>
        </w:rPr>
        <w:t>现场勘察时间：</w:t>
      </w:r>
      <w:r>
        <w:rPr>
          <w:rFonts w:ascii="宋体" w:hAnsi="宋体"/>
          <w:sz w:val="24"/>
        </w:rPr>
        <w:t>7月</w:t>
      </w:r>
      <w:r>
        <w:rPr>
          <w:rFonts w:hint="eastAsia" w:ascii="宋体" w:hAnsi="宋体"/>
          <w:sz w:val="24"/>
        </w:rPr>
        <w:t>23</w:t>
      </w:r>
      <w:r>
        <w:rPr>
          <w:rFonts w:ascii="宋体" w:hAnsi="宋体"/>
          <w:sz w:val="24"/>
        </w:rPr>
        <w:t xml:space="preserve">日- </w:t>
      </w:r>
      <w:r>
        <w:rPr>
          <w:rFonts w:hint="eastAsia" w:ascii="宋体" w:hAnsi="宋体"/>
          <w:sz w:val="24"/>
        </w:rPr>
        <w:t>30</w:t>
      </w:r>
      <w:r>
        <w:rPr>
          <w:rFonts w:ascii="宋体" w:hAnsi="宋体"/>
          <w:sz w:val="24"/>
        </w:rPr>
        <w:t>日9:30-15:30（周末除外），至少提前一天预约。</w:t>
      </w:r>
    </w:p>
    <w:p>
      <w:pPr>
        <w:spacing w:line="400" w:lineRule="exact"/>
        <w:ind w:firstLine="480" w:firstLineChars="200"/>
        <w:rPr>
          <w:rFonts w:ascii="宋体" w:hAnsi="宋体"/>
          <w:sz w:val="24"/>
        </w:rPr>
      </w:pPr>
      <w:r>
        <w:rPr>
          <w:rFonts w:hint="eastAsia" w:ascii="宋体" w:hAnsi="宋体"/>
          <w:sz w:val="24"/>
        </w:rPr>
        <w:t>（十五）</w:t>
      </w:r>
      <w:r>
        <w:rPr>
          <w:rFonts w:ascii="宋体" w:hAnsi="宋体"/>
          <w:sz w:val="24"/>
        </w:rPr>
        <w:t>服务标准及要求</w:t>
      </w:r>
    </w:p>
    <w:p>
      <w:pPr>
        <w:spacing w:line="400" w:lineRule="exact"/>
        <w:ind w:firstLine="480" w:firstLineChars="200"/>
        <w:rPr>
          <w:rFonts w:ascii="宋体" w:hAnsi="宋体"/>
          <w:sz w:val="24"/>
        </w:rPr>
      </w:pPr>
      <w:r>
        <w:rPr>
          <w:rFonts w:hint="eastAsia" w:ascii="宋体" w:hAnsi="宋体"/>
          <w:sz w:val="24"/>
        </w:rPr>
        <w:t>1.供餐标准及要求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一日三餐正点、足量、优质供应。做到品种多样、饭菜价格合理，能满足不同经济状况和口味的学生就餐要求。主食应多样化，米、面及各种杂粮应适当调配，菜品、口味多样化，适应不同学生进餐要求，能满足各地学生的口味要求，尊重少数民族饮食习惯，掌握学生营养状况，制订学生营养改善计划和方案。</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主副食用料按标准制作，稀饭干稀适当，米饭硬软合适，发面制品色正、膨松柔软，出售成品量足型好，菜肴制作恰到火候，色、香、味俱佳，配菜时注意营养搭配，主副食加工和烹饪制作规范。</w:t>
      </w:r>
    </w:p>
    <w:p>
      <w:pPr>
        <w:spacing w:line="400" w:lineRule="exact"/>
        <w:ind w:firstLine="480" w:firstLineChars="200"/>
        <w:rPr>
          <w:rFonts w:ascii="宋体" w:hAnsi="宋体"/>
          <w:sz w:val="24"/>
        </w:rPr>
      </w:pPr>
      <w:r>
        <w:rPr>
          <w:rFonts w:hint="eastAsia" w:ascii="宋体" w:hAnsi="宋体"/>
          <w:sz w:val="24"/>
        </w:rPr>
        <w:t>（3）</w:t>
      </w:r>
      <w:r>
        <w:rPr>
          <w:rFonts w:ascii="宋体" w:hAnsi="宋体"/>
          <w:b/>
          <w:sz w:val="24"/>
        </w:rPr>
        <w:t>基本大伙供应</w:t>
      </w:r>
      <w:r>
        <w:rPr>
          <w:rFonts w:hint="eastAsia" w:ascii="宋体" w:hAnsi="宋体"/>
          <w:b/>
          <w:sz w:val="24"/>
        </w:rPr>
        <w:t>，</w:t>
      </w:r>
      <w:r>
        <w:rPr>
          <w:rFonts w:ascii="宋体" w:hAnsi="宋体"/>
          <w:b/>
          <w:sz w:val="24"/>
        </w:rPr>
        <w:t>每餐保证</w:t>
      </w:r>
      <w:r>
        <w:rPr>
          <w:rFonts w:hint="eastAsia" w:ascii="宋体" w:hAnsi="宋体"/>
          <w:b/>
          <w:sz w:val="24"/>
        </w:rPr>
        <w:t>提供1元</w:t>
      </w:r>
      <w:r>
        <w:rPr>
          <w:rFonts w:ascii="宋体" w:hAnsi="宋体"/>
          <w:b/>
          <w:sz w:val="24"/>
        </w:rPr>
        <w:t>、2元菜</w:t>
      </w:r>
      <w:r>
        <w:rPr>
          <w:rFonts w:hint="eastAsia" w:ascii="宋体" w:hAnsi="宋体"/>
          <w:b/>
          <w:sz w:val="24"/>
        </w:rPr>
        <w:t>各</w:t>
      </w:r>
      <w:r>
        <w:rPr>
          <w:rFonts w:ascii="宋体" w:hAnsi="宋体"/>
          <w:b/>
          <w:sz w:val="24"/>
        </w:rPr>
        <w:t>不少于2个</w:t>
      </w:r>
      <w:r>
        <w:rPr>
          <w:rFonts w:hint="eastAsia" w:ascii="宋体" w:hAnsi="宋体"/>
          <w:b/>
          <w:sz w:val="24"/>
        </w:rPr>
        <w:t>，</w:t>
      </w:r>
      <w:r>
        <w:rPr>
          <w:rFonts w:ascii="宋体" w:hAnsi="宋体"/>
          <w:b/>
          <w:sz w:val="24"/>
        </w:rPr>
        <w:t>白粥不得高于0.5元。</w:t>
      </w:r>
      <w:r>
        <w:rPr>
          <w:rFonts w:hint="eastAsia" w:ascii="宋体" w:hAnsi="宋体"/>
          <w:b/>
          <w:sz w:val="24"/>
        </w:rPr>
        <w:t>基本大伙所有菜品</w:t>
      </w:r>
      <w:r>
        <w:rPr>
          <w:rFonts w:ascii="宋体" w:hAnsi="宋体"/>
          <w:b/>
          <w:sz w:val="24"/>
        </w:rPr>
        <w:t>须向</w:t>
      </w:r>
      <w:r>
        <w:rPr>
          <w:rFonts w:hint="eastAsia" w:ascii="宋体" w:hAnsi="宋体"/>
          <w:b/>
          <w:sz w:val="24"/>
        </w:rPr>
        <w:t>饮食</w:t>
      </w:r>
      <w:r>
        <w:rPr>
          <w:rFonts w:ascii="宋体" w:hAnsi="宋体"/>
          <w:b/>
          <w:sz w:val="24"/>
        </w:rPr>
        <w:t>服务中心</w:t>
      </w:r>
      <w:r>
        <w:rPr>
          <w:rFonts w:hint="eastAsia" w:ascii="宋体" w:hAnsi="宋体"/>
          <w:b/>
          <w:sz w:val="24"/>
        </w:rPr>
        <w:t>报备</w:t>
      </w:r>
      <w:r>
        <w:rPr>
          <w:rFonts w:ascii="宋体" w:hAnsi="宋体"/>
          <w:b/>
          <w:sz w:val="24"/>
        </w:rPr>
        <w:t>配料构成及成本，菜价经过核定</w:t>
      </w:r>
      <w:r>
        <w:rPr>
          <w:rFonts w:hint="eastAsia" w:ascii="宋体" w:hAnsi="宋体"/>
          <w:b/>
          <w:sz w:val="24"/>
        </w:rPr>
        <w:t>批准</w:t>
      </w:r>
      <w:r>
        <w:rPr>
          <w:rFonts w:ascii="宋体" w:hAnsi="宋体"/>
          <w:b/>
          <w:sz w:val="24"/>
        </w:rPr>
        <w:t>后方可售卖</w:t>
      </w:r>
      <w:r>
        <w:rPr>
          <w:rFonts w:hint="eastAsia" w:ascii="宋体" w:hAnsi="宋体"/>
          <w:b/>
          <w:sz w:val="24"/>
        </w:rPr>
        <w:t>。</w:t>
      </w:r>
      <w:r>
        <w:rPr>
          <w:rFonts w:ascii="宋体" w:hAnsi="宋体"/>
          <w:sz w:val="24"/>
        </w:rPr>
        <w:t>所有供应品种需明码标价，若发现不标价或标价不规范每次扣除履约保证金</w:t>
      </w:r>
      <w:r>
        <w:rPr>
          <w:rFonts w:hint="eastAsia" w:ascii="宋体" w:hAnsi="宋体"/>
          <w:sz w:val="24"/>
        </w:rPr>
        <w:t>伍</w:t>
      </w:r>
      <w:r>
        <w:rPr>
          <w:rFonts w:ascii="宋体" w:hAnsi="宋体"/>
          <w:sz w:val="24"/>
        </w:rPr>
        <w:t>百元，若标价或售卖价格超过最高限价将扣除履约保证金</w:t>
      </w:r>
      <w:r>
        <w:rPr>
          <w:rFonts w:hint="eastAsia" w:ascii="宋体" w:hAnsi="宋体"/>
          <w:sz w:val="24"/>
        </w:rPr>
        <w:t>壹</w:t>
      </w:r>
      <w:r>
        <w:rPr>
          <w:rFonts w:ascii="宋体" w:hAnsi="宋体"/>
          <w:sz w:val="24"/>
        </w:rPr>
        <w:t>千元。</w:t>
      </w:r>
    </w:p>
    <w:p>
      <w:pPr>
        <w:spacing w:line="400" w:lineRule="exact"/>
        <w:ind w:firstLine="480" w:firstLineChars="200"/>
        <w:rPr>
          <w:rFonts w:ascii="宋体" w:hAnsi="宋体"/>
          <w:sz w:val="24"/>
        </w:rPr>
      </w:pPr>
      <w:r>
        <w:rPr>
          <w:rFonts w:hint="eastAsia" w:ascii="宋体" w:hAnsi="宋体"/>
          <w:sz w:val="24"/>
        </w:rPr>
        <w:t>（4）</w:t>
      </w:r>
      <w:r>
        <w:rPr>
          <w:rFonts w:ascii="宋体" w:hAnsi="宋体"/>
          <w:b/>
          <w:sz w:val="24"/>
        </w:rPr>
        <w:t>主副食品高、中、低档搭配原则为2：5：3或3：4：3，</w:t>
      </w:r>
      <w:r>
        <w:rPr>
          <w:rFonts w:hint="eastAsia" w:ascii="宋体" w:hAnsi="宋体"/>
          <w:b/>
          <w:sz w:val="24"/>
        </w:rPr>
        <w:t>中晚餐需有大排、红烧肉或肉圆等供应，</w:t>
      </w:r>
      <w:r>
        <w:rPr>
          <w:rFonts w:ascii="宋体" w:hAnsi="宋体"/>
          <w:b/>
          <w:sz w:val="24"/>
        </w:rPr>
        <w:t>早中晚餐至少有一个窗口供应白粥、馒头、花卷等品种。</w:t>
      </w:r>
    </w:p>
    <w:p>
      <w:pPr>
        <w:spacing w:line="400" w:lineRule="exact"/>
        <w:ind w:firstLine="480" w:firstLineChars="200"/>
        <w:rPr>
          <w:rFonts w:ascii="宋体" w:hAnsi="宋体"/>
          <w:sz w:val="24"/>
        </w:rPr>
      </w:pPr>
      <w:r>
        <w:rPr>
          <w:rFonts w:hint="eastAsia" w:ascii="宋体" w:hAnsi="宋体"/>
          <w:sz w:val="24"/>
        </w:rPr>
        <w:t>（5）</w:t>
      </w:r>
      <w:r>
        <w:rPr>
          <w:rFonts w:ascii="宋体" w:hAnsi="宋体"/>
          <w:sz w:val="24"/>
        </w:rPr>
        <w:t>需提供免费汤、免费调料，保证热饭菜供应，开餐中及时对餐桌保洁。</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不得随意调整饭菜价格。确因物价上涨过快等原因须要调价的，中标单位须提前向学校提交书面申请，经批准后方可进行调整。</w:t>
      </w:r>
    </w:p>
    <w:p>
      <w:pPr>
        <w:spacing w:line="400" w:lineRule="exact"/>
        <w:ind w:firstLine="480" w:firstLineChars="200"/>
        <w:rPr>
          <w:rFonts w:ascii="宋体" w:hAnsi="宋体"/>
          <w:sz w:val="24"/>
        </w:rPr>
      </w:pPr>
      <w:r>
        <w:rPr>
          <w:rFonts w:hint="eastAsia" w:ascii="宋体" w:hAnsi="宋体"/>
          <w:sz w:val="24"/>
        </w:rPr>
        <w:t>（7）</w:t>
      </w:r>
      <w:r>
        <w:rPr>
          <w:rFonts w:ascii="宋体" w:hAnsi="宋体"/>
          <w:sz w:val="24"/>
        </w:rPr>
        <w:t>须根据学校要求，提供中国传统习俗的年夜饭、端午节粽子、中秋月饼、冬至节</w:t>
      </w:r>
      <w:r>
        <w:rPr>
          <w:rFonts w:hint="eastAsia" w:ascii="宋体" w:hAnsi="宋体"/>
          <w:sz w:val="24"/>
        </w:rPr>
        <w:t>汤圆</w:t>
      </w:r>
      <w:r>
        <w:rPr>
          <w:rFonts w:ascii="宋体" w:hAnsi="宋体"/>
          <w:sz w:val="24"/>
        </w:rPr>
        <w:t>水饺等供应。</w:t>
      </w:r>
    </w:p>
    <w:p>
      <w:pPr>
        <w:spacing w:line="400" w:lineRule="exact"/>
        <w:ind w:firstLine="480" w:firstLineChars="200"/>
        <w:rPr>
          <w:rFonts w:ascii="宋体" w:hAnsi="宋体"/>
          <w:sz w:val="24"/>
        </w:rPr>
      </w:pPr>
      <w:r>
        <w:rPr>
          <w:rFonts w:hint="eastAsia" w:ascii="宋体" w:hAnsi="宋体"/>
          <w:sz w:val="24"/>
        </w:rPr>
        <w:t>（8）</w:t>
      </w:r>
      <w:r>
        <w:rPr>
          <w:rFonts w:ascii="宋体" w:hAnsi="宋体"/>
          <w:sz w:val="24"/>
        </w:rPr>
        <w:t>服务程序操作规范，服务态度积极主动，文明用语、礼貌待人。</w:t>
      </w:r>
    </w:p>
    <w:p>
      <w:pPr>
        <w:spacing w:line="400" w:lineRule="exact"/>
        <w:ind w:firstLine="482" w:firstLineChars="200"/>
        <w:rPr>
          <w:rFonts w:ascii="宋体" w:hAnsi="宋体"/>
          <w:b/>
          <w:sz w:val="24"/>
        </w:rPr>
      </w:pPr>
      <w:r>
        <w:rPr>
          <w:rFonts w:hint="eastAsia" w:ascii="宋体" w:hAnsi="宋体"/>
          <w:b/>
          <w:sz w:val="24"/>
        </w:rPr>
        <w:t>（9）学生</w:t>
      </w:r>
      <w:r>
        <w:rPr>
          <w:rFonts w:ascii="宋体" w:hAnsi="宋体"/>
          <w:b/>
          <w:sz w:val="24"/>
        </w:rPr>
        <w:t>对食堂综合满意率须达到</w:t>
      </w:r>
      <w:r>
        <w:rPr>
          <w:rFonts w:hint="eastAsia" w:ascii="宋体" w:hAnsi="宋体"/>
          <w:b/>
          <w:sz w:val="24"/>
        </w:rPr>
        <w:t>80</w:t>
      </w:r>
      <w:r>
        <w:rPr>
          <w:rFonts w:ascii="宋体" w:hAnsi="宋体"/>
          <w:b/>
          <w:sz w:val="24"/>
        </w:rPr>
        <w:t>%及以上</w:t>
      </w:r>
      <w:r>
        <w:rPr>
          <w:rFonts w:hint="eastAsia" w:ascii="宋体" w:hAnsi="宋体"/>
          <w:b/>
          <w:sz w:val="24"/>
        </w:rPr>
        <w:t>，</w:t>
      </w:r>
      <w:r>
        <w:rPr>
          <w:rFonts w:ascii="宋体" w:hAnsi="宋体"/>
          <w:b/>
          <w:sz w:val="24"/>
        </w:rPr>
        <w:t>一旦低于该水平</w:t>
      </w:r>
      <w:r>
        <w:rPr>
          <w:rFonts w:hint="eastAsia" w:ascii="宋体" w:hAnsi="宋体"/>
          <w:b/>
          <w:sz w:val="24"/>
        </w:rPr>
        <w:t>学校</w:t>
      </w:r>
      <w:r>
        <w:rPr>
          <w:rFonts w:ascii="宋体" w:hAnsi="宋体"/>
          <w:b/>
          <w:sz w:val="24"/>
        </w:rPr>
        <w:t>将予以</w:t>
      </w:r>
      <w:r>
        <w:rPr>
          <w:rFonts w:hint="eastAsia" w:ascii="宋体" w:hAnsi="宋体"/>
          <w:b/>
          <w:sz w:val="24"/>
        </w:rPr>
        <w:t>相应</w:t>
      </w:r>
      <w:r>
        <w:rPr>
          <w:rFonts w:ascii="宋体" w:hAnsi="宋体"/>
          <w:b/>
          <w:sz w:val="24"/>
        </w:rPr>
        <w:t>处罚。</w:t>
      </w:r>
    </w:p>
    <w:p>
      <w:pPr>
        <w:spacing w:line="400" w:lineRule="exact"/>
        <w:ind w:firstLine="480" w:firstLineChars="200"/>
        <w:rPr>
          <w:rFonts w:ascii="宋体" w:hAnsi="宋体"/>
          <w:sz w:val="24"/>
        </w:rPr>
      </w:pPr>
      <w:r>
        <w:rPr>
          <w:rFonts w:hint="eastAsia" w:ascii="宋体" w:hAnsi="宋体"/>
          <w:sz w:val="24"/>
        </w:rPr>
        <w:t>2.物资集中采购标准及要求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所有主副食品原材料（如米面油蛋、豆制品类、干货类、调料类等）必须全部从学校确定的协议供应商处统一集中采购，并服从学校安排，从统一的集中采购平台开展订货、配送、结算等相关工作。</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少量具有品牌性的</w:t>
      </w:r>
      <w:r>
        <w:rPr>
          <w:rFonts w:hint="eastAsia" w:ascii="宋体" w:hAnsi="宋体"/>
          <w:sz w:val="24"/>
        </w:rPr>
        <w:t>，在</w:t>
      </w:r>
      <w:r>
        <w:rPr>
          <w:rFonts w:ascii="宋体" w:hAnsi="宋体"/>
          <w:sz w:val="24"/>
        </w:rPr>
        <w:t>采购系统中无任何可替代品的伙食原材料，如食堂确有采购需求，经</w:t>
      </w:r>
      <w:r>
        <w:rPr>
          <w:rFonts w:hint="eastAsia" w:ascii="宋体" w:hAnsi="宋体"/>
          <w:sz w:val="24"/>
        </w:rPr>
        <w:t>饮食</w:t>
      </w:r>
      <w:r>
        <w:rPr>
          <w:rFonts w:ascii="宋体" w:hAnsi="宋体"/>
          <w:sz w:val="24"/>
        </w:rPr>
        <w:t>服务中心批准后方可自购。</w:t>
      </w:r>
    </w:p>
    <w:p>
      <w:pPr>
        <w:spacing w:line="400" w:lineRule="exact"/>
        <w:ind w:firstLine="480" w:firstLineChars="200"/>
        <w:rPr>
          <w:rFonts w:ascii="宋体" w:hAnsi="宋体"/>
          <w:sz w:val="24"/>
        </w:rPr>
      </w:pPr>
      <w:r>
        <w:rPr>
          <w:rFonts w:hint="eastAsia" w:ascii="宋体" w:hAnsi="宋体"/>
          <w:sz w:val="24"/>
        </w:rPr>
        <w:t>（3）</w:t>
      </w:r>
      <w:r>
        <w:rPr>
          <w:rFonts w:ascii="宋体" w:hAnsi="宋体"/>
          <w:b/>
          <w:sz w:val="24"/>
        </w:rPr>
        <w:t>中标单位须按学校要求做好成本核算，直接成本中的主副原材料（包括</w:t>
      </w:r>
      <w:r>
        <w:rPr>
          <w:rFonts w:hint="eastAsia" w:ascii="宋体" w:hAnsi="宋体"/>
          <w:b/>
          <w:sz w:val="24"/>
        </w:rPr>
        <w:t>集中</w:t>
      </w:r>
      <w:r>
        <w:rPr>
          <w:rFonts w:ascii="宋体" w:hAnsi="宋体"/>
          <w:b/>
          <w:sz w:val="24"/>
        </w:rPr>
        <w:t>采购，</w:t>
      </w:r>
      <w:r>
        <w:rPr>
          <w:rFonts w:hint="eastAsia" w:ascii="宋体" w:hAnsi="宋体"/>
          <w:b/>
          <w:sz w:val="24"/>
        </w:rPr>
        <w:t>经批准</w:t>
      </w:r>
      <w:r>
        <w:rPr>
          <w:rFonts w:ascii="宋体" w:hAnsi="宋体"/>
          <w:b/>
          <w:sz w:val="24"/>
        </w:rPr>
        <w:t>的自购原材料</w:t>
      </w:r>
      <w:r>
        <w:rPr>
          <w:rFonts w:hint="eastAsia" w:ascii="宋体" w:hAnsi="宋体"/>
          <w:b/>
          <w:sz w:val="24"/>
        </w:rPr>
        <w:t>等</w:t>
      </w:r>
      <w:r>
        <w:rPr>
          <w:rFonts w:ascii="宋体" w:hAnsi="宋体"/>
          <w:b/>
          <w:sz w:val="24"/>
        </w:rPr>
        <w:t>）支出必须占实际营业额比例</w:t>
      </w:r>
      <w:r>
        <w:rPr>
          <w:rFonts w:hint="eastAsia" w:ascii="宋体" w:hAnsi="宋体"/>
          <w:b/>
          <w:sz w:val="24"/>
        </w:rPr>
        <w:t>50</w:t>
      </w:r>
      <w:r>
        <w:rPr>
          <w:rFonts w:ascii="宋体" w:hAnsi="宋体"/>
          <w:b/>
          <w:sz w:val="24"/>
        </w:rPr>
        <w:t>%以上，未达该比例的</w:t>
      </w:r>
      <w:r>
        <w:rPr>
          <w:rFonts w:hint="eastAsia" w:ascii="宋体" w:hAnsi="宋体"/>
          <w:b/>
          <w:sz w:val="24"/>
        </w:rPr>
        <w:t>部分，</w:t>
      </w:r>
      <w:r>
        <w:rPr>
          <w:rFonts w:ascii="宋体" w:hAnsi="宋体"/>
          <w:b/>
          <w:sz w:val="24"/>
        </w:rPr>
        <w:t>学校将</w:t>
      </w:r>
      <w:r>
        <w:rPr>
          <w:rFonts w:hint="eastAsia" w:ascii="宋体" w:hAnsi="宋体"/>
          <w:b/>
          <w:sz w:val="24"/>
        </w:rPr>
        <w:t>从</w:t>
      </w:r>
      <w:r>
        <w:rPr>
          <w:rFonts w:ascii="宋体" w:hAnsi="宋体"/>
          <w:b/>
          <w:sz w:val="24"/>
        </w:rPr>
        <w:t>每月的中标单位打包</w:t>
      </w:r>
      <w:r>
        <w:rPr>
          <w:rFonts w:hint="eastAsia" w:ascii="宋体" w:hAnsi="宋体"/>
          <w:b/>
          <w:sz w:val="24"/>
        </w:rPr>
        <w:t>结算</w:t>
      </w:r>
      <w:r>
        <w:rPr>
          <w:rFonts w:ascii="宋体" w:hAnsi="宋体"/>
          <w:b/>
          <w:sz w:val="24"/>
        </w:rPr>
        <w:t>费用中扣除</w:t>
      </w:r>
      <w:r>
        <w:rPr>
          <w:rFonts w:hint="eastAsia" w:ascii="宋体" w:hAnsi="宋体"/>
          <w:b/>
          <w:sz w:val="24"/>
        </w:rPr>
        <w:t>，后续</w:t>
      </w:r>
      <w:r>
        <w:rPr>
          <w:rFonts w:ascii="宋体" w:hAnsi="宋体"/>
          <w:b/>
          <w:sz w:val="24"/>
        </w:rPr>
        <w:t>用于学生餐费补贴</w:t>
      </w:r>
      <w:r>
        <w:rPr>
          <w:rFonts w:hint="eastAsia" w:ascii="宋体" w:hAnsi="宋体"/>
          <w:b/>
          <w:sz w:val="24"/>
        </w:rPr>
        <w:t>等</w:t>
      </w:r>
      <w:r>
        <w:rPr>
          <w:rFonts w:ascii="宋体" w:hAnsi="宋体"/>
          <w:b/>
          <w:sz w:val="24"/>
        </w:rPr>
        <w:t>。</w:t>
      </w:r>
    </w:p>
    <w:p>
      <w:pPr>
        <w:spacing w:line="400" w:lineRule="exact"/>
        <w:ind w:firstLine="480" w:firstLineChars="200"/>
        <w:rPr>
          <w:rFonts w:ascii="宋体" w:hAnsi="宋体"/>
          <w:sz w:val="24"/>
        </w:rPr>
      </w:pPr>
      <w:r>
        <w:rPr>
          <w:rFonts w:hint="eastAsia" w:ascii="宋体" w:hAnsi="宋体"/>
          <w:sz w:val="24"/>
        </w:rPr>
        <w:t>（4）</w:t>
      </w:r>
      <w:r>
        <w:rPr>
          <w:rFonts w:ascii="宋体" w:hAnsi="宋体"/>
          <w:b/>
          <w:sz w:val="24"/>
        </w:rPr>
        <w:t>中标单位通过集中采购平台采购的伙食物资按月结算，所有中标单位的集中采购伙食物资款必须由学校</w:t>
      </w:r>
      <w:r>
        <w:rPr>
          <w:rFonts w:hint="eastAsia" w:ascii="宋体" w:hAnsi="宋体"/>
          <w:b/>
          <w:sz w:val="24"/>
        </w:rPr>
        <w:t>财务统一</w:t>
      </w:r>
      <w:r>
        <w:rPr>
          <w:rFonts w:ascii="宋体" w:hAnsi="宋体"/>
          <w:b/>
          <w:sz w:val="24"/>
        </w:rPr>
        <w:t>向物资供应商支付。</w:t>
      </w:r>
    </w:p>
    <w:p>
      <w:pPr>
        <w:spacing w:line="400" w:lineRule="exact"/>
        <w:ind w:firstLine="480" w:firstLineChars="200"/>
        <w:rPr>
          <w:rFonts w:ascii="宋体" w:hAnsi="宋体"/>
          <w:sz w:val="24"/>
        </w:rPr>
      </w:pPr>
      <w:r>
        <w:rPr>
          <w:rFonts w:hint="eastAsia" w:ascii="宋体" w:hAnsi="宋体"/>
          <w:sz w:val="24"/>
        </w:rPr>
        <w:t>（5）</w:t>
      </w:r>
      <w:r>
        <w:rPr>
          <w:rFonts w:ascii="宋体" w:hAnsi="宋体"/>
          <w:sz w:val="24"/>
        </w:rPr>
        <w:t>中标单位不得以任何形式、借口向学校集中采购协议供应商索要现金财物，不得私自采购、线下订菜，不得擅自挪用、转移伙食物资，若违反本规定每次扣除履约保证金5千元。</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中标单位须认真验收收货，仓库领用商品采用先进先出法，存货盘点采用永续盘存制。</w:t>
      </w:r>
    </w:p>
    <w:p>
      <w:pPr>
        <w:spacing w:line="400" w:lineRule="exact"/>
        <w:ind w:firstLine="480" w:firstLineChars="200"/>
        <w:rPr>
          <w:rFonts w:ascii="宋体" w:hAnsi="宋体"/>
          <w:sz w:val="24"/>
        </w:rPr>
      </w:pPr>
      <w:r>
        <w:rPr>
          <w:rFonts w:hint="eastAsia" w:ascii="宋体" w:hAnsi="宋体"/>
          <w:sz w:val="24"/>
        </w:rPr>
        <w:t>3.财务工作标准及要求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原材料出入库记账，做到日清月结、账证相符、账物相符、账账相符，发现差错及时查清更正。对因采购系统操作失误、账务处理错误导致的财务损失，由中标单位自行承担。妥善保管会计凭证、会计账簿、会计报表及其他会计信息资料，指定专人归档保存。</w:t>
      </w:r>
    </w:p>
    <w:p>
      <w:pPr>
        <w:spacing w:line="400" w:lineRule="exact"/>
        <w:ind w:firstLine="480" w:firstLineChars="200"/>
        <w:rPr>
          <w:rFonts w:ascii="宋体" w:hAnsi="宋体"/>
          <w:sz w:val="24"/>
        </w:rPr>
      </w:pPr>
      <w:r>
        <w:rPr>
          <w:rFonts w:hint="eastAsia" w:ascii="宋体" w:hAnsi="宋体"/>
          <w:sz w:val="24"/>
        </w:rPr>
        <w:t>（2）中标</w:t>
      </w:r>
      <w:r>
        <w:rPr>
          <w:rFonts w:ascii="宋体" w:hAnsi="宋体"/>
          <w:sz w:val="24"/>
        </w:rPr>
        <w:t>单位每月按时发放职工工资、奖金，同时按规定缴纳社会保险。建有发放名册并妥善保管，以备调阅审查。</w:t>
      </w:r>
      <w:r>
        <w:rPr>
          <w:rFonts w:hint="eastAsia" w:ascii="宋体" w:hAnsi="宋体"/>
          <w:sz w:val="24"/>
        </w:rPr>
        <w:t>每月向饮食服务</w:t>
      </w:r>
      <w:r>
        <w:rPr>
          <w:rFonts w:ascii="宋体" w:hAnsi="宋体"/>
          <w:sz w:val="24"/>
        </w:rPr>
        <w:t>中心提交工资</w:t>
      </w:r>
      <w:r>
        <w:rPr>
          <w:rFonts w:hint="eastAsia" w:ascii="宋体" w:hAnsi="宋体"/>
          <w:sz w:val="24"/>
        </w:rPr>
        <w:t>发放</w:t>
      </w:r>
      <w:r>
        <w:rPr>
          <w:rFonts w:ascii="宋体" w:hAnsi="宋体"/>
          <w:sz w:val="24"/>
        </w:rPr>
        <w:t>清单。</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各食堂</w:t>
      </w:r>
      <w:r>
        <w:rPr>
          <w:rFonts w:hint="eastAsia" w:ascii="宋体" w:hAnsi="宋体"/>
          <w:sz w:val="24"/>
        </w:rPr>
        <w:t>团队</w:t>
      </w:r>
      <w:r>
        <w:rPr>
          <w:rFonts w:ascii="宋体" w:hAnsi="宋体"/>
          <w:sz w:val="24"/>
        </w:rPr>
        <w:t>服务费用每月结算一次</w:t>
      </w:r>
      <w:r>
        <w:rPr>
          <w:rFonts w:hint="eastAsia" w:ascii="宋体" w:hAnsi="宋体"/>
          <w:sz w:val="24"/>
        </w:rPr>
        <w:t>，</w:t>
      </w:r>
      <w:r>
        <w:rPr>
          <w:rFonts w:ascii="宋体" w:hAnsi="宋体"/>
          <w:sz w:val="24"/>
        </w:rPr>
        <w:t>按照学校财务相关规定</w:t>
      </w:r>
      <w:r>
        <w:rPr>
          <w:rFonts w:hint="eastAsia" w:ascii="宋体" w:hAnsi="宋体"/>
          <w:sz w:val="24"/>
        </w:rPr>
        <w:t>办理</w:t>
      </w:r>
      <w:r>
        <w:rPr>
          <w:rFonts w:ascii="宋体" w:hAnsi="宋体"/>
          <w:sz w:val="24"/>
        </w:rPr>
        <w:t>转账。</w:t>
      </w:r>
      <w:r>
        <w:rPr>
          <w:rFonts w:hint="eastAsia" w:ascii="宋体" w:hAnsi="宋体"/>
          <w:sz w:val="24"/>
        </w:rPr>
        <w:t>（注</w:t>
      </w:r>
      <w:r>
        <w:rPr>
          <w:rFonts w:ascii="宋体" w:hAnsi="宋体"/>
          <w:sz w:val="24"/>
        </w:rPr>
        <w:t>：款项只能汇至合同中列明的中标单位开户行</w:t>
      </w:r>
      <w:r>
        <w:rPr>
          <w:rFonts w:hint="eastAsia" w:ascii="宋体" w:hAnsi="宋体"/>
          <w:sz w:val="24"/>
        </w:rPr>
        <w:t>）</w:t>
      </w:r>
    </w:p>
    <w:p>
      <w:pPr>
        <w:spacing w:line="400" w:lineRule="exact"/>
        <w:ind w:firstLine="480" w:firstLineChars="200"/>
        <w:rPr>
          <w:rFonts w:ascii="宋体" w:hAnsi="宋体"/>
          <w:sz w:val="24"/>
        </w:rPr>
      </w:pPr>
      <w:r>
        <w:rPr>
          <w:rFonts w:hint="eastAsia" w:ascii="宋体" w:hAnsi="宋体"/>
          <w:sz w:val="24"/>
        </w:rPr>
        <w:t>4.能源管理标准及要求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b/>
          <w:sz w:val="24"/>
        </w:rPr>
        <w:t>在伙食经营服务过程中</w:t>
      </w:r>
      <w:r>
        <w:rPr>
          <w:rFonts w:hint="eastAsia" w:ascii="宋体" w:hAnsi="宋体"/>
          <w:b/>
          <w:sz w:val="24"/>
        </w:rPr>
        <w:t>，</w:t>
      </w:r>
      <w:r>
        <w:rPr>
          <w:rFonts w:ascii="宋体" w:hAnsi="宋体"/>
          <w:b/>
          <w:sz w:val="24"/>
        </w:rPr>
        <w:t>根据</w:t>
      </w:r>
      <w:r>
        <w:rPr>
          <w:rFonts w:hint="eastAsia" w:ascii="宋体" w:hAnsi="宋体"/>
          <w:b/>
          <w:sz w:val="24"/>
          <w:lang w:eastAsia="zh-CN"/>
        </w:rPr>
        <w:t>水、电、煤气</w:t>
      </w:r>
      <w:r>
        <w:rPr>
          <w:rFonts w:ascii="宋体" w:hAnsi="宋体"/>
          <w:b/>
          <w:sz w:val="24"/>
        </w:rPr>
        <w:t>实际使用数量由学校</w:t>
      </w:r>
      <w:r>
        <w:rPr>
          <w:rFonts w:hint="eastAsia" w:ascii="宋体" w:hAnsi="宋体"/>
          <w:b/>
          <w:sz w:val="24"/>
        </w:rPr>
        <w:t>财务</w:t>
      </w:r>
      <w:r>
        <w:rPr>
          <w:rFonts w:ascii="宋体" w:hAnsi="宋体"/>
          <w:b/>
          <w:sz w:val="24"/>
        </w:rPr>
        <w:t>按月</w:t>
      </w:r>
      <w:r>
        <w:rPr>
          <w:rFonts w:hint="eastAsia" w:ascii="宋体" w:hAnsi="宋体"/>
          <w:b/>
          <w:sz w:val="24"/>
        </w:rPr>
        <w:t>统一结算，</w:t>
      </w:r>
      <w:r>
        <w:rPr>
          <w:rFonts w:ascii="宋体" w:hAnsi="宋体"/>
          <w:b/>
          <w:sz w:val="24"/>
        </w:rPr>
        <w:t>就餐大厅等公共部位产生的水、电</w:t>
      </w:r>
      <w:r>
        <w:rPr>
          <w:rFonts w:hint="eastAsia" w:ascii="宋体" w:hAnsi="宋体"/>
          <w:b/>
          <w:sz w:val="24"/>
        </w:rPr>
        <w:t>、煤气等</w:t>
      </w:r>
      <w:r>
        <w:rPr>
          <w:rFonts w:ascii="宋体" w:hAnsi="宋体"/>
          <w:b/>
          <w:sz w:val="24"/>
        </w:rPr>
        <w:t>能源</w:t>
      </w:r>
      <w:r>
        <w:rPr>
          <w:rFonts w:hint="eastAsia" w:ascii="宋体" w:hAnsi="宋体"/>
          <w:b/>
          <w:sz w:val="24"/>
        </w:rPr>
        <w:t>费用由</w:t>
      </w:r>
      <w:r>
        <w:rPr>
          <w:rFonts w:ascii="宋体" w:hAnsi="宋体"/>
          <w:b/>
          <w:sz w:val="24"/>
        </w:rPr>
        <w:t>学校承担，不纳入食堂</w:t>
      </w:r>
      <w:r>
        <w:rPr>
          <w:rFonts w:hint="eastAsia" w:ascii="宋体" w:hAnsi="宋体"/>
          <w:b/>
          <w:sz w:val="24"/>
        </w:rPr>
        <w:t>经营</w:t>
      </w:r>
      <w:r>
        <w:rPr>
          <w:rFonts w:ascii="宋体" w:hAnsi="宋体"/>
          <w:b/>
          <w:sz w:val="24"/>
        </w:rPr>
        <w:t>成本。</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中标单位须定期组织食堂员工进行节能培训和宣传，组织开展各项节能降耗活动。</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食堂大厅空调的启用遵循《国务院关于加强节能工作的决定》要求，夏季室内空调温度设置不低于26ºC，冬季室内空调温度设置不高于20ºC。须做好食堂大厅能耗设备的管理，按规定启用相关设备。</w:t>
      </w:r>
    </w:p>
    <w:p>
      <w:pPr>
        <w:spacing w:line="400" w:lineRule="exact"/>
        <w:ind w:firstLine="480" w:firstLineChars="200"/>
        <w:rPr>
          <w:rFonts w:ascii="宋体" w:hAnsi="宋体"/>
          <w:sz w:val="24"/>
        </w:rPr>
      </w:pPr>
      <w:r>
        <w:rPr>
          <w:rFonts w:hint="eastAsia" w:ascii="宋体" w:hAnsi="宋体"/>
          <w:sz w:val="24"/>
        </w:rPr>
        <w:t>5.食堂资产管理标准及要求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中标单位所服务的食堂建筑设施由学校提供，按照非经营性资产管理，不计提折旧</w:t>
      </w:r>
      <w:r>
        <w:rPr>
          <w:rFonts w:hint="eastAsia" w:ascii="宋体" w:hAnsi="宋体"/>
          <w:sz w:val="24"/>
        </w:rPr>
        <w:t>。学校承担食堂</w:t>
      </w:r>
      <w:r>
        <w:rPr>
          <w:rFonts w:ascii="宋体" w:hAnsi="宋体"/>
          <w:sz w:val="24"/>
        </w:rPr>
        <w:t>的大型维修改造、大型餐饮设备配置和</w:t>
      </w:r>
      <w:r>
        <w:rPr>
          <w:rFonts w:hint="eastAsia" w:ascii="宋体" w:hAnsi="宋体"/>
          <w:sz w:val="24"/>
        </w:rPr>
        <w:t>更新</w:t>
      </w:r>
      <w:r>
        <w:rPr>
          <w:rFonts w:ascii="宋体" w:hAnsi="宋体"/>
          <w:sz w:val="24"/>
        </w:rPr>
        <w:t>，</w:t>
      </w:r>
      <w:r>
        <w:rPr>
          <w:rFonts w:hint="eastAsia" w:ascii="宋体" w:hAnsi="宋体"/>
          <w:sz w:val="24"/>
        </w:rPr>
        <w:t>空调</w:t>
      </w:r>
      <w:r>
        <w:rPr>
          <w:rFonts w:ascii="宋体" w:hAnsi="宋体"/>
          <w:sz w:val="24"/>
        </w:rPr>
        <w:t>、电梯等大型配套服务设施投入和运行的费用</w:t>
      </w:r>
      <w:r>
        <w:rPr>
          <w:rFonts w:hint="eastAsia" w:ascii="宋体" w:hAnsi="宋体"/>
          <w:sz w:val="24"/>
        </w:rPr>
        <w:t>。</w:t>
      </w:r>
      <w:r>
        <w:rPr>
          <w:rFonts w:ascii="宋体" w:hAnsi="宋体"/>
          <w:sz w:val="24"/>
        </w:rPr>
        <w:t>学校将提供中标单位所中标段的设备设施</w:t>
      </w:r>
      <w:r>
        <w:rPr>
          <w:rFonts w:hint="eastAsia" w:ascii="宋体" w:hAnsi="宋体"/>
          <w:sz w:val="24"/>
        </w:rPr>
        <w:t>（以现场勘察为准）</w:t>
      </w:r>
      <w:r>
        <w:rPr>
          <w:rFonts w:ascii="宋体" w:hAnsi="宋体"/>
          <w:sz w:val="24"/>
        </w:rPr>
        <w:t>，中标单位必须爱护学校的财产，及时对所有设施设备进行养护报修，并保证设施设备的完好，学校每学年对中标单位服务的食堂进行资产盘点，如有人为损坏或缺失，中标单位需照价赔偿。</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中标单位如因伙食保障供应实际情况，需要对设备设施添置、维修的，需按学校规定流程进行申报，经主管部门同意后方可进行。</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中标单位按合同约定的办法、用途及性质使用有关食堂的房屋及场地，不得更改房屋布局，不得破坏房屋结构。投标人特殊装修、改造、标示标牌等装潢方案须书面上报，经学校书面同意后方可实施，费用自理，合同期满或中止，学校不予作价、收购或采取任何形式进行补偿。</w:t>
      </w:r>
    </w:p>
    <w:p>
      <w:pPr>
        <w:spacing w:line="400" w:lineRule="exact"/>
        <w:ind w:firstLine="480" w:firstLineChars="200"/>
        <w:rPr>
          <w:rFonts w:ascii="宋体" w:hAnsi="宋体"/>
          <w:sz w:val="24"/>
        </w:rPr>
      </w:pPr>
      <w:r>
        <w:rPr>
          <w:rFonts w:hint="eastAsia" w:ascii="宋体" w:hAnsi="宋体"/>
          <w:sz w:val="24"/>
        </w:rPr>
        <w:t>（4）</w:t>
      </w:r>
      <w:r>
        <w:rPr>
          <w:rFonts w:ascii="宋体" w:hAnsi="宋体"/>
          <w:sz w:val="24"/>
        </w:rPr>
        <w:t>中标单位不得在食堂任何区域，以任何形式开展校外配送、配售服务及招标服务项目以外的经营活动。</w:t>
      </w:r>
    </w:p>
    <w:p>
      <w:pPr>
        <w:spacing w:line="400" w:lineRule="exact"/>
        <w:ind w:firstLine="480" w:firstLineChars="200"/>
        <w:rPr>
          <w:rFonts w:ascii="宋体" w:hAnsi="宋体"/>
          <w:sz w:val="24"/>
        </w:rPr>
      </w:pPr>
      <w:r>
        <w:rPr>
          <w:rFonts w:hint="eastAsia" w:ascii="宋体" w:hAnsi="宋体"/>
          <w:sz w:val="24"/>
        </w:rPr>
        <w:t>（5）</w:t>
      </w:r>
      <w:r>
        <w:rPr>
          <w:rFonts w:ascii="宋体" w:hAnsi="宋体"/>
          <w:b/>
          <w:sz w:val="24"/>
        </w:rPr>
        <w:t>中标单位承诺的食堂</w:t>
      </w:r>
      <w:r>
        <w:rPr>
          <w:rFonts w:hint="eastAsia" w:ascii="宋体" w:hAnsi="宋体"/>
          <w:b/>
          <w:sz w:val="24"/>
        </w:rPr>
        <w:t>优化方案</w:t>
      </w:r>
      <w:r>
        <w:rPr>
          <w:rFonts w:ascii="宋体" w:hAnsi="宋体"/>
          <w:b/>
          <w:sz w:val="24"/>
        </w:rPr>
        <w:t>完成后，须经学校</w:t>
      </w:r>
      <w:r>
        <w:rPr>
          <w:rFonts w:hint="eastAsia" w:ascii="宋体" w:hAnsi="宋体"/>
          <w:b/>
          <w:sz w:val="24"/>
        </w:rPr>
        <w:t>后勤保障部饮食服务</w:t>
      </w:r>
      <w:r>
        <w:rPr>
          <w:rFonts w:ascii="宋体" w:hAnsi="宋体"/>
          <w:b/>
          <w:sz w:val="24"/>
        </w:rPr>
        <w:t>中心审核，未达承诺标准的，扣除其全部履约保证金。</w:t>
      </w:r>
    </w:p>
    <w:p>
      <w:pPr>
        <w:spacing w:line="400" w:lineRule="exact"/>
        <w:ind w:firstLine="480" w:firstLineChars="200"/>
        <w:rPr>
          <w:rFonts w:ascii="宋体" w:hAnsi="宋体"/>
          <w:sz w:val="24"/>
        </w:rPr>
      </w:pPr>
      <w:r>
        <w:rPr>
          <w:rFonts w:hint="eastAsia" w:ascii="宋体" w:hAnsi="宋体"/>
          <w:sz w:val="24"/>
        </w:rPr>
        <w:t>6.食品安全生产标准及要求</w:t>
      </w:r>
    </w:p>
    <w:p>
      <w:pPr>
        <w:spacing w:line="400" w:lineRule="exact"/>
        <w:ind w:firstLine="480" w:firstLineChars="200"/>
        <w:rPr>
          <w:rFonts w:ascii="宋体" w:hAnsi="宋体"/>
          <w:sz w:val="24"/>
        </w:rPr>
      </w:pPr>
      <w:r>
        <w:rPr>
          <w:rFonts w:hint="eastAsia" w:ascii="宋体" w:hAnsi="宋体"/>
          <w:sz w:val="24"/>
        </w:rPr>
        <w:t>（1）</w:t>
      </w:r>
      <w:r>
        <w:rPr>
          <w:rFonts w:ascii="宋体" w:hAnsi="宋体"/>
          <w:sz w:val="24"/>
        </w:rPr>
        <w:t>中标单位须严格执行《中华人民共和国食品安全法》《中华人民共和国食品安全法实施条例》《学校食品安全与营养健康管理规定》，有专门负责食品安全卫生检查的工作人员。</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中标单位须建有加工经营场所及设施设备清洁、消毒和维修保养制度，建有食品关键环节操作规程，建立健全饮用水卫生管理制度，有预防水污染事件发生的应急预案。</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中标单位须建有采购索证索票、进货查验和台账记录制度。</w:t>
      </w:r>
    </w:p>
    <w:p>
      <w:pPr>
        <w:spacing w:line="400" w:lineRule="exact"/>
        <w:ind w:firstLine="480" w:firstLineChars="200"/>
        <w:rPr>
          <w:rFonts w:ascii="宋体" w:hAnsi="宋体"/>
          <w:sz w:val="24"/>
        </w:rPr>
      </w:pPr>
      <w:r>
        <w:rPr>
          <w:rFonts w:hint="eastAsia" w:ascii="宋体" w:hAnsi="宋体"/>
          <w:sz w:val="24"/>
        </w:rPr>
        <w:t>（4）</w:t>
      </w:r>
      <w:r>
        <w:rPr>
          <w:rFonts w:ascii="宋体" w:hAnsi="宋体"/>
          <w:sz w:val="24"/>
        </w:rPr>
        <w:t>中标单位须建有食品添加剂“五专”管理制度，食品添加剂有验收和进货台账。不得采购国家禁止使用或来源不明的食品添加剂。</w:t>
      </w:r>
    </w:p>
    <w:p>
      <w:pPr>
        <w:spacing w:line="400" w:lineRule="exact"/>
        <w:ind w:firstLine="480" w:firstLineChars="200"/>
        <w:rPr>
          <w:rFonts w:ascii="宋体" w:hAnsi="宋体"/>
          <w:sz w:val="24"/>
        </w:rPr>
      </w:pPr>
      <w:r>
        <w:rPr>
          <w:rFonts w:hint="eastAsia" w:ascii="宋体" w:hAnsi="宋体"/>
          <w:sz w:val="24"/>
        </w:rPr>
        <w:t>（5）</w:t>
      </w:r>
      <w:r>
        <w:rPr>
          <w:rFonts w:ascii="宋体" w:hAnsi="宋体"/>
          <w:b/>
          <w:sz w:val="24"/>
        </w:rPr>
        <w:t>原料贮存符合食品安全要求，库存食品不超过保质期。若违反规定每次扣除履约保证金</w:t>
      </w:r>
      <w:r>
        <w:rPr>
          <w:rFonts w:hint="eastAsia" w:ascii="宋体" w:hAnsi="宋体"/>
          <w:b/>
          <w:sz w:val="24"/>
          <w:lang w:eastAsia="zh-CN"/>
        </w:rPr>
        <w:t>壹</w:t>
      </w:r>
      <w:r>
        <w:rPr>
          <w:rFonts w:ascii="宋体" w:hAnsi="宋体"/>
          <w:b/>
          <w:sz w:val="24"/>
        </w:rPr>
        <w:t>万元，造成后果的由中标单位承担一切责任，校方有权终止合同。</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食堂加工区域按生进熟出、原料-半成品-成品的流向进行布局。</w:t>
      </w:r>
    </w:p>
    <w:p>
      <w:pPr>
        <w:spacing w:line="400" w:lineRule="exact"/>
        <w:ind w:firstLine="480" w:firstLineChars="200"/>
        <w:rPr>
          <w:rFonts w:ascii="宋体" w:hAnsi="宋体"/>
          <w:sz w:val="24"/>
        </w:rPr>
      </w:pPr>
      <w:r>
        <w:rPr>
          <w:rFonts w:hint="eastAsia" w:ascii="宋体" w:hAnsi="宋体"/>
          <w:sz w:val="24"/>
        </w:rPr>
        <w:t>（7）</w:t>
      </w:r>
      <w:r>
        <w:rPr>
          <w:rFonts w:ascii="宋体" w:hAnsi="宋体"/>
          <w:sz w:val="24"/>
        </w:rPr>
        <w:t>中标单位须做到生熟、荤素食品用具分开，避免交叉污染。</w:t>
      </w:r>
    </w:p>
    <w:p>
      <w:pPr>
        <w:spacing w:line="400" w:lineRule="exact"/>
        <w:ind w:firstLine="480" w:firstLineChars="200"/>
        <w:rPr>
          <w:rFonts w:ascii="宋体" w:hAnsi="宋体"/>
          <w:sz w:val="24"/>
        </w:rPr>
      </w:pPr>
      <w:r>
        <w:rPr>
          <w:rFonts w:hint="eastAsia" w:ascii="宋体" w:hAnsi="宋体"/>
          <w:sz w:val="24"/>
        </w:rPr>
        <w:t>（8）</w:t>
      </w:r>
      <w:r>
        <w:rPr>
          <w:rFonts w:ascii="宋体" w:hAnsi="宋体"/>
          <w:sz w:val="24"/>
        </w:rPr>
        <w:t>中标单位需保证食堂餐具、用具消毒工作满足食品卫生相关要求。</w:t>
      </w:r>
    </w:p>
    <w:p>
      <w:pPr>
        <w:spacing w:line="400" w:lineRule="exact"/>
        <w:ind w:firstLine="480" w:firstLineChars="200"/>
        <w:rPr>
          <w:rFonts w:ascii="宋体" w:hAnsi="宋体"/>
          <w:sz w:val="24"/>
        </w:rPr>
      </w:pPr>
      <w:r>
        <w:rPr>
          <w:rFonts w:hint="eastAsia" w:ascii="宋体" w:hAnsi="宋体"/>
          <w:sz w:val="24"/>
        </w:rPr>
        <w:t>（9）</w:t>
      </w:r>
      <w:r>
        <w:rPr>
          <w:rFonts w:ascii="宋体" w:hAnsi="宋体"/>
          <w:sz w:val="24"/>
        </w:rPr>
        <w:t>中标单位人员上岗统一着装，衣帽整洁；售卖食品时戴口罩、售卖熟食戴一次性手套。违反本规定将扣除履约保证金</w:t>
      </w:r>
      <w:r>
        <w:rPr>
          <w:rFonts w:hint="eastAsia" w:ascii="宋体" w:hAnsi="宋体"/>
          <w:sz w:val="24"/>
        </w:rPr>
        <w:t>伍</w:t>
      </w:r>
      <w:r>
        <w:rPr>
          <w:rFonts w:ascii="宋体" w:hAnsi="宋体"/>
          <w:sz w:val="24"/>
        </w:rPr>
        <w:t>百元/人/次。</w:t>
      </w:r>
    </w:p>
    <w:p>
      <w:pPr>
        <w:spacing w:line="400" w:lineRule="exact"/>
        <w:ind w:firstLine="480" w:firstLineChars="200"/>
        <w:rPr>
          <w:rFonts w:ascii="宋体" w:hAnsi="宋体"/>
          <w:sz w:val="24"/>
        </w:rPr>
      </w:pPr>
      <w:r>
        <w:rPr>
          <w:rFonts w:hint="eastAsia" w:ascii="宋体" w:hAnsi="宋体"/>
          <w:sz w:val="24"/>
        </w:rPr>
        <w:t>（10）</w:t>
      </w:r>
      <w:r>
        <w:rPr>
          <w:rFonts w:ascii="宋体" w:hAnsi="宋体"/>
          <w:sz w:val="24"/>
        </w:rPr>
        <w:t>中标单位食品留样工作符合食品卫生相关要求。</w:t>
      </w:r>
    </w:p>
    <w:p>
      <w:pPr>
        <w:spacing w:line="400" w:lineRule="exact"/>
        <w:ind w:firstLine="480" w:firstLineChars="200"/>
        <w:rPr>
          <w:rFonts w:ascii="宋体" w:hAnsi="宋体"/>
          <w:sz w:val="24"/>
        </w:rPr>
      </w:pPr>
      <w:r>
        <w:rPr>
          <w:rFonts w:hint="eastAsia" w:ascii="宋体" w:hAnsi="宋体"/>
          <w:sz w:val="24"/>
        </w:rPr>
        <w:t>7.工作人员要求</w:t>
      </w:r>
    </w:p>
    <w:p>
      <w:pPr>
        <w:spacing w:line="400" w:lineRule="exact"/>
        <w:ind w:firstLine="480" w:firstLineChars="200"/>
        <w:rPr>
          <w:rFonts w:ascii="宋体" w:hAnsi="宋体"/>
          <w:sz w:val="24"/>
        </w:rPr>
      </w:pPr>
      <w:r>
        <w:rPr>
          <w:rFonts w:hint="eastAsia" w:ascii="宋体" w:hAnsi="宋体"/>
          <w:sz w:val="24"/>
        </w:rPr>
        <w:t>（1）</w:t>
      </w:r>
      <w:r>
        <w:rPr>
          <w:rFonts w:ascii="宋体" w:hAnsi="宋体"/>
          <w:b/>
          <w:sz w:val="24"/>
        </w:rPr>
        <w:t>中标单位须按国家规定规范用工，</w:t>
      </w:r>
      <w:r>
        <w:rPr>
          <w:rFonts w:hint="eastAsia" w:ascii="宋体" w:hAnsi="宋体"/>
          <w:b/>
          <w:sz w:val="24"/>
        </w:rPr>
        <w:t>须</w:t>
      </w:r>
      <w:r>
        <w:rPr>
          <w:rFonts w:ascii="宋体" w:hAnsi="宋体"/>
          <w:b/>
          <w:sz w:val="24"/>
        </w:rPr>
        <w:t>签订</w:t>
      </w:r>
      <w:r>
        <w:rPr>
          <w:rFonts w:hint="eastAsia" w:ascii="宋体" w:hAnsi="宋体"/>
          <w:b/>
          <w:sz w:val="24"/>
        </w:rPr>
        <w:t>用工</w:t>
      </w:r>
      <w:r>
        <w:rPr>
          <w:rFonts w:ascii="宋体" w:hAnsi="宋体"/>
          <w:b/>
          <w:sz w:val="24"/>
        </w:rPr>
        <w:t>合同</w:t>
      </w:r>
      <w:r>
        <w:rPr>
          <w:rFonts w:hint="eastAsia" w:ascii="宋体" w:hAnsi="宋体"/>
          <w:b/>
          <w:sz w:val="24"/>
        </w:rPr>
        <w:t>并报</w:t>
      </w:r>
      <w:r>
        <w:rPr>
          <w:rFonts w:ascii="宋体" w:hAnsi="宋体"/>
          <w:b/>
          <w:sz w:val="24"/>
        </w:rPr>
        <w:t>饮食服务中心备案</w:t>
      </w:r>
      <w:r>
        <w:rPr>
          <w:rFonts w:hint="eastAsia" w:ascii="宋体" w:hAnsi="宋体"/>
          <w:b/>
          <w:sz w:val="24"/>
        </w:rPr>
        <w:t>，</w:t>
      </w:r>
      <w:r>
        <w:rPr>
          <w:rFonts w:ascii="宋体" w:hAnsi="宋体"/>
          <w:b/>
          <w:sz w:val="24"/>
        </w:rPr>
        <w:t>并提供</w:t>
      </w:r>
      <w:r>
        <w:rPr>
          <w:rFonts w:hint="eastAsia" w:ascii="宋体" w:hAnsi="宋体"/>
          <w:b/>
          <w:sz w:val="24"/>
        </w:rPr>
        <w:t>发放</w:t>
      </w:r>
      <w:r>
        <w:rPr>
          <w:rFonts w:ascii="宋体" w:hAnsi="宋体"/>
          <w:b/>
          <w:sz w:val="24"/>
        </w:rPr>
        <w:t>工资的银行</w:t>
      </w:r>
      <w:r>
        <w:rPr>
          <w:rFonts w:hint="eastAsia" w:ascii="宋体" w:hAnsi="宋体"/>
          <w:b/>
          <w:sz w:val="24"/>
        </w:rPr>
        <w:t>流水</w:t>
      </w:r>
      <w:r>
        <w:rPr>
          <w:rFonts w:ascii="宋体" w:hAnsi="宋体"/>
          <w:b/>
          <w:sz w:val="24"/>
        </w:rPr>
        <w:t>。</w:t>
      </w:r>
      <w:r>
        <w:rPr>
          <w:rFonts w:hint="eastAsia" w:ascii="宋体" w:hAnsi="宋体"/>
          <w:b/>
          <w:sz w:val="24"/>
        </w:rPr>
        <w:t>中标单位须在签订</w:t>
      </w:r>
      <w:r>
        <w:rPr>
          <w:rFonts w:ascii="宋体" w:hAnsi="宋体"/>
          <w:b/>
          <w:sz w:val="24"/>
        </w:rPr>
        <w:t>合同后的</w:t>
      </w:r>
      <w:r>
        <w:rPr>
          <w:rFonts w:hint="eastAsia" w:ascii="宋体" w:hAnsi="宋体"/>
          <w:b/>
          <w:sz w:val="24"/>
        </w:rPr>
        <w:t>一个月内书面向学校备案基本大伙和风味窗口负责人信息，并提供基本大伙和各风味窗口负责人相关社保资料。</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中标单位工作人员必须按国家规定持餐饮工作上岗证和健康证上岗，并按国家有关部门规定定期体检。</w:t>
      </w:r>
    </w:p>
    <w:p>
      <w:pPr>
        <w:spacing w:line="400" w:lineRule="exact"/>
        <w:ind w:firstLine="480" w:firstLineChars="200"/>
        <w:rPr>
          <w:rFonts w:ascii="宋体" w:hAnsi="宋体"/>
          <w:sz w:val="24"/>
        </w:rPr>
      </w:pPr>
      <w:r>
        <w:rPr>
          <w:rFonts w:hint="eastAsia" w:ascii="宋体" w:hAnsi="宋体"/>
          <w:sz w:val="24"/>
        </w:rPr>
        <w:t>（3）</w:t>
      </w:r>
      <w:r>
        <w:rPr>
          <w:rFonts w:ascii="宋体" w:hAnsi="宋体"/>
          <w:sz w:val="24"/>
        </w:rPr>
        <w:t>中标单位食堂员工须遵守学校各项规章制度，按学校规定办理出入证，员工个人信息向学校登记备案。</w:t>
      </w:r>
    </w:p>
    <w:p>
      <w:pPr>
        <w:spacing w:line="400" w:lineRule="exact"/>
        <w:ind w:firstLine="480" w:firstLineChars="200"/>
        <w:rPr>
          <w:rFonts w:ascii="宋体" w:hAnsi="宋体"/>
          <w:sz w:val="24"/>
        </w:rPr>
      </w:pPr>
      <w:r>
        <w:rPr>
          <w:rFonts w:hint="eastAsia" w:ascii="宋体" w:hAnsi="宋体"/>
          <w:sz w:val="24"/>
        </w:rPr>
        <w:t>（4）中标</w:t>
      </w:r>
      <w:r>
        <w:rPr>
          <w:rFonts w:ascii="宋体" w:hAnsi="宋体"/>
          <w:sz w:val="24"/>
        </w:rPr>
        <w:t>单位须自行</w:t>
      </w:r>
      <w:r>
        <w:rPr>
          <w:rFonts w:hint="eastAsia" w:ascii="宋体" w:hAnsi="宋体"/>
          <w:sz w:val="24"/>
        </w:rPr>
        <w:t>安排</w:t>
      </w:r>
      <w:r>
        <w:rPr>
          <w:rFonts w:ascii="宋体" w:hAnsi="宋体"/>
          <w:sz w:val="24"/>
        </w:rPr>
        <w:t>服务团队人员校外住宿问题，</w:t>
      </w:r>
      <w:r>
        <w:rPr>
          <w:rFonts w:hint="eastAsia" w:ascii="宋体" w:hAnsi="宋体"/>
          <w:sz w:val="24"/>
        </w:rPr>
        <w:t>学校</w:t>
      </w:r>
      <w:r>
        <w:rPr>
          <w:rFonts w:ascii="宋体" w:hAnsi="宋体"/>
          <w:sz w:val="24"/>
        </w:rPr>
        <w:t>没有</w:t>
      </w:r>
      <w:r>
        <w:rPr>
          <w:rFonts w:hint="eastAsia" w:ascii="宋体" w:hAnsi="宋体"/>
          <w:sz w:val="24"/>
        </w:rPr>
        <w:t>义务</w:t>
      </w:r>
      <w:r>
        <w:rPr>
          <w:rFonts w:ascii="宋体" w:hAnsi="宋体"/>
          <w:sz w:val="24"/>
        </w:rPr>
        <w:t>必须为服务团队</w:t>
      </w:r>
      <w:r>
        <w:rPr>
          <w:rFonts w:hint="eastAsia" w:ascii="宋体" w:hAnsi="宋体"/>
          <w:sz w:val="24"/>
        </w:rPr>
        <w:t>提供</w:t>
      </w:r>
      <w:r>
        <w:rPr>
          <w:rFonts w:ascii="宋体" w:hAnsi="宋体"/>
          <w:sz w:val="24"/>
        </w:rPr>
        <w:t>住宿安排。</w:t>
      </w:r>
    </w:p>
    <w:p>
      <w:pPr>
        <w:spacing w:line="400" w:lineRule="exact"/>
        <w:ind w:firstLine="480" w:firstLineChars="200"/>
        <w:rPr>
          <w:rFonts w:ascii="宋体" w:hAnsi="宋体"/>
          <w:sz w:val="24"/>
        </w:rPr>
      </w:pPr>
      <w:r>
        <w:rPr>
          <w:rFonts w:hint="eastAsia" w:ascii="宋体" w:hAnsi="宋体"/>
          <w:sz w:val="24"/>
        </w:rPr>
        <w:t>8.合同中止</w:t>
      </w:r>
    </w:p>
    <w:p>
      <w:pPr>
        <w:spacing w:line="400" w:lineRule="exact"/>
        <w:ind w:firstLine="480" w:firstLineChars="200"/>
        <w:rPr>
          <w:rFonts w:ascii="宋体" w:hAnsi="宋体"/>
          <w:sz w:val="24"/>
        </w:rPr>
      </w:pPr>
      <w:r>
        <w:rPr>
          <w:rFonts w:hint="eastAsia" w:ascii="宋体" w:hAnsi="宋体"/>
          <w:sz w:val="24"/>
        </w:rPr>
        <w:t>如因</w:t>
      </w:r>
      <w:r>
        <w:rPr>
          <w:rFonts w:ascii="宋体" w:hAnsi="宋体"/>
          <w:sz w:val="24"/>
        </w:rPr>
        <w:t>服务团队自身原因，导致出现下列情况之一的，</w:t>
      </w:r>
      <w:r>
        <w:rPr>
          <w:rFonts w:hint="eastAsia" w:ascii="宋体" w:hAnsi="宋体"/>
          <w:sz w:val="24"/>
        </w:rPr>
        <w:t>学校</w:t>
      </w:r>
      <w:r>
        <w:rPr>
          <w:rFonts w:ascii="宋体" w:hAnsi="宋体"/>
          <w:sz w:val="24"/>
        </w:rPr>
        <w:t>有权立即中止合同：</w:t>
      </w:r>
    </w:p>
    <w:p>
      <w:pPr>
        <w:spacing w:line="400" w:lineRule="exact"/>
        <w:ind w:firstLine="480" w:firstLineChars="200"/>
        <w:rPr>
          <w:rFonts w:ascii="宋体" w:hAnsi="宋体"/>
          <w:sz w:val="24"/>
        </w:rPr>
      </w:pPr>
      <w:r>
        <w:rPr>
          <w:rFonts w:hint="eastAsia" w:ascii="宋体" w:hAnsi="宋体"/>
          <w:sz w:val="24"/>
        </w:rPr>
        <w:t>（1）发生食物</w:t>
      </w:r>
      <w:r>
        <w:rPr>
          <w:rFonts w:ascii="宋体" w:hAnsi="宋体"/>
          <w:sz w:val="24"/>
        </w:rPr>
        <w:t>中毒或安全责任事故造成严重后果的；</w:t>
      </w:r>
    </w:p>
    <w:p>
      <w:pPr>
        <w:spacing w:line="400" w:lineRule="exact"/>
        <w:ind w:firstLine="480" w:firstLineChars="200"/>
        <w:rPr>
          <w:rFonts w:ascii="宋体" w:hAnsi="宋体"/>
          <w:sz w:val="24"/>
        </w:rPr>
      </w:pPr>
      <w:r>
        <w:rPr>
          <w:rFonts w:hint="eastAsia" w:ascii="宋体" w:hAnsi="宋体"/>
          <w:sz w:val="24"/>
        </w:rPr>
        <w:t>（2）发生</w:t>
      </w:r>
      <w:r>
        <w:rPr>
          <w:rFonts w:ascii="宋体" w:hAnsi="宋体"/>
          <w:sz w:val="24"/>
        </w:rPr>
        <w:t>食品卫生安全问题造成严重后果的；</w:t>
      </w:r>
    </w:p>
    <w:p>
      <w:pPr>
        <w:spacing w:line="400" w:lineRule="exact"/>
        <w:ind w:firstLine="480" w:firstLineChars="200"/>
        <w:rPr>
          <w:rFonts w:ascii="宋体" w:hAnsi="宋体"/>
          <w:sz w:val="24"/>
        </w:rPr>
      </w:pPr>
      <w:r>
        <w:rPr>
          <w:rFonts w:hint="eastAsia" w:ascii="宋体" w:hAnsi="宋体"/>
          <w:sz w:val="24"/>
        </w:rPr>
        <w:t>（3）发生</w:t>
      </w:r>
      <w:r>
        <w:rPr>
          <w:rFonts w:ascii="宋体" w:hAnsi="宋体"/>
          <w:sz w:val="24"/>
        </w:rPr>
        <w:t>因伙食质量、食品卫生、服务质量等问题而引起学生罢餐等群体事件，造成恶劣影响的；</w:t>
      </w:r>
    </w:p>
    <w:p>
      <w:pPr>
        <w:spacing w:line="400" w:lineRule="exact"/>
        <w:ind w:firstLine="480" w:firstLineChars="200"/>
        <w:rPr>
          <w:sz w:val="24"/>
        </w:rPr>
      </w:pPr>
      <w:r>
        <w:rPr>
          <w:rFonts w:hint="eastAsia" w:ascii="宋体" w:hAnsi="宋体"/>
          <w:sz w:val="24"/>
        </w:rPr>
        <w:t>（4）发生</w:t>
      </w:r>
      <w:r>
        <w:rPr>
          <w:rFonts w:ascii="宋体" w:hAnsi="宋体"/>
          <w:sz w:val="24"/>
        </w:rPr>
        <w:t>弄虚作假、</w:t>
      </w:r>
      <w:r>
        <w:rPr>
          <w:rFonts w:hint="eastAsia" w:ascii="宋体" w:hAnsi="宋体"/>
          <w:sz w:val="24"/>
        </w:rPr>
        <w:t>不</w:t>
      </w:r>
      <w:r>
        <w:rPr>
          <w:rFonts w:ascii="宋体" w:hAnsi="宋体"/>
          <w:sz w:val="24"/>
        </w:rPr>
        <w:t>按合同约定范围经营、有转包分包行为</w:t>
      </w:r>
      <w:r>
        <w:rPr>
          <w:rFonts w:hint="eastAsia" w:ascii="宋体" w:hAnsi="宋体"/>
          <w:sz w:val="24"/>
        </w:rPr>
        <w:t>，</w:t>
      </w:r>
      <w:r>
        <w:rPr>
          <w:rFonts w:ascii="宋体" w:hAnsi="宋体"/>
          <w:sz w:val="24"/>
        </w:rPr>
        <w:t>经学校规劝整改无效且情节严重的。</w:t>
      </w:r>
    </w:p>
    <w:p>
      <w:pPr>
        <w:widowControl/>
        <w:spacing w:line="420" w:lineRule="exact"/>
        <w:ind w:firstLine="420" w:firstLineChars="200"/>
        <w:jc w:val="left"/>
      </w:pPr>
    </w:p>
    <w:p>
      <w:pPr>
        <w:widowControl/>
        <w:spacing w:line="520" w:lineRule="exact"/>
        <w:jc w:val="left"/>
        <w:rPr>
          <w:sz w:val="24"/>
        </w:rPr>
      </w:pPr>
      <w:r>
        <w:rPr>
          <w:sz w:val="24"/>
        </w:rPr>
        <w:br w:type="page"/>
      </w:r>
    </w:p>
    <w:p>
      <w:pPr>
        <w:pStyle w:val="2"/>
        <w:jc w:val="center"/>
        <w:rPr>
          <w:rFonts w:ascii="宋体"/>
          <w:b w:val="0"/>
          <w:spacing w:val="4"/>
        </w:rPr>
      </w:pPr>
      <w:bookmarkStart w:id="15" w:name="_Toc77795165"/>
      <w:r>
        <w:rPr>
          <w:rFonts w:hint="eastAsia"/>
        </w:rPr>
        <w:t>第四部分 附件</w:t>
      </w:r>
      <w:bookmarkEnd w:id="14"/>
      <w:bookmarkEnd w:id="15"/>
    </w:p>
    <w:p>
      <w:pPr>
        <w:spacing w:line="360" w:lineRule="auto"/>
        <w:rPr>
          <w:rFonts w:ascii="宋体"/>
          <w:color w:val="000000"/>
          <w:spacing w:val="4"/>
          <w:sz w:val="24"/>
        </w:rPr>
      </w:pPr>
      <w:r>
        <w:rPr>
          <w:rFonts w:hint="eastAsia" w:ascii="宋体" w:hAnsi="宋体"/>
          <w:color w:val="000000"/>
          <w:spacing w:val="4"/>
          <w:sz w:val="24"/>
        </w:rPr>
        <w:t>附件1：投标函</w:t>
      </w:r>
    </w:p>
    <w:p>
      <w:pPr>
        <w:spacing w:line="360" w:lineRule="auto"/>
        <w:rPr>
          <w:color w:val="000000"/>
          <w:sz w:val="24"/>
        </w:rPr>
      </w:pPr>
      <w:r>
        <w:rPr>
          <w:rFonts w:hint="eastAsia" w:ascii="宋体" w:hAnsi="宋体"/>
          <w:color w:val="000000"/>
          <w:spacing w:val="4"/>
          <w:sz w:val="24"/>
        </w:rPr>
        <w:t>附件2：</w:t>
      </w:r>
      <w:r>
        <w:rPr>
          <w:rFonts w:hint="eastAsia"/>
          <w:color w:val="000000"/>
          <w:sz w:val="24"/>
        </w:rPr>
        <w:t>法定代表人资格证明</w:t>
      </w:r>
    </w:p>
    <w:p>
      <w:pPr>
        <w:spacing w:line="360" w:lineRule="auto"/>
        <w:rPr>
          <w:color w:val="000000"/>
          <w:sz w:val="24"/>
        </w:rPr>
      </w:pPr>
      <w:r>
        <w:rPr>
          <w:rFonts w:hint="eastAsia" w:ascii="宋体" w:hAnsi="宋体"/>
          <w:color w:val="000000"/>
          <w:spacing w:val="4"/>
          <w:sz w:val="24"/>
        </w:rPr>
        <w:t>附件3：</w:t>
      </w:r>
      <w:r>
        <w:rPr>
          <w:rFonts w:hint="eastAsia"/>
          <w:color w:val="000000"/>
          <w:sz w:val="24"/>
        </w:rPr>
        <w:t>法定代表人授权书</w:t>
      </w:r>
    </w:p>
    <w:p>
      <w:pPr>
        <w:widowControl/>
        <w:jc w:val="left"/>
        <w:rPr>
          <w:rFonts w:ascii="宋体" w:hAnsi="宋体" w:cs="宋体"/>
          <w:color w:val="000000"/>
          <w:sz w:val="24"/>
        </w:rPr>
      </w:pPr>
      <w:r>
        <w:rPr>
          <w:rFonts w:hint="eastAsia" w:cs="宋体"/>
          <w:color w:val="000000"/>
          <w:sz w:val="24"/>
        </w:rPr>
        <w:t>附件4：</w:t>
      </w:r>
      <w:r>
        <w:rPr>
          <w:rFonts w:hint="eastAsia" w:ascii="宋体" w:hAnsi="宋体" w:cs="宋体"/>
          <w:color w:val="000000"/>
          <w:sz w:val="24"/>
        </w:rPr>
        <w:t>同类经营业绩汇总表</w:t>
      </w:r>
    </w:p>
    <w:p>
      <w:pPr>
        <w:spacing w:line="360" w:lineRule="auto"/>
        <w:jc w:val="left"/>
        <w:rPr>
          <w:rFonts w:cs="宋体"/>
          <w:color w:val="000000"/>
          <w:sz w:val="24"/>
        </w:rPr>
      </w:pPr>
      <w:r>
        <w:rPr>
          <w:rFonts w:hint="eastAsia" w:cs="宋体"/>
          <w:color w:val="000000"/>
          <w:sz w:val="24"/>
        </w:rPr>
        <w:t>附件</w:t>
      </w:r>
      <w:r>
        <w:rPr>
          <w:rFonts w:hint="eastAsia" w:ascii="宋体" w:hAnsi="宋体" w:cs="宋体"/>
          <w:color w:val="000000"/>
          <w:sz w:val="24"/>
        </w:rPr>
        <w:t>5</w:t>
      </w:r>
      <w:r>
        <w:rPr>
          <w:rFonts w:hint="eastAsia" w:cs="宋体"/>
          <w:color w:val="000000"/>
          <w:sz w:val="24"/>
        </w:rPr>
        <w:t>：年度经营业绩证明</w:t>
      </w:r>
    </w:p>
    <w:p>
      <w:pPr>
        <w:spacing w:line="360" w:lineRule="auto"/>
        <w:jc w:val="left"/>
        <w:rPr>
          <w:rFonts w:cs="宋体"/>
          <w:color w:val="000000"/>
          <w:sz w:val="24"/>
        </w:rPr>
      </w:pPr>
      <w:r>
        <w:rPr>
          <w:rFonts w:hint="eastAsia" w:cs="宋体"/>
          <w:color w:val="000000"/>
          <w:sz w:val="24"/>
        </w:rPr>
        <w:t>附件6：</w:t>
      </w:r>
      <w:r>
        <w:rPr>
          <w:rFonts w:hint="eastAsia"/>
          <w:color w:val="000000"/>
          <w:sz w:val="24"/>
        </w:rPr>
        <w:t>服务团队成员汇总表</w:t>
      </w:r>
    </w:p>
    <w:p>
      <w:pPr>
        <w:spacing w:line="360" w:lineRule="auto"/>
        <w:jc w:val="left"/>
        <w:rPr>
          <w:rFonts w:cs="宋体"/>
          <w:color w:val="000000"/>
          <w:sz w:val="24"/>
        </w:rPr>
      </w:pPr>
      <w:r>
        <w:rPr>
          <w:rFonts w:hint="eastAsia" w:cs="宋体"/>
          <w:color w:val="000000"/>
          <w:sz w:val="24"/>
        </w:rPr>
        <w:t>附件7：食堂环境优化方案</w:t>
      </w:r>
    </w:p>
    <w:p>
      <w:pPr>
        <w:spacing w:line="360" w:lineRule="auto"/>
        <w:jc w:val="left"/>
        <w:rPr>
          <w:rFonts w:cs="宋体"/>
          <w:color w:val="000000"/>
          <w:sz w:val="24"/>
        </w:rPr>
      </w:pPr>
      <w:r>
        <w:rPr>
          <w:rFonts w:hint="eastAsia" w:cs="宋体"/>
          <w:color w:val="000000"/>
          <w:sz w:val="24"/>
        </w:rPr>
        <w:t>附件8：智慧食堂优化方案</w:t>
      </w:r>
    </w:p>
    <w:p>
      <w:pPr>
        <w:spacing w:line="360" w:lineRule="auto"/>
        <w:jc w:val="left"/>
        <w:rPr>
          <w:rFonts w:cs="宋体"/>
          <w:color w:val="000000"/>
          <w:sz w:val="24"/>
        </w:rPr>
      </w:pPr>
      <w:r>
        <w:rPr>
          <w:rFonts w:hint="eastAsia" w:cs="宋体"/>
          <w:color w:val="000000"/>
          <w:sz w:val="24"/>
        </w:rPr>
        <w:t>附件9：启东校区二期食堂一楼二楼设备清单</w:t>
      </w:r>
    </w:p>
    <w:p>
      <w:pPr>
        <w:spacing w:line="360" w:lineRule="auto"/>
        <w:jc w:val="left"/>
        <w:rPr>
          <w:rFonts w:cs="宋体"/>
          <w:color w:val="000000"/>
          <w:sz w:val="24"/>
        </w:rPr>
      </w:pPr>
      <w:r>
        <w:rPr>
          <w:rFonts w:hint="eastAsia" w:cs="宋体"/>
          <w:color w:val="000000"/>
          <w:sz w:val="24"/>
        </w:rPr>
        <w:t>附件10：启东校区二期食堂一楼二楼平面图</w:t>
      </w:r>
    </w:p>
    <w:p>
      <w:pPr>
        <w:spacing w:line="360" w:lineRule="auto"/>
        <w:jc w:val="left"/>
        <w:rPr>
          <w:rFonts w:cs="宋体"/>
          <w:color w:val="000000"/>
          <w:sz w:val="24"/>
        </w:rPr>
      </w:pPr>
      <w:r>
        <w:rPr>
          <w:rFonts w:hint="eastAsia" w:cs="宋体"/>
          <w:color w:val="000000"/>
          <w:sz w:val="24"/>
        </w:rPr>
        <w:t>附件1</w:t>
      </w:r>
      <w:r>
        <w:rPr>
          <w:rFonts w:cs="宋体"/>
          <w:color w:val="000000"/>
          <w:sz w:val="24"/>
        </w:rPr>
        <w:t>1</w:t>
      </w:r>
      <w:r>
        <w:rPr>
          <w:rFonts w:hint="eastAsia" w:cs="宋体"/>
          <w:color w:val="000000"/>
          <w:sz w:val="24"/>
        </w:rPr>
        <w:t>：</w:t>
      </w:r>
      <w:r>
        <w:rPr>
          <w:rFonts w:cs="宋体"/>
          <w:color w:val="000000"/>
          <w:sz w:val="24"/>
        </w:rPr>
        <w:t>无重大违法记录声明</w:t>
      </w:r>
    </w:p>
    <w:p>
      <w:pPr>
        <w:spacing w:line="360" w:lineRule="auto"/>
        <w:jc w:val="left"/>
        <w:rPr>
          <w:rFonts w:cs="宋体"/>
          <w:color w:val="000000"/>
          <w:sz w:val="24"/>
        </w:rPr>
      </w:pPr>
      <w:r>
        <w:rPr>
          <w:rFonts w:hint="eastAsia" w:cs="宋体"/>
          <w:color w:val="000000"/>
          <w:sz w:val="24"/>
        </w:rPr>
        <w:t>附件1</w:t>
      </w:r>
      <w:r>
        <w:rPr>
          <w:rFonts w:cs="宋体"/>
          <w:color w:val="000000"/>
          <w:sz w:val="24"/>
        </w:rPr>
        <w:t>2</w:t>
      </w:r>
      <w:r>
        <w:rPr>
          <w:rFonts w:hint="eastAsia" w:cs="宋体"/>
          <w:color w:val="000000"/>
          <w:sz w:val="24"/>
        </w:rPr>
        <w:t>：诚信承诺书</w:t>
      </w:r>
    </w:p>
    <w:p>
      <w:pPr>
        <w:pStyle w:val="3"/>
        <w:rPr>
          <w:b w:val="0"/>
        </w:rPr>
      </w:pPr>
      <w:r>
        <w:rPr>
          <w:b w:val="0"/>
          <w:sz w:val="24"/>
        </w:rPr>
        <w:br w:type="page"/>
      </w:r>
      <w:bookmarkStart w:id="16" w:name="_Toc50645810"/>
      <w:bookmarkStart w:id="17" w:name="_Toc77795166"/>
      <w:r>
        <w:rPr>
          <w:rFonts w:hint="eastAsia"/>
          <w:b w:val="0"/>
          <w:sz w:val="21"/>
          <w:szCs w:val="21"/>
        </w:rPr>
        <w:t>附件</w:t>
      </w:r>
      <w:r>
        <w:rPr>
          <w:b w:val="0"/>
          <w:sz w:val="21"/>
          <w:szCs w:val="21"/>
        </w:rPr>
        <w:t>1</w:t>
      </w:r>
      <w:r>
        <w:rPr>
          <w:rFonts w:hint="eastAsia"/>
          <w:b w:val="0"/>
          <w:sz w:val="21"/>
          <w:szCs w:val="21"/>
        </w:rPr>
        <w:t>：投标函</w:t>
      </w:r>
      <w:bookmarkEnd w:id="16"/>
      <w:bookmarkEnd w:id="17"/>
    </w:p>
    <w:p>
      <w:pPr>
        <w:jc w:val="center"/>
        <w:rPr>
          <w:rFonts w:ascii="宋体"/>
        </w:rPr>
      </w:pPr>
      <w:r>
        <w:rPr>
          <w:rFonts w:hint="eastAsia" w:ascii="宋体" w:hAnsi="宋体"/>
          <w:b/>
          <w:bCs/>
          <w:sz w:val="44"/>
        </w:rPr>
        <w:t>投    标    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我方经仔细阅读研究项目招标文件（项目编号），已完全了解招标文件中的所有条款及要求，决定参加投标，同时做出如下承诺：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sz w:val="24"/>
        </w:rPr>
      </w:pPr>
      <w:r>
        <w:rPr>
          <w:sz w:val="24"/>
        </w:rPr>
        <w:t>2</w:t>
      </w:r>
      <w:r>
        <w:rPr>
          <w:rFonts w:hint="eastAsia"/>
          <w:sz w:val="24"/>
        </w:rPr>
        <w:t>、愿按招标文件的要求提供服务。</w:t>
      </w:r>
    </w:p>
    <w:p>
      <w:pPr>
        <w:spacing w:line="360" w:lineRule="auto"/>
        <w:ind w:firstLine="480" w:firstLineChars="200"/>
        <w:rPr>
          <w:sz w:val="24"/>
        </w:rPr>
      </w:pPr>
      <w:r>
        <w:rPr>
          <w:sz w:val="24"/>
        </w:rPr>
        <w:t>3</w:t>
      </w:r>
      <w:r>
        <w:rPr>
          <w:rFonts w:hint="eastAsia"/>
          <w:sz w:val="24"/>
        </w:rPr>
        <w:t>、接受招标文件的所有条款、条件和</w:t>
      </w:r>
      <w:r>
        <w:rPr>
          <w:rFonts w:hint="eastAsia" w:ascii="宋体" w:hAnsi="宋体"/>
          <w:bCs/>
          <w:sz w:val="24"/>
        </w:rPr>
        <w:t>规定</w:t>
      </w:r>
      <w:r>
        <w:rPr>
          <w:rFonts w:hint="eastAsia"/>
          <w:sz w:val="24"/>
        </w:rPr>
        <w:t>，</w:t>
      </w:r>
      <w:r>
        <w:rPr>
          <w:rFonts w:hint="eastAsia" w:ascii="宋体" w:hAnsi="宋体"/>
          <w:bCs/>
          <w:sz w:val="24"/>
        </w:rPr>
        <w:t>放弃对招标文件提出质疑的权利。</w:t>
      </w:r>
    </w:p>
    <w:p>
      <w:pPr>
        <w:spacing w:line="360" w:lineRule="auto"/>
        <w:ind w:firstLine="480" w:firstLineChars="200"/>
        <w:rPr>
          <w:sz w:val="24"/>
        </w:rPr>
      </w:pPr>
      <w:r>
        <w:rPr>
          <w:sz w:val="24"/>
        </w:rPr>
        <w:t>4</w:t>
      </w:r>
      <w:r>
        <w:rPr>
          <w:rFonts w:hint="eastAsia"/>
          <w:sz w:val="24"/>
        </w:rPr>
        <w:t>、同意按照招标文件的要求提供所有资料、数据或信息。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w:t>
      </w:r>
    </w:p>
    <w:p>
      <w:pPr>
        <w:spacing w:line="360" w:lineRule="auto"/>
        <w:ind w:firstLine="480" w:firstLineChars="200"/>
        <w:rPr>
          <w:sz w:val="24"/>
        </w:rPr>
      </w:pPr>
      <w:r>
        <w:rPr>
          <w:sz w:val="24"/>
        </w:rPr>
        <w:t>6</w:t>
      </w:r>
      <w:r>
        <w:rPr>
          <w:rFonts w:hint="eastAsia"/>
          <w:sz w:val="24"/>
        </w:rPr>
        <w:t>、我方如中标，将保证遵守招标文件对投标人的所有要求和规定，履行自己在投标文件中承诺的全部责任和义务。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9"/>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sz w:val="24"/>
              </w:rPr>
            </w:pPr>
            <w:r>
              <w:rPr>
                <w:rFonts w:hint="eastAsia"/>
                <w:sz w:val="24"/>
              </w:rPr>
              <w:t>投标人（公章）：</w:t>
            </w:r>
          </w:p>
        </w:tc>
        <w:tc>
          <w:tcPr>
            <w:tcW w:w="4678" w:type="dxa"/>
            <w:tcBorders>
              <w:top w:val="nil"/>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授权代表（签名）：</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手机：</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ascii="Adobe 黑体 Std R" w:hAnsi="Adobe 黑体 Std R" w:eastAsia="Adobe 黑体 Std R"/>
                <w:sz w:val="24"/>
              </w:rPr>
              <w:t>E  m  a  i  l</w:t>
            </w:r>
            <w:r>
              <w:rPr>
                <w:rFonts w:hint="eastAsia"/>
                <w:sz w:val="24"/>
              </w:rPr>
              <w:t>：</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地址：</w:t>
            </w:r>
          </w:p>
        </w:tc>
        <w:tc>
          <w:tcPr>
            <w:tcW w:w="4678" w:type="dxa"/>
            <w:tcBorders>
              <w:top w:val="single" w:color="000000" w:sz="4" w:space="0"/>
              <w:left w:val="nil"/>
              <w:bottom w:val="single" w:color="000000" w:sz="4" w:space="0"/>
              <w:right w:val="nil"/>
            </w:tcBorders>
          </w:tcPr>
          <w:p>
            <w:pPr>
              <w:spacing w:line="480" w:lineRule="auto"/>
              <w:rPr>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sz w:val="24"/>
              </w:rPr>
            </w:pPr>
            <w:r>
              <w:rPr>
                <w:rFonts w:hint="eastAsia"/>
                <w:sz w:val="24"/>
              </w:rPr>
              <w:t>日期：</w:t>
            </w:r>
          </w:p>
        </w:tc>
        <w:tc>
          <w:tcPr>
            <w:tcW w:w="4678" w:type="dxa"/>
            <w:tcBorders>
              <w:top w:val="single" w:color="000000" w:sz="4" w:space="0"/>
              <w:left w:val="nil"/>
              <w:bottom w:val="single" w:color="000000" w:sz="4" w:space="0"/>
              <w:right w:val="nil"/>
            </w:tcBorders>
          </w:tcPr>
          <w:p>
            <w:pPr>
              <w:spacing w:line="480" w:lineRule="auto"/>
              <w:rPr>
                <w:sz w:val="24"/>
              </w:rPr>
            </w:pPr>
          </w:p>
        </w:tc>
      </w:tr>
    </w:tbl>
    <w:p>
      <w:pPr>
        <w:widowControl/>
        <w:spacing w:line="360" w:lineRule="auto"/>
        <w:jc w:val="left"/>
        <w:rPr>
          <w:rFonts w:ascii="宋体"/>
          <w:spacing w:val="4"/>
          <w:sz w:val="24"/>
        </w:rPr>
        <w:sectPr>
          <w:pgSz w:w="11906" w:h="16838"/>
          <w:pgMar w:top="1440" w:right="1803" w:bottom="1440" w:left="1803" w:header="851" w:footer="992" w:gutter="0"/>
          <w:cols w:space="720" w:num="1"/>
          <w:docGrid w:type="lines" w:linePitch="312" w:charSpace="0"/>
        </w:sectPr>
      </w:pPr>
    </w:p>
    <w:p>
      <w:pPr>
        <w:pStyle w:val="3"/>
        <w:rPr>
          <w:b w:val="0"/>
          <w:sz w:val="21"/>
          <w:szCs w:val="21"/>
        </w:rPr>
      </w:pPr>
      <w:bookmarkStart w:id="18" w:name="_Toc77795167"/>
      <w:bookmarkStart w:id="19" w:name="_Toc50645815"/>
      <w:r>
        <w:rPr>
          <w:rFonts w:hint="eastAsia"/>
          <w:b w:val="0"/>
          <w:sz w:val="21"/>
          <w:szCs w:val="21"/>
        </w:rPr>
        <w:t>附件2：法定代表人资格证明</w:t>
      </w:r>
      <w:bookmarkEnd w:id="18"/>
      <w:bookmarkEnd w:id="19"/>
    </w:p>
    <w:p>
      <w:pPr>
        <w:snapToGrid w:val="0"/>
        <w:spacing w:line="360" w:lineRule="auto"/>
        <w:ind w:right="-351" w:rightChars="-167"/>
        <w:jc w:val="center"/>
        <w:rPr>
          <w:rFonts w:ascii="宋体"/>
          <w:b/>
          <w:sz w:val="36"/>
          <w:szCs w:val="36"/>
        </w:rPr>
      </w:pPr>
      <w:r>
        <w:rPr>
          <w:rFonts w:hint="eastAsia" w:ascii="宋体"/>
          <w:b/>
          <w:sz w:val="36"/>
          <w:szCs w:val="36"/>
        </w:rPr>
        <w:t>法定代表人资格证明</w:t>
      </w:r>
    </w:p>
    <w:p>
      <w:pPr>
        <w:spacing w:after="312" w:afterLines="100" w:line="480" w:lineRule="auto"/>
        <w:ind w:left="-136" w:right="-351"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p>
    <w:p>
      <w:pPr>
        <w:pStyle w:val="3"/>
        <w:rPr>
          <w:b w:val="0"/>
          <w:sz w:val="21"/>
          <w:szCs w:val="21"/>
        </w:rPr>
      </w:pPr>
      <w:bookmarkStart w:id="20" w:name="_Toc77795168"/>
      <w:r>
        <mc:AlternateContent>
          <mc:Choice Requires="wps">
            <w:drawing>
              <wp:anchor distT="0" distB="0" distL="0" distR="0" simplePos="0" relativeHeight="251659264" behindDoc="0" locked="0" layoutInCell="1" allowOverlap="1">
                <wp:simplePos x="0" y="0"/>
                <wp:positionH relativeFrom="column">
                  <wp:posOffset>160020</wp:posOffset>
                </wp:positionH>
                <wp:positionV relativeFrom="paragraph">
                  <wp:posOffset>450850</wp:posOffset>
                </wp:positionV>
                <wp:extent cx="2905760" cy="1973580"/>
                <wp:effectExtent l="4445" t="4445" r="23495" b="22225"/>
                <wp:wrapNone/>
                <wp:docPr id="1026" name="文本框 33"/>
                <wp:cNvGraphicFramePr/>
                <a:graphic xmlns:a="http://schemas.openxmlformats.org/drawingml/2006/main">
                  <a:graphicData uri="http://schemas.microsoft.com/office/word/2010/wordprocessingShape">
                    <wps:wsp>
                      <wps:cNvSpPr/>
                      <wps:spPr>
                        <a:xfrm>
                          <a:off x="0" y="0"/>
                          <a:ext cx="2905760" cy="19735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vert="horz" wrap="square" lIns="91440" tIns="45720" rIns="91440" bIns="45720" anchor="t" upright="1">
                        <a:noAutofit/>
                      </wps:bodyPr>
                    </wps:wsp>
                  </a:graphicData>
                </a:graphic>
              </wp:anchor>
            </w:drawing>
          </mc:Choice>
          <mc:Fallback>
            <w:pict>
              <v:rect id="文本框 33" o:spid="_x0000_s1026" o:spt="1" style="position:absolute;left:0pt;margin-left:12.6pt;margin-top:35.5pt;height:155.4pt;width:228.8pt;z-index:251659264;mso-width-relative:page;mso-height-relative:page;" fillcolor="#FFFFFF" filled="t" stroked="t" coordsize="21600,21600" o:gfxdata="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OzmD7HYAAAACQEAAA8AAAAAAAAAAQAg&#10;AAAAIgAAAGRycy9kb3ducmV2LnhtbFBLAQIUABQAAAAIAIdO4kAKrAVGRwIAAKQEAAAOAAAAAAAA&#10;AAEAIAAAACcBAABkcnMvZTJvRG9jLnhtbFBLBQYAAAAABgAGAFkBAADgBQAAAAA=&#10;">
                <v:fill on="t" focussize="0,0"/>
                <v:stroke color="#000000"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rect>
            </w:pict>
          </mc:Fallback>
        </mc:AlternateContent>
      </w:r>
      <w:r>
        <mc:AlternateContent>
          <mc:Choice Requires="wps">
            <w:drawing>
              <wp:anchor distT="0" distB="0" distL="0" distR="0" simplePos="0" relativeHeight="251659264" behindDoc="0" locked="0" layoutInCell="1" allowOverlap="1">
                <wp:simplePos x="0" y="0"/>
                <wp:positionH relativeFrom="column">
                  <wp:posOffset>3164205</wp:posOffset>
                </wp:positionH>
                <wp:positionV relativeFrom="paragraph">
                  <wp:posOffset>448310</wp:posOffset>
                </wp:positionV>
                <wp:extent cx="2905760" cy="1973580"/>
                <wp:effectExtent l="4445" t="4445" r="23495" b="22225"/>
                <wp:wrapNone/>
                <wp:docPr id="1027" name="文本框 24"/>
                <wp:cNvGraphicFramePr/>
                <a:graphic xmlns:a="http://schemas.openxmlformats.org/drawingml/2006/main">
                  <a:graphicData uri="http://schemas.microsoft.com/office/word/2010/wordprocessingShape">
                    <wps:wsp>
                      <wps:cNvSpPr/>
                      <wps:spPr>
                        <a:xfrm>
                          <a:off x="0" y="0"/>
                          <a:ext cx="2905760" cy="197358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vert="horz" wrap="square" lIns="91440" tIns="45720" rIns="91440" bIns="45720" anchor="t" upright="1">
                        <a:noAutofit/>
                      </wps:bodyPr>
                    </wps:wsp>
                  </a:graphicData>
                </a:graphic>
              </wp:anchor>
            </w:drawing>
          </mc:Choice>
          <mc:Fallback>
            <w:pict>
              <v:rect id="文本框 24" o:spid="_x0000_s1026" o:spt="1" style="position:absolute;left:0pt;margin-left:249.15pt;margin-top:35.3pt;height:155.4pt;width:228.8pt;z-index:251659264;mso-width-relative:page;mso-height-relative:page;" fillcolor="#FFFFFF" filled="t" stroked="t" coordsize="21600,21600" o:gfxdata="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SgDDD9oAAAAKAQAADwAAAAAAAAAB&#10;ACAAAAAiAAAAZHJzL2Rvd25yZXYueG1sUEsBAhQAFAAAAAgAh07iQBRZBbJHAgAApAQAAA4AAAAA&#10;AAAAAQAgAAAAKQEAAGRycy9lMm9Eb2MueG1sUEsFBgAAAAAGAAYAWQEAAOIFAAAAAA==&#10;">
                <v:fill on="t" focussize="0,0"/>
                <v:stroke color="#000000"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rect>
            </w:pict>
          </mc:Fallback>
        </mc:AlternateContent>
      </w:r>
      <w:bookmarkStart w:id="21" w:name="_Toc50645816"/>
      <w:r>
        <w:rPr>
          <w:rFonts w:hint="eastAsia" w:ascii="宋体"/>
          <w:b w:val="0"/>
          <w:bCs w:val="0"/>
          <w:sz w:val="30"/>
        </w:rPr>
        <w:br w:type="page"/>
      </w:r>
      <w:r>
        <w:rPr>
          <w:rFonts w:hint="eastAsia"/>
          <w:b w:val="0"/>
          <w:sz w:val="21"/>
          <w:szCs w:val="21"/>
        </w:rPr>
        <w:t>附件3：法定代表人授权书</w:t>
      </w:r>
      <w:bookmarkEnd w:id="20"/>
      <w:bookmarkEnd w:id="21"/>
    </w:p>
    <w:p>
      <w:pPr>
        <w:spacing w:line="500" w:lineRule="exact"/>
        <w:ind w:right="32"/>
        <w:rPr>
          <w:rFonts w:ascii="楷体_GB2312" w:hAnsi="宋体" w:eastAsia="楷体_GB2312"/>
          <w:sz w:val="22"/>
          <w:szCs w:val="22"/>
        </w:rPr>
      </w:pPr>
    </w:p>
    <w:p>
      <w:pPr>
        <w:snapToGrid w:val="0"/>
        <w:spacing w:line="360" w:lineRule="auto"/>
        <w:ind w:right="-351" w:rightChars="-167"/>
        <w:jc w:val="center"/>
        <w:rPr>
          <w:rFonts w:ascii="宋体"/>
          <w:b/>
          <w:sz w:val="36"/>
          <w:szCs w:val="36"/>
        </w:rPr>
      </w:pPr>
      <w:r>
        <w:rPr>
          <w:rFonts w:hint="eastAsia" w:ascii="宋体"/>
          <w:b/>
          <w:sz w:val="36"/>
          <w:szCs w:val="36"/>
        </w:rPr>
        <w:t>法定代表人授权书</w:t>
      </w:r>
    </w:p>
    <w:p>
      <w:pPr>
        <w:spacing w:line="480" w:lineRule="auto"/>
        <w:ind w:right="-351"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hint="eastAsia" w:ascii="宋体" w:hAnsi="宋体" w:cs="宋体"/>
          <w:kern w:val="0"/>
          <w:sz w:val="28"/>
          <w:szCs w:val="28"/>
          <w:u w:val="single"/>
        </w:rPr>
        <w:t xml:space="preserve"> （单位名称）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rFonts w:hint="eastAsia"/>
          <w:sz w:val="28"/>
          <w:szCs w:val="28"/>
        </w:rPr>
        <w:t>的</w:t>
      </w:r>
      <w:r>
        <w:rPr>
          <w:rFonts w:hint="eastAsia"/>
          <w:sz w:val="28"/>
          <w:szCs w:val="28"/>
          <w:u w:val="single"/>
        </w:rPr>
        <w:t>（被授权人的姓名）</w:t>
      </w:r>
      <w:r>
        <w:rPr>
          <w:rFonts w:hint="eastAsia" w:ascii="宋体" w:hAnsi="宋体" w:cs="宋体"/>
          <w:kern w:val="0"/>
          <w:sz w:val="28"/>
          <w:szCs w:val="28"/>
        </w:rPr>
        <w:t>身份证号码：</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日期：年月日</w:t>
      </w:r>
    </w:p>
    <w:p>
      <w:pPr>
        <w:spacing w:line="360" w:lineRule="auto"/>
        <w:ind w:right="-351" w:rightChars="-167"/>
        <w:rPr>
          <w:sz w:val="28"/>
          <w:szCs w:val="28"/>
        </w:rPr>
      </w:pPr>
      <w:r>
        <mc:AlternateContent>
          <mc:Choice Requires="wps">
            <w:drawing>
              <wp:anchor distT="0" distB="0" distL="0" distR="0" simplePos="0" relativeHeight="251659264"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028" name="文本框 16"/>
                <wp:cNvGraphicFramePr/>
                <a:graphic xmlns:a="http://schemas.openxmlformats.org/drawingml/2006/main">
                  <a:graphicData uri="http://schemas.microsoft.com/office/word/2010/wordprocessingShape">
                    <wps:wsp>
                      <wps:cNvSpPr/>
                      <wps:spPr>
                        <a:xfrm>
                          <a:off x="0" y="0"/>
                          <a:ext cx="2543810"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vert="horz" wrap="square" lIns="91440" tIns="45720" rIns="91440" bIns="45720" anchor="t" upright="1">
                        <a:noAutofit/>
                      </wps:bodyPr>
                    </wps:wsp>
                  </a:graphicData>
                </a:graphic>
              </wp:anchor>
            </w:drawing>
          </mc:Choice>
          <mc:Fallback>
            <w:pict>
              <v:rect id="文本框 16" o:spid="_x0000_s1026" o:spt="1" style="position:absolute;left:0pt;margin-left:4.75pt;margin-top:15.4pt;height:171.6pt;width:200.3pt;z-index:251659264;mso-width-relative:page;mso-height-relative:page;" fillcolor="#FFFFFF" filled="t" stroked="t" coordsize="21600,21600" o:gfxdata="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2YgqlNcAAAAIAQAADwAAAAAAAAABACAA&#10;AAAiAAAAZHJzL2Rvd25yZXYueG1sUEsBAhQAFAAAAAgAh07iQJWqtoVHAgAApAQAAA4AAAAAAAAA&#10;AQAgAAAAJgEAAGRycy9lMm9Eb2MueG1sUEsFBgAAAAAGAAYAWQEAAN8FAAAAAA==&#10;">
                <v:fill on="t" focussize="0,0"/>
                <v:stroke color="#000000"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rect>
            </w:pict>
          </mc:Fallback>
        </mc:AlternateContent>
      </w:r>
      <w:r>
        <mc:AlternateContent>
          <mc:Choice Requires="wps">
            <w:drawing>
              <wp:anchor distT="0" distB="0" distL="0" distR="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029" name="文本框 5"/>
                <wp:cNvGraphicFramePr/>
                <a:graphic xmlns:a="http://schemas.openxmlformats.org/drawingml/2006/main">
                  <a:graphicData uri="http://schemas.microsoft.com/office/word/2010/wordprocessingShape">
                    <wps:wsp>
                      <wps:cNvSpPr/>
                      <wps:spPr>
                        <a:xfrm>
                          <a:off x="0" y="0"/>
                          <a:ext cx="2543809" cy="2179320"/>
                        </a:xfrm>
                        <a:prstGeom prst="rect">
                          <a:avLst/>
                        </a:prstGeom>
                        <a:solidFill>
                          <a:srgbClr val="FFFFFF"/>
                        </a:solidFill>
                        <a:ln w="9525" cap="flat" cmpd="sng">
                          <a:solidFill>
                            <a:srgbClr val="000000"/>
                          </a:solidFill>
                          <a:prstDash val="solid"/>
                          <a:miter/>
                          <a:headEnd type="none" w="med" len="med"/>
                          <a:tailEnd type="none" w="med" len="med"/>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vert="horz" wrap="square" lIns="91440" tIns="45720" rIns="91440" bIns="45720" anchor="t" upright="1">
                        <a:noAutofit/>
                      </wps:bodyPr>
                    </wps:wsp>
                  </a:graphicData>
                </a:graphic>
              </wp:anchor>
            </w:drawing>
          </mc:Choice>
          <mc:Fallback>
            <w:pict>
              <v:rect id="文本框 5" o:spid="_x0000_s1026" o:spt="1" style="position:absolute;left:0pt;margin-left:216.25pt;margin-top:15.25pt;height:171.6pt;width:200.3pt;z-index:251659264;mso-width-relative:page;mso-height-relative:page;" fillcolor="#FFFFFF" filled="t" stroked="t" coordsize="21600,21600" o:gfxdata="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IqlibdgAAAAKAQAADwAAAAAAAAABACAA&#10;AAAiAAAAZHJzL2Rvd25yZXYueG1sUEsBAhQAFAAAAAgAh07iQGkXBRRGAgAAowQAAA4AAAAAAAAA&#10;AQAgAAAAJwEAAGRycy9lMm9Eb2MueG1sUEsFBgAAAAAGAAYAWQEAAN8FAAAAAA==&#10;">
                <v:fill on="t" focussize="0,0"/>
                <v:stroke color="#000000"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rect>
            </w:pict>
          </mc:Fallback>
        </mc:AlternateConten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pStyle w:val="41"/>
        <w:shd w:val="clear" w:color="auto" w:fill="FFFFFF"/>
        <w:spacing w:before="0" w:beforeAutospacing="0" w:after="0" w:afterAutospacing="0" w:line="2160" w:lineRule="atLeast"/>
      </w:pPr>
      <w:r>
        <w:rPr>
          <w:rFonts w:hint="eastAsia"/>
        </w:rPr>
        <w:t>注：“法定代表人”直接参加投标和签署投标文件的无需提供该授权书。</w:t>
      </w:r>
    </w:p>
    <w:p>
      <w:pPr>
        <w:widowControl/>
        <w:jc w:val="left"/>
        <w:rPr>
          <w:rFonts w:ascii="宋体" w:hAnsi="宋体" w:cs="宋体"/>
          <w:kern w:val="0"/>
          <w:sz w:val="24"/>
        </w:rPr>
      </w:pPr>
    </w:p>
    <w:p>
      <w:pPr>
        <w:widowControl/>
        <w:jc w:val="left"/>
        <w:rPr>
          <w:rFonts w:ascii="宋体" w:hAnsi="宋体" w:cs="宋体"/>
          <w:kern w:val="0"/>
          <w:sz w:val="24"/>
        </w:rPr>
      </w:pPr>
    </w:p>
    <w:p>
      <w:pPr>
        <w:widowControl/>
        <w:jc w:val="left"/>
        <w:rPr>
          <w:szCs w:val="21"/>
        </w:rPr>
      </w:pPr>
    </w:p>
    <w:p>
      <w:pPr>
        <w:pStyle w:val="3"/>
        <w:rPr>
          <w:sz w:val="24"/>
          <w:szCs w:val="24"/>
        </w:rPr>
      </w:pPr>
      <w:bookmarkStart w:id="22" w:name="_Toc77795169"/>
      <w:r>
        <w:rPr>
          <w:rFonts w:hint="eastAsia"/>
          <w:sz w:val="24"/>
          <w:szCs w:val="24"/>
        </w:rPr>
        <w:t>附件4：同类经营业绩汇总表</w:t>
      </w:r>
      <w:bookmarkEnd w:id="22"/>
    </w:p>
    <w:p>
      <w:pPr>
        <w:spacing w:before="156" w:beforeLines="50" w:after="156" w:afterLines="50"/>
        <w:jc w:val="center"/>
        <w:rPr>
          <w:rFonts w:ascii="黑体" w:hAnsi="黑体" w:eastAsia="黑体"/>
          <w:bCs/>
          <w:sz w:val="44"/>
          <w:szCs w:val="44"/>
        </w:rPr>
      </w:pPr>
      <w:r>
        <w:rPr>
          <w:rFonts w:hint="eastAsia" w:ascii="黑体" w:hAnsi="黑体" w:eastAsia="黑体"/>
          <w:bCs/>
          <w:sz w:val="44"/>
          <w:szCs w:val="44"/>
        </w:rPr>
        <w:t>2018年</w:t>
      </w:r>
      <w:r>
        <w:rPr>
          <w:rFonts w:ascii="黑体" w:hAnsi="黑体" w:eastAsia="黑体"/>
          <w:bCs/>
          <w:sz w:val="44"/>
          <w:szCs w:val="44"/>
        </w:rPr>
        <w:t>至今同类</w:t>
      </w:r>
      <w:r>
        <w:rPr>
          <w:rFonts w:hint="eastAsia" w:ascii="黑体" w:hAnsi="黑体" w:eastAsia="黑体"/>
          <w:bCs/>
          <w:sz w:val="44"/>
          <w:szCs w:val="44"/>
        </w:rPr>
        <w:t>经营</w:t>
      </w:r>
      <w:r>
        <w:rPr>
          <w:rFonts w:ascii="黑体" w:hAnsi="黑体" w:eastAsia="黑体"/>
          <w:bCs/>
          <w:sz w:val="44"/>
          <w:szCs w:val="44"/>
        </w:rPr>
        <w:t>业绩</w:t>
      </w:r>
      <w:r>
        <w:rPr>
          <w:rFonts w:hint="eastAsia" w:ascii="黑体" w:hAnsi="黑体" w:eastAsia="黑体"/>
          <w:bCs/>
          <w:sz w:val="44"/>
          <w:szCs w:val="44"/>
        </w:rPr>
        <w:t>汇总表</w:t>
      </w:r>
    </w:p>
    <w:p>
      <w:pPr>
        <w:jc w:val="center"/>
        <w:rPr>
          <w:rFonts w:ascii="宋体" w:hAnsi="宋体"/>
          <w:bCs/>
          <w:sz w:val="28"/>
          <w:szCs w:val="28"/>
        </w:rPr>
      </w:pPr>
      <w:r>
        <w:rPr>
          <w:rFonts w:hint="eastAsia" w:ascii="宋体" w:hAnsi="宋体"/>
          <w:bCs/>
          <w:sz w:val="28"/>
          <w:szCs w:val="28"/>
        </w:rPr>
        <w:t>（附</w:t>
      </w:r>
      <w:r>
        <w:rPr>
          <w:rFonts w:ascii="宋体" w:hAnsi="宋体"/>
          <w:bCs/>
          <w:sz w:val="28"/>
          <w:szCs w:val="28"/>
        </w:rPr>
        <w:t>合同</w:t>
      </w:r>
      <w:r>
        <w:rPr>
          <w:rFonts w:hint="eastAsia" w:ascii="宋体" w:hAnsi="宋体"/>
          <w:bCs/>
          <w:sz w:val="28"/>
          <w:szCs w:val="28"/>
        </w:rPr>
        <w:t>复印件）</w:t>
      </w:r>
    </w:p>
    <w:tbl>
      <w:tblPr>
        <w:tblStyle w:val="19"/>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2843"/>
        <w:gridCol w:w="2843"/>
        <w:gridCol w:w="2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序号</w:t>
            </w:r>
          </w:p>
        </w:tc>
        <w:tc>
          <w:tcPr>
            <w:tcW w:w="2843"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服务单位</w:t>
            </w:r>
          </w:p>
        </w:tc>
        <w:tc>
          <w:tcPr>
            <w:tcW w:w="2843"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服务时间</w:t>
            </w:r>
          </w:p>
        </w:tc>
        <w:tc>
          <w:tcPr>
            <w:tcW w:w="2843"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经营</w:t>
            </w:r>
            <w:r>
              <w:rPr>
                <w:rFonts w:ascii="宋体" w:hAnsi="宋体"/>
                <w:color w:val="000000"/>
                <w:sz w:val="28"/>
                <w:szCs w:val="28"/>
              </w:rPr>
              <w:t>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1</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2</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3</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4</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hint="eastAsia" w:ascii="宋体" w:hAnsi="宋体"/>
                <w:color w:val="000000"/>
                <w:sz w:val="28"/>
                <w:szCs w:val="28"/>
              </w:rPr>
              <w:t>5</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r>
              <w:rPr>
                <w:rFonts w:ascii="宋体" w:hAnsi="宋体"/>
                <w:color w:val="000000"/>
                <w:sz w:val="28"/>
                <w:szCs w:val="28"/>
              </w:rPr>
              <w:t>……</w:t>
            </w: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310"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c>
          <w:tcPr>
            <w:tcW w:w="2843" w:type="dxa"/>
            <w:shd w:val="clear" w:color="auto" w:fill="auto"/>
            <w:vAlign w:val="center"/>
          </w:tcPr>
          <w:p>
            <w:pPr>
              <w:spacing w:line="400" w:lineRule="exact"/>
              <w:jc w:val="center"/>
              <w:rPr>
                <w:rFonts w:ascii="宋体" w:hAnsi="宋体"/>
                <w:color w:val="000000"/>
                <w:sz w:val="28"/>
                <w:szCs w:val="28"/>
              </w:rPr>
            </w:pPr>
          </w:p>
        </w:tc>
      </w:tr>
    </w:tbl>
    <w:p>
      <w:pPr>
        <w:spacing w:line="400" w:lineRule="exact"/>
        <w:jc w:val="center"/>
        <w:rPr>
          <w:rFonts w:ascii="宋体" w:hAnsi="宋体"/>
          <w:color w:val="000000"/>
          <w:szCs w:val="21"/>
        </w:rPr>
      </w:pPr>
    </w:p>
    <w:p>
      <w:pPr>
        <w:pStyle w:val="3"/>
        <w:rPr>
          <w:color w:val="000000"/>
          <w:szCs w:val="21"/>
        </w:rPr>
      </w:pPr>
      <w:bookmarkStart w:id="23" w:name="_Toc77795170"/>
      <w:r>
        <w:rPr>
          <w:rFonts w:hint="eastAsia"/>
          <w:sz w:val="24"/>
          <w:szCs w:val="24"/>
        </w:rPr>
        <w:t>附件5：年度经营业绩证明</w:t>
      </w:r>
      <w:bookmarkEnd w:id="23"/>
    </w:p>
    <w:p>
      <w:pPr>
        <w:widowControl/>
        <w:jc w:val="left"/>
        <w:rPr>
          <w:color w:val="000000"/>
          <w:szCs w:val="21"/>
        </w:rPr>
      </w:pPr>
    </w:p>
    <w:p>
      <w:pPr>
        <w:widowControl/>
        <w:jc w:val="left"/>
        <w:rPr>
          <w:color w:val="000000"/>
          <w:szCs w:val="21"/>
        </w:rPr>
      </w:pPr>
    </w:p>
    <w:p>
      <w:pPr>
        <w:widowControl/>
        <w:jc w:val="left"/>
        <w:rPr>
          <w:color w:val="000000"/>
          <w:szCs w:val="21"/>
        </w:rPr>
      </w:pPr>
    </w:p>
    <w:p>
      <w:pPr>
        <w:widowControl/>
        <w:jc w:val="left"/>
        <w:rPr>
          <w:color w:val="000000"/>
          <w:szCs w:val="21"/>
        </w:rPr>
      </w:pPr>
    </w:p>
    <w:p>
      <w:pPr>
        <w:autoSpaceDE w:val="0"/>
        <w:autoSpaceDN w:val="0"/>
        <w:adjustRightInd w:val="0"/>
        <w:spacing w:line="360" w:lineRule="auto"/>
        <w:jc w:val="center"/>
        <w:rPr>
          <w:rFonts w:eastAsia="黑体"/>
          <w:bCs/>
          <w:sz w:val="44"/>
        </w:rPr>
      </w:pPr>
      <w:r>
        <w:rPr>
          <w:rFonts w:hint="eastAsia" w:eastAsia="黑体"/>
          <w:bCs/>
          <w:sz w:val="44"/>
        </w:rPr>
        <w:t>年度经营业绩证明</w:t>
      </w:r>
    </w:p>
    <w:p>
      <w:pPr>
        <w:spacing w:line="400" w:lineRule="exact"/>
        <w:jc w:val="center"/>
        <w:rPr>
          <w:rFonts w:ascii="宋体" w:hAnsi="宋体"/>
          <w:color w:val="000000"/>
          <w:szCs w:val="21"/>
        </w:rPr>
      </w:pPr>
    </w:p>
    <w:p>
      <w:pPr>
        <w:spacing w:before="156" w:beforeLines="50" w:after="156" w:afterLines="50"/>
        <w:ind w:firstLine="700" w:firstLineChars="250"/>
        <w:rPr>
          <w:rFonts w:ascii="宋体" w:hAnsi="宋体"/>
          <w:color w:val="000000"/>
          <w:sz w:val="28"/>
          <w:szCs w:val="28"/>
          <w:u w:val="single"/>
        </w:rPr>
      </w:pPr>
      <w:r>
        <w:rPr>
          <w:rFonts w:hint="eastAsia" w:ascii="宋体" w:hAnsi="宋体"/>
          <w:color w:val="000000"/>
          <w:sz w:val="28"/>
          <w:szCs w:val="28"/>
        </w:rPr>
        <w:t>兹证明</w:t>
      </w:r>
      <w:r>
        <w:rPr>
          <w:rFonts w:hint="eastAsia" w:ascii="宋体" w:hAnsi="宋体"/>
          <w:color w:val="000000"/>
          <w:sz w:val="28"/>
          <w:szCs w:val="28"/>
          <w:u w:val="single"/>
        </w:rPr>
        <w:t xml:space="preserve">               </w:t>
      </w:r>
      <w:r>
        <w:rPr>
          <w:rFonts w:hint="eastAsia" w:ascii="宋体" w:hAnsi="宋体"/>
          <w:color w:val="000000"/>
          <w:sz w:val="28"/>
          <w:szCs w:val="28"/>
        </w:rPr>
        <w:t>（公司）在</w:t>
      </w:r>
      <w:r>
        <w:rPr>
          <w:rFonts w:hint="eastAsia" w:ascii="宋体" w:hAnsi="宋体"/>
          <w:color w:val="000000"/>
          <w:sz w:val="28"/>
          <w:szCs w:val="28"/>
          <w:u w:val="single"/>
        </w:rPr>
        <w:t xml:space="preserve">       </w:t>
      </w:r>
      <w:r>
        <w:rPr>
          <w:rFonts w:hint="eastAsia" w:ascii="宋体" w:hAnsi="宋体"/>
          <w:color w:val="000000"/>
          <w:sz w:val="28"/>
          <w:szCs w:val="28"/>
        </w:rPr>
        <w:t>年</w:t>
      </w:r>
      <w:r>
        <w:rPr>
          <w:rFonts w:hint="eastAsia" w:ascii="宋体" w:hAnsi="宋体"/>
          <w:color w:val="000000"/>
          <w:sz w:val="28"/>
          <w:szCs w:val="28"/>
          <w:u w:val="single"/>
        </w:rPr>
        <w:t xml:space="preserve">   </w:t>
      </w:r>
      <w:r>
        <w:rPr>
          <w:rFonts w:hint="eastAsia" w:ascii="宋体" w:hAnsi="宋体"/>
          <w:color w:val="000000"/>
          <w:sz w:val="28"/>
          <w:szCs w:val="28"/>
        </w:rPr>
        <w:t>月至</w:t>
      </w:r>
      <w:r>
        <w:rPr>
          <w:rFonts w:hint="eastAsia" w:ascii="宋体" w:hAnsi="宋体"/>
          <w:color w:val="000000"/>
          <w:sz w:val="28"/>
          <w:szCs w:val="28"/>
          <w:u w:val="single"/>
        </w:rPr>
        <w:t xml:space="preserve">      </w:t>
      </w:r>
      <w:r>
        <w:rPr>
          <w:rFonts w:hint="eastAsia" w:ascii="宋体" w:hAnsi="宋体"/>
          <w:color w:val="000000"/>
          <w:sz w:val="28"/>
          <w:szCs w:val="28"/>
        </w:rPr>
        <w:t>年</w:t>
      </w:r>
      <w:r>
        <w:rPr>
          <w:rFonts w:hint="eastAsia" w:ascii="宋体" w:hAnsi="宋体"/>
          <w:color w:val="000000"/>
          <w:sz w:val="28"/>
          <w:szCs w:val="28"/>
          <w:u w:val="single"/>
        </w:rPr>
        <w:t xml:space="preserve">      </w:t>
      </w:r>
      <w:r>
        <w:rPr>
          <w:rFonts w:hint="eastAsia" w:ascii="宋体" w:hAnsi="宋体"/>
          <w:color w:val="000000"/>
          <w:sz w:val="28"/>
          <w:szCs w:val="28"/>
        </w:rPr>
        <w:t>月在我单位</w:t>
      </w:r>
      <w:r>
        <w:rPr>
          <w:rFonts w:hint="eastAsia" w:ascii="宋体" w:hAnsi="宋体"/>
          <w:color w:val="000000"/>
          <w:sz w:val="28"/>
          <w:szCs w:val="28"/>
          <w:u w:val="single"/>
        </w:rPr>
        <w:t xml:space="preserve">                  </w:t>
      </w:r>
      <w:r>
        <w:rPr>
          <w:rFonts w:hint="eastAsia" w:ascii="宋体" w:hAnsi="宋体"/>
          <w:color w:val="000000"/>
          <w:sz w:val="28"/>
          <w:szCs w:val="28"/>
        </w:rPr>
        <w:t>食堂（餐厅）经营服务，营业额为：</w:t>
      </w:r>
      <w:r>
        <w:rPr>
          <w:rFonts w:hint="eastAsia" w:ascii="宋体" w:hAnsi="宋体"/>
          <w:color w:val="000000"/>
          <w:sz w:val="28"/>
          <w:szCs w:val="28"/>
          <w:u w:val="single"/>
        </w:rPr>
        <w:t xml:space="preserve">           </w:t>
      </w:r>
      <w:r>
        <w:rPr>
          <w:rFonts w:hint="eastAsia" w:ascii="宋体" w:hAnsi="宋体"/>
          <w:color w:val="000000"/>
          <w:sz w:val="28"/>
          <w:szCs w:val="28"/>
        </w:rPr>
        <w:t xml:space="preserve"> 元</w:t>
      </w:r>
      <w:r>
        <w:rPr>
          <w:rFonts w:hint="eastAsia" w:ascii="宋体" w:hAnsi="宋体"/>
          <w:color w:val="000000"/>
          <w:sz w:val="28"/>
          <w:szCs w:val="28"/>
          <w:u w:val="single"/>
        </w:rPr>
        <w:t>（大写：        元）。</w:t>
      </w:r>
      <w:r>
        <w:rPr>
          <w:rFonts w:hint="eastAsia" w:ascii="宋体" w:hAnsi="宋体"/>
          <w:color w:val="000000"/>
          <w:sz w:val="28"/>
          <w:szCs w:val="28"/>
        </w:rPr>
        <w:t>出具单位联系人：</w:t>
      </w:r>
      <w:r>
        <w:rPr>
          <w:rFonts w:hint="eastAsia" w:ascii="宋体" w:hAnsi="宋体"/>
          <w:color w:val="000000"/>
          <w:sz w:val="28"/>
          <w:szCs w:val="28"/>
          <w:u w:val="single"/>
        </w:rPr>
        <w:t xml:space="preserve">                </w:t>
      </w:r>
      <w:r>
        <w:rPr>
          <w:rFonts w:hint="eastAsia" w:ascii="宋体" w:hAnsi="宋体"/>
          <w:color w:val="000000"/>
          <w:sz w:val="28"/>
          <w:szCs w:val="28"/>
        </w:rPr>
        <w:t>，办公电话：</w:t>
      </w:r>
      <w:r>
        <w:rPr>
          <w:rFonts w:hint="eastAsia" w:ascii="宋体" w:hAnsi="宋体"/>
          <w:color w:val="000000"/>
          <w:sz w:val="28"/>
          <w:szCs w:val="28"/>
          <w:u w:val="single"/>
        </w:rPr>
        <w:t xml:space="preserve">   </w:t>
      </w:r>
    </w:p>
    <w:p>
      <w:pPr>
        <w:spacing w:before="156" w:beforeLines="50" w:after="156" w:afterLines="50"/>
        <w:rPr>
          <w:rFonts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，手机号码：</w:t>
      </w:r>
      <w:r>
        <w:rPr>
          <w:rFonts w:hint="eastAsia" w:ascii="宋体" w:hAnsi="宋体"/>
          <w:color w:val="000000"/>
          <w:sz w:val="28"/>
          <w:szCs w:val="28"/>
          <w:u w:val="single"/>
        </w:rPr>
        <w:t xml:space="preserve">                   。</w:t>
      </w:r>
    </w:p>
    <w:p>
      <w:pPr>
        <w:spacing w:before="156" w:beforeLines="50" w:after="156" w:afterLines="50"/>
        <w:ind w:firstLine="700" w:firstLineChars="250"/>
        <w:rPr>
          <w:rFonts w:ascii="宋体" w:hAnsi="宋体"/>
          <w:color w:val="000000"/>
          <w:sz w:val="28"/>
          <w:szCs w:val="28"/>
        </w:rPr>
      </w:pPr>
      <w:r>
        <w:rPr>
          <w:rFonts w:hint="eastAsia" w:ascii="宋体" w:hAnsi="宋体"/>
          <w:color w:val="000000"/>
          <w:sz w:val="28"/>
          <w:szCs w:val="28"/>
        </w:rPr>
        <w:t>特此证明</w:t>
      </w:r>
    </w:p>
    <w:p>
      <w:pPr>
        <w:spacing w:before="156" w:beforeLines="50" w:after="156" w:afterLines="50"/>
        <w:rPr>
          <w:rFonts w:ascii="宋体" w:hAnsi="宋体"/>
          <w:color w:val="000000"/>
          <w:sz w:val="28"/>
          <w:szCs w:val="28"/>
        </w:rPr>
      </w:pPr>
      <w:r>
        <w:rPr>
          <w:rFonts w:hint="eastAsia" w:ascii="宋体" w:hAnsi="宋体"/>
          <w:color w:val="000000"/>
          <w:sz w:val="28"/>
          <w:szCs w:val="28"/>
        </w:rPr>
        <w:t xml:space="preserve">                                                           </w:t>
      </w:r>
    </w:p>
    <w:p>
      <w:pPr>
        <w:spacing w:before="156" w:beforeLines="50" w:after="156" w:afterLines="50"/>
        <w:ind w:right="560"/>
        <w:jc w:val="center"/>
        <w:rPr>
          <w:rFonts w:ascii="宋体" w:hAnsi="宋体"/>
          <w:color w:val="000000"/>
          <w:sz w:val="28"/>
          <w:szCs w:val="28"/>
        </w:rPr>
      </w:pPr>
      <w:r>
        <w:rPr>
          <w:rFonts w:ascii="宋体" w:hAnsi="宋体"/>
          <w:color w:val="000000"/>
          <w:sz w:val="28"/>
          <w:szCs w:val="28"/>
        </w:rPr>
        <w:t xml:space="preserve">                                            </w:t>
      </w:r>
      <w:r>
        <w:rPr>
          <w:rFonts w:hint="eastAsia" w:ascii="宋体" w:hAnsi="宋体"/>
          <w:color w:val="000000"/>
          <w:sz w:val="28"/>
          <w:szCs w:val="28"/>
        </w:rPr>
        <w:t>单位盖章</w:t>
      </w:r>
    </w:p>
    <w:p>
      <w:pPr>
        <w:spacing w:before="156" w:beforeLines="50" w:after="156" w:afterLines="50"/>
        <w:jc w:val="right"/>
        <w:rPr>
          <w:rFonts w:ascii="宋体" w:hAnsi="宋体"/>
          <w:color w:val="000000"/>
          <w:sz w:val="28"/>
          <w:szCs w:val="28"/>
        </w:rPr>
      </w:pPr>
    </w:p>
    <w:p>
      <w:pPr>
        <w:spacing w:before="156" w:beforeLines="50" w:after="156" w:afterLines="50"/>
        <w:ind w:firstLine="6440" w:firstLineChars="2300"/>
        <w:rPr>
          <w:rFonts w:ascii="宋体" w:hAnsi="宋体"/>
          <w:color w:val="000000"/>
          <w:sz w:val="28"/>
          <w:szCs w:val="28"/>
        </w:rPr>
      </w:pPr>
      <w:r>
        <w:rPr>
          <w:rFonts w:hint="eastAsia" w:ascii="宋体" w:hAnsi="宋体"/>
          <w:color w:val="000000"/>
          <w:sz w:val="28"/>
          <w:szCs w:val="28"/>
        </w:rPr>
        <w:t>年   月   日</w:t>
      </w:r>
    </w:p>
    <w:p>
      <w:pPr>
        <w:spacing w:line="400" w:lineRule="exact"/>
        <w:jc w:val="right"/>
        <w:rPr>
          <w:rFonts w:ascii="宋体" w:hAnsi="宋体"/>
          <w:color w:val="000000"/>
          <w:szCs w:val="21"/>
        </w:rPr>
      </w:pPr>
    </w:p>
    <w:p>
      <w:pPr>
        <w:widowControl/>
        <w:jc w:val="left"/>
        <w:rPr>
          <w:rFonts w:ascii="宋体" w:hAnsi="宋体"/>
          <w:color w:val="000000"/>
          <w:szCs w:val="21"/>
        </w:rPr>
      </w:pPr>
      <w:r>
        <w:rPr>
          <w:rFonts w:hint="eastAsia" w:ascii="宋体" w:hAnsi="宋体"/>
          <w:color w:val="000000"/>
          <w:szCs w:val="21"/>
        </w:rPr>
        <w:t>注：年度的起止时间可跨年，但必须连续12个月。</w:t>
      </w: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widowControl/>
        <w:jc w:val="left"/>
        <w:rPr>
          <w:rFonts w:ascii="宋体" w:hAnsi="宋体"/>
          <w:color w:val="000000"/>
          <w:szCs w:val="21"/>
        </w:rPr>
      </w:pPr>
    </w:p>
    <w:p>
      <w:pPr>
        <w:pStyle w:val="3"/>
        <w:rPr>
          <w:sz w:val="24"/>
          <w:szCs w:val="24"/>
        </w:rPr>
      </w:pPr>
      <w:bookmarkStart w:id="24" w:name="_Toc77795171"/>
      <w:r>
        <w:rPr>
          <w:rFonts w:hint="eastAsia"/>
          <w:sz w:val="24"/>
          <w:szCs w:val="24"/>
        </w:rPr>
        <w:t>附件6：服务团队成员情况汇总表</w:t>
      </w:r>
      <w:bookmarkEnd w:id="24"/>
    </w:p>
    <w:p>
      <w:pPr>
        <w:spacing w:before="312" w:beforeLines="100" w:after="156" w:afterLines="50"/>
        <w:jc w:val="center"/>
        <w:rPr>
          <w:rFonts w:eastAsia="黑体"/>
          <w:bCs/>
          <w:sz w:val="44"/>
        </w:rPr>
      </w:pPr>
      <w:r>
        <w:rPr>
          <w:rFonts w:hint="eastAsia" w:eastAsia="黑体"/>
          <w:bCs/>
          <w:sz w:val="44"/>
        </w:rPr>
        <w:t>拟投入的服务团队成员情况汇总表</w:t>
      </w:r>
    </w:p>
    <w:p>
      <w:pPr>
        <w:jc w:val="center"/>
        <w:rPr>
          <w:rFonts w:ascii="宋体" w:hAnsi="宋体"/>
          <w:bCs/>
          <w:sz w:val="28"/>
          <w:szCs w:val="28"/>
        </w:rPr>
      </w:pPr>
      <w:r>
        <w:rPr>
          <w:rFonts w:hint="eastAsia" w:ascii="宋体" w:hAnsi="宋体"/>
          <w:bCs/>
          <w:sz w:val="28"/>
          <w:szCs w:val="28"/>
        </w:rPr>
        <w:t>（附劳动合同</w:t>
      </w:r>
      <w:r>
        <w:rPr>
          <w:rFonts w:ascii="宋体" w:hAnsi="宋体"/>
          <w:bCs/>
          <w:sz w:val="28"/>
          <w:szCs w:val="28"/>
        </w:rPr>
        <w:t>、技能证书</w:t>
      </w:r>
      <w:r>
        <w:rPr>
          <w:rFonts w:hint="eastAsia" w:ascii="宋体" w:hAnsi="宋体"/>
          <w:bCs/>
          <w:sz w:val="28"/>
          <w:szCs w:val="28"/>
        </w:rPr>
        <w:t>、</w:t>
      </w:r>
      <w:r>
        <w:rPr>
          <w:rFonts w:ascii="宋体" w:hAnsi="宋体"/>
          <w:bCs/>
          <w:sz w:val="28"/>
          <w:szCs w:val="28"/>
        </w:rPr>
        <w:t>社保证明</w:t>
      </w:r>
      <w:r>
        <w:rPr>
          <w:rFonts w:hint="eastAsia" w:ascii="宋体" w:hAnsi="宋体"/>
          <w:bCs/>
          <w:sz w:val="28"/>
          <w:szCs w:val="28"/>
        </w:rPr>
        <w:t>等）</w:t>
      </w:r>
    </w:p>
    <w:tbl>
      <w:tblPr>
        <w:tblStyle w:val="19"/>
        <w:tblW w:w="86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4"/>
        <w:gridCol w:w="1578"/>
        <w:gridCol w:w="1721"/>
        <w:gridCol w:w="4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b/>
                <w:sz w:val="28"/>
                <w:szCs w:val="28"/>
                <w:lang w:val="zh-CN"/>
              </w:rPr>
            </w:pPr>
            <w:r>
              <w:rPr>
                <w:rFonts w:hint="eastAsia"/>
                <w:b/>
                <w:sz w:val="28"/>
                <w:szCs w:val="28"/>
                <w:lang w:val="zh-CN"/>
              </w:rPr>
              <w:t>序号</w:t>
            </w:r>
          </w:p>
        </w:tc>
        <w:tc>
          <w:tcPr>
            <w:tcW w:w="1578" w:type="dxa"/>
            <w:shd w:val="clear" w:color="auto" w:fill="auto"/>
          </w:tcPr>
          <w:p>
            <w:pPr>
              <w:spacing w:before="312" w:beforeLines="100" w:after="312" w:afterLines="100"/>
              <w:jc w:val="center"/>
              <w:rPr>
                <w:b/>
                <w:sz w:val="28"/>
                <w:szCs w:val="28"/>
                <w:lang w:val="zh-CN"/>
              </w:rPr>
            </w:pPr>
            <w:r>
              <w:rPr>
                <w:rFonts w:hint="eastAsia"/>
                <w:b/>
                <w:sz w:val="28"/>
                <w:szCs w:val="28"/>
                <w:lang w:val="zh-CN"/>
              </w:rPr>
              <w:t>姓名</w:t>
            </w:r>
          </w:p>
        </w:tc>
        <w:tc>
          <w:tcPr>
            <w:tcW w:w="1721" w:type="dxa"/>
            <w:shd w:val="clear" w:color="auto" w:fill="auto"/>
          </w:tcPr>
          <w:p>
            <w:pPr>
              <w:spacing w:before="312" w:beforeLines="100" w:after="312" w:afterLines="100"/>
              <w:jc w:val="center"/>
              <w:rPr>
                <w:b/>
                <w:sz w:val="28"/>
                <w:szCs w:val="28"/>
                <w:lang w:val="zh-CN"/>
              </w:rPr>
            </w:pPr>
            <w:r>
              <w:rPr>
                <w:rFonts w:hint="eastAsia"/>
                <w:b/>
                <w:sz w:val="28"/>
                <w:szCs w:val="28"/>
                <w:lang w:val="zh-CN"/>
              </w:rPr>
              <w:t>职务</w:t>
            </w:r>
          </w:p>
        </w:tc>
        <w:tc>
          <w:tcPr>
            <w:tcW w:w="4232" w:type="dxa"/>
            <w:shd w:val="clear" w:color="auto" w:fill="auto"/>
          </w:tcPr>
          <w:p>
            <w:pPr>
              <w:spacing w:before="312" w:beforeLines="100" w:after="312" w:afterLines="100"/>
              <w:jc w:val="center"/>
              <w:rPr>
                <w:b/>
                <w:sz w:val="28"/>
                <w:szCs w:val="28"/>
                <w:lang w:val="zh-CN"/>
              </w:rPr>
            </w:pPr>
            <w:r>
              <w:rPr>
                <w:rFonts w:hint="eastAsia"/>
                <w:b/>
                <w:sz w:val="28"/>
                <w:szCs w:val="28"/>
                <w:lang w:val="zh-CN"/>
              </w:rPr>
              <w:t>学历</w:t>
            </w:r>
            <w:r>
              <w:rPr>
                <w:b/>
                <w:sz w:val="28"/>
                <w:szCs w:val="28"/>
                <w:lang w:val="zh-CN"/>
              </w:rPr>
              <w:t>、</w:t>
            </w:r>
            <w:r>
              <w:rPr>
                <w:rFonts w:hint="eastAsia"/>
                <w:b/>
                <w:sz w:val="28"/>
                <w:szCs w:val="28"/>
                <w:lang w:val="zh-CN"/>
              </w:rPr>
              <w:t>专业</w:t>
            </w:r>
            <w:r>
              <w:rPr>
                <w:b/>
                <w:sz w:val="28"/>
                <w:szCs w:val="28"/>
                <w:lang w:val="zh-CN"/>
              </w:rPr>
              <w:t>技能</w:t>
            </w:r>
            <w:r>
              <w:rPr>
                <w:rFonts w:hint="eastAsia"/>
                <w:b/>
                <w:sz w:val="28"/>
                <w:szCs w:val="28"/>
                <w:lang w:val="zh-CN"/>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1</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2</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3</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4</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rFonts w:hint="eastAsia"/>
                <w:lang w:val="zh-CN"/>
              </w:rPr>
              <w:t>5</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r>
              <w:rPr>
                <w:lang w:val="zh-CN"/>
              </w:rPr>
              <w:t>……</w:t>
            </w: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dxa"/>
            <w:shd w:val="clear" w:color="auto" w:fill="auto"/>
          </w:tcPr>
          <w:p>
            <w:pPr>
              <w:spacing w:before="312" w:beforeLines="100" w:after="312" w:afterLines="100"/>
              <w:jc w:val="center"/>
              <w:rPr>
                <w:lang w:val="zh-CN"/>
              </w:rPr>
            </w:pPr>
          </w:p>
        </w:tc>
        <w:tc>
          <w:tcPr>
            <w:tcW w:w="1578" w:type="dxa"/>
            <w:shd w:val="clear" w:color="auto" w:fill="auto"/>
          </w:tcPr>
          <w:p>
            <w:pPr>
              <w:spacing w:before="312" w:beforeLines="100" w:after="312" w:afterLines="100"/>
              <w:jc w:val="center"/>
              <w:rPr>
                <w:lang w:val="zh-CN"/>
              </w:rPr>
            </w:pPr>
          </w:p>
        </w:tc>
        <w:tc>
          <w:tcPr>
            <w:tcW w:w="1721" w:type="dxa"/>
            <w:shd w:val="clear" w:color="auto" w:fill="auto"/>
          </w:tcPr>
          <w:p>
            <w:pPr>
              <w:spacing w:before="312" w:beforeLines="100" w:after="312" w:afterLines="100"/>
              <w:jc w:val="center"/>
              <w:rPr>
                <w:lang w:val="zh-CN"/>
              </w:rPr>
            </w:pPr>
          </w:p>
        </w:tc>
        <w:tc>
          <w:tcPr>
            <w:tcW w:w="4232" w:type="dxa"/>
            <w:shd w:val="clear" w:color="auto" w:fill="auto"/>
          </w:tcPr>
          <w:p>
            <w:pPr>
              <w:spacing w:before="312" w:beforeLines="100" w:after="312" w:afterLines="100"/>
              <w:jc w:val="center"/>
              <w:rPr>
                <w:lang w:val="zh-CN"/>
              </w:rPr>
            </w:pPr>
          </w:p>
        </w:tc>
      </w:tr>
    </w:tbl>
    <w:p>
      <w:pPr>
        <w:pStyle w:val="3"/>
        <w:rPr>
          <w:sz w:val="24"/>
          <w:szCs w:val="24"/>
        </w:rPr>
      </w:pPr>
      <w:bookmarkStart w:id="25" w:name="_Toc77795172"/>
      <w:r>
        <w:rPr>
          <w:rFonts w:hint="eastAsia"/>
          <w:sz w:val="24"/>
          <w:szCs w:val="24"/>
        </w:rPr>
        <w:t>附件7：食堂环境优化方案</w:t>
      </w:r>
      <w:bookmarkEnd w:id="25"/>
    </w:p>
    <w:p>
      <w:pPr>
        <w:widowControl/>
        <w:jc w:val="left"/>
        <w:rPr>
          <w:color w:val="000000"/>
          <w:szCs w:val="21"/>
        </w:rPr>
      </w:pPr>
    </w:p>
    <w:p>
      <w:pPr>
        <w:widowControl/>
        <w:jc w:val="left"/>
        <w:rPr>
          <w:color w:val="000000"/>
          <w:szCs w:val="21"/>
        </w:rPr>
      </w:pPr>
    </w:p>
    <w:p>
      <w:pPr>
        <w:widowControl/>
        <w:jc w:val="left"/>
        <w:rPr>
          <w:color w:val="000000"/>
          <w:szCs w:val="21"/>
        </w:rPr>
      </w:pPr>
    </w:p>
    <w:p>
      <w:pPr>
        <w:widowControl/>
        <w:jc w:val="left"/>
        <w:rPr>
          <w:color w:val="000000"/>
          <w:szCs w:val="21"/>
        </w:rPr>
      </w:pPr>
    </w:p>
    <w:p>
      <w:pPr>
        <w:widowControl/>
        <w:jc w:val="center"/>
        <w:rPr>
          <w:rFonts w:ascii="黑体" w:hAnsi="黑体" w:eastAsia="黑体" w:cs="黑体"/>
          <w:color w:val="000000"/>
          <w:sz w:val="44"/>
          <w:szCs w:val="44"/>
        </w:rPr>
      </w:pPr>
      <w:r>
        <w:rPr>
          <w:rFonts w:hint="eastAsia" w:ascii="黑体" w:hAnsi="黑体" w:eastAsia="黑体" w:cs="黑体"/>
          <w:color w:val="000000"/>
          <w:sz w:val="44"/>
          <w:szCs w:val="44"/>
        </w:rPr>
        <w:t>食堂环境优化方案</w:t>
      </w: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pStyle w:val="3"/>
        <w:rPr>
          <w:sz w:val="24"/>
          <w:szCs w:val="24"/>
        </w:rPr>
      </w:pPr>
      <w:bookmarkStart w:id="26" w:name="_Toc77795173"/>
      <w:r>
        <w:rPr>
          <w:rFonts w:hint="eastAsia"/>
          <w:sz w:val="24"/>
          <w:szCs w:val="24"/>
        </w:rPr>
        <w:t>附件8：智慧食堂优化方案</w:t>
      </w:r>
      <w:bookmarkEnd w:id="26"/>
    </w:p>
    <w:p>
      <w:pPr>
        <w:widowControl/>
        <w:rPr>
          <w:color w:val="000000"/>
          <w:szCs w:val="21"/>
        </w:rPr>
      </w:pPr>
    </w:p>
    <w:p>
      <w:pPr>
        <w:widowControl/>
        <w:rPr>
          <w:color w:val="000000"/>
          <w:szCs w:val="21"/>
        </w:rPr>
      </w:pPr>
    </w:p>
    <w:p>
      <w:pPr>
        <w:widowControl/>
        <w:rPr>
          <w:color w:val="000000"/>
          <w:szCs w:val="21"/>
        </w:rPr>
      </w:pPr>
    </w:p>
    <w:p>
      <w:pPr>
        <w:widowControl/>
        <w:jc w:val="center"/>
        <w:rPr>
          <w:rFonts w:ascii="黑体" w:hAnsi="黑体" w:eastAsia="黑体" w:cs="黑体"/>
          <w:color w:val="000000"/>
          <w:sz w:val="44"/>
          <w:szCs w:val="44"/>
        </w:rPr>
      </w:pPr>
      <w:r>
        <w:rPr>
          <w:rFonts w:hint="eastAsia" w:ascii="黑体" w:hAnsi="黑体" w:eastAsia="黑体" w:cs="黑体"/>
          <w:color w:val="000000"/>
          <w:sz w:val="44"/>
          <w:szCs w:val="44"/>
        </w:rPr>
        <w:t>智慧食堂优化方案</w:t>
      </w: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widowControl/>
        <w:rPr>
          <w:rFonts w:ascii="黑体" w:hAnsi="黑体" w:eastAsia="黑体" w:cs="黑体"/>
          <w:color w:val="000000"/>
          <w:sz w:val="44"/>
          <w:szCs w:val="44"/>
        </w:rPr>
      </w:pPr>
    </w:p>
    <w:p>
      <w:pPr>
        <w:spacing w:line="400" w:lineRule="exact"/>
        <w:rPr>
          <w:rFonts w:ascii="宋体" w:hAnsi="宋体" w:eastAsia="宋体"/>
          <w:b/>
          <w:color w:val="000000"/>
          <w:sz w:val="24"/>
        </w:rPr>
      </w:pPr>
    </w:p>
    <w:p>
      <w:pPr>
        <w:spacing w:line="400" w:lineRule="exact"/>
        <w:rPr>
          <w:rFonts w:ascii="宋体" w:hAnsi="宋体" w:eastAsia="宋体"/>
          <w:b/>
          <w:color w:val="000000"/>
          <w:sz w:val="24"/>
        </w:rPr>
      </w:pPr>
    </w:p>
    <w:p>
      <w:pPr>
        <w:pStyle w:val="3"/>
        <w:rPr>
          <w:sz w:val="24"/>
          <w:szCs w:val="24"/>
        </w:rPr>
      </w:pPr>
      <w:bookmarkStart w:id="27" w:name="_Toc77795174"/>
      <w:r>
        <w:rPr>
          <w:rFonts w:hint="eastAsia"/>
          <w:sz w:val="24"/>
          <w:szCs w:val="24"/>
        </w:rPr>
        <w:t>附件9：启东校区二期食堂一楼二楼设备清单</w:t>
      </w:r>
      <w:bookmarkEnd w:id="27"/>
    </w:p>
    <w:p>
      <w:pPr>
        <w:pStyle w:val="3"/>
        <w:rPr>
          <w:sz w:val="24"/>
          <w:szCs w:val="24"/>
        </w:rPr>
      </w:pPr>
      <w:bookmarkStart w:id="28" w:name="_Toc77795175"/>
      <w:r>
        <w:rPr>
          <w:rFonts w:hint="eastAsia"/>
          <w:sz w:val="24"/>
          <w:szCs w:val="24"/>
        </w:rPr>
        <w:t>附件1</w:t>
      </w:r>
      <w:r>
        <w:rPr>
          <w:sz w:val="24"/>
          <w:szCs w:val="24"/>
        </w:rPr>
        <w:t>0</w:t>
      </w:r>
      <w:r>
        <w:rPr>
          <w:rFonts w:hint="eastAsia"/>
          <w:sz w:val="24"/>
          <w:szCs w:val="24"/>
        </w:rPr>
        <w:t>：启东校区二期食堂一楼二楼平面图</w:t>
      </w:r>
      <w:bookmarkEnd w:id="28"/>
    </w:p>
    <w:p>
      <w:pPr>
        <w:pStyle w:val="50"/>
        <w:ind w:firstLine="0" w:firstLineChars="0"/>
        <w:rPr>
          <w:sz w:val="28"/>
          <w:szCs w:val="28"/>
        </w:rPr>
      </w:pPr>
      <w:r>
        <w:rPr>
          <w:rFonts w:hint="eastAsia"/>
          <w:sz w:val="28"/>
          <w:szCs w:val="28"/>
        </w:rPr>
        <w:t>（附件9、1</w:t>
      </w:r>
      <w:r>
        <w:rPr>
          <w:sz w:val="28"/>
          <w:szCs w:val="28"/>
        </w:rPr>
        <w:t>0</w:t>
      </w:r>
      <w:r>
        <w:rPr>
          <w:rFonts w:hint="eastAsia"/>
          <w:sz w:val="28"/>
          <w:szCs w:val="28"/>
        </w:rPr>
        <w:t>由于文件内容较多，单独列出在招标文件内。）</w:t>
      </w: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spacing w:line="360" w:lineRule="auto"/>
        <w:jc w:val="left"/>
        <w:rPr>
          <w:rFonts w:cs="宋体"/>
          <w:color w:val="000000"/>
          <w:sz w:val="24"/>
        </w:rPr>
      </w:pPr>
    </w:p>
    <w:p>
      <w:pPr>
        <w:pStyle w:val="3"/>
        <w:rPr>
          <w:sz w:val="24"/>
          <w:szCs w:val="24"/>
        </w:rPr>
      </w:pPr>
      <w:bookmarkStart w:id="29" w:name="_Toc77795176"/>
      <w:r>
        <w:rPr>
          <w:rFonts w:hint="eastAsia"/>
          <w:sz w:val="24"/>
          <w:szCs w:val="24"/>
        </w:rPr>
        <w:t>附件1</w:t>
      </w:r>
      <w:r>
        <w:rPr>
          <w:sz w:val="24"/>
          <w:szCs w:val="24"/>
        </w:rPr>
        <w:t>1</w:t>
      </w:r>
      <w:r>
        <w:rPr>
          <w:rFonts w:hint="eastAsia"/>
          <w:sz w:val="24"/>
          <w:szCs w:val="24"/>
        </w:rPr>
        <w:t>：</w:t>
      </w:r>
      <w:r>
        <w:rPr>
          <w:sz w:val="24"/>
          <w:szCs w:val="24"/>
        </w:rPr>
        <w:t>无重大违法记录声明</w:t>
      </w:r>
      <w:bookmarkEnd w:id="29"/>
    </w:p>
    <w:p>
      <w:pPr>
        <w:pStyle w:val="35"/>
        <w:jc w:val="center"/>
        <w:rPr>
          <w:b/>
          <w:color w:val="000000"/>
          <w:sz w:val="44"/>
          <w:szCs w:val="44"/>
        </w:rPr>
      </w:pPr>
      <w:r>
        <w:rPr>
          <w:rFonts w:hint="eastAsia"/>
          <w:b/>
          <w:color w:val="000000"/>
          <w:sz w:val="44"/>
          <w:szCs w:val="44"/>
        </w:rPr>
        <w:t>无重大违法记录声明</w:t>
      </w:r>
    </w:p>
    <w:p>
      <w:pPr>
        <w:pStyle w:val="35"/>
        <w:rPr>
          <w:b/>
          <w:color w:val="000000"/>
          <w:sz w:val="30"/>
          <w:szCs w:val="30"/>
        </w:rPr>
      </w:pPr>
    </w:p>
    <w:p>
      <w:pPr>
        <w:pStyle w:val="35"/>
        <w:spacing w:line="360" w:lineRule="auto"/>
        <w:rPr>
          <w:color w:val="000000"/>
          <w:sz w:val="28"/>
          <w:szCs w:val="28"/>
        </w:rPr>
      </w:pPr>
      <w:r>
        <w:rPr>
          <w:rFonts w:hint="eastAsia"/>
          <w:color w:val="000000"/>
          <w:sz w:val="28"/>
          <w:szCs w:val="28"/>
        </w:rPr>
        <w:t>南通大学招投标管理办公室：</w:t>
      </w:r>
    </w:p>
    <w:p>
      <w:pPr>
        <w:pStyle w:val="35"/>
        <w:spacing w:line="360" w:lineRule="auto"/>
        <w:ind w:firstLine="540"/>
        <w:rPr>
          <w:color w:val="000000"/>
          <w:sz w:val="28"/>
          <w:szCs w:val="28"/>
        </w:rPr>
      </w:pPr>
      <w:r>
        <w:rPr>
          <w:rFonts w:hint="eastAsia"/>
          <w:color w:val="000000"/>
          <w:sz w:val="28"/>
          <w:szCs w:val="28"/>
        </w:rPr>
        <w:t>我单位</w:t>
      </w:r>
      <w:r>
        <w:rPr>
          <w:rFonts w:hint="eastAsia"/>
          <w:color w:val="000000"/>
          <w:sz w:val="28"/>
          <w:szCs w:val="28"/>
          <w:u w:val="single"/>
        </w:rPr>
        <w:t xml:space="preserve">                         </w:t>
      </w:r>
      <w:r>
        <w:rPr>
          <w:rFonts w:hint="eastAsia"/>
          <w:color w:val="000000"/>
          <w:sz w:val="28"/>
          <w:szCs w:val="28"/>
        </w:rPr>
        <w:t>（供应商名称）参加本次采购活动前3年内在经营活动中</w:t>
      </w:r>
      <w:r>
        <w:rPr>
          <w:rFonts w:hint="eastAsia"/>
          <w:color w:val="000000"/>
          <w:sz w:val="28"/>
          <w:szCs w:val="28"/>
          <w:u w:val="single"/>
        </w:rPr>
        <w:t xml:space="preserve">         </w:t>
      </w:r>
      <w:r>
        <w:rPr>
          <w:rFonts w:hint="eastAsia"/>
          <w:color w:val="000000"/>
          <w:sz w:val="28"/>
          <w:szCs w:val="28"/>
        </w:rPr>
        <w:t>（有或没有）重大违法记录。</w:t>
      </w:r>
    </w:p>
    <w:p>
      <w:pPr>
        <w:pStyle w:val="35"/>
        <w:spacing w:line="360" w:lineRule="auto"/>
        <w:ind w:firstLine="540"/>
        <w:rPr>
          <w:color w:val="000000"/>
          <w:sz w:val="28"/>
          <w:szCs w:val="28"/>
        </w:rPr>
      </w:pPr>
      <w:r>
        <w:rPr>
          <w:rFonts w:hint="eastAsia"/>
          <w:color w:val="000000"/>
          <w:sz w:val="28"/>
          <w:szCs w:val="28"/>
        </w:rPr>
        <w:t xml:space="preserve">    </w:t>
      </w:r>
    </w:p>
    <w:p>
      <w:pPr>
        <w:pStyle w:val="35"/>
        <w:spacing w:line="360" w:lineRule="auto"/>
        <w:ind w:firstLine="540"/>
        <w:rPr>
          <w:color w:val="000000"/>
          <w:sz w:val="28"/>
          <w:szCs w:val="28"/>
        </w:rPr>
      </w:pPr>
    </w:p>
    <w:p>
      <w:pPr>
        <w:pStyle w:val="35"/>
        <w:spacing w:line="360" w:lineRule="auto"/>
        <w:ind w:firstLine="540"/>
        <w:rPr>
          <w:color w:val="000000"/>
          <w:sz w:val="28"/>
          <w:szCs w:val="28"/>
        </w:rPr>
      </w:pPr>
    </w:p>
    <w:p>
      <w:pPr>
        <w:pStyle w:val="35"/>
        <w:spacing w:line="360" w:lineRule="auto"/>
        <w:ind w:firstLine="540"/>
        <w:rPr>
          <w:color w:val="000000"/>
          <w:sz w:val="28"/>
          <w:szCs w:val="28"/>
        </w:rPr>
      </w:pPr>
      <w:r>
        <w:rPr>
          <w:rFonts w:hint="eastAsia"/>
          <w:color w:val="000000"/>
          <w:sz w:val="28"/>
          <w:szCs w:val="28"/>
        </w:rPr>
        <w:t xml:space="preserve">                      声明人：</w:t>
      </w:r>
      <w:r>
        <w:rPr>
          <w:rFonts w:hint="eastAsia"/>
          <w:color w:val="000000"/>
          <w:sz w:val="28"/>
          <w:szCs w:val="28"/>
          <w:u w:val="single"/>
        </w:rPr>
        <w:t xml:space="preserve">              </w:t>
      </w:r>
      <w:r>
        <w:rPr>
          <w:rFonts w:hint="eastAsia"/>
          <w:color w:val="000000"/>
          <w:sz w:val="28"/>
          <w:szCs w:val="28"/>
        </w:rPr>
        <w:t>（盖章）</w:t>
      </w:r>
    </w:p>
    <w:p>
      <w:pPr>
        <w:pStyle w:val="35"/>
        <w:spacing w:line="360" w:lineRule="auto"/>
        <w:ind w:firstLine="540"/>
        <w:rPr>
          <w:color w:val="000000"/>
          <w:sz w:val="28"/>
          <w:szCs w:val="28"/>
        </w:rPr>
      </w:pPr>
      <w:r>
        <w:rPr>
          <w:rFonts w:hint="eastAsia"/>
          <w:color w:val="000000"/>
          <w:sz w:val="28"/>
          <w:szCs w:val="28"/>
        </w:rPr>
        <w:t xml:space="preserve">                             年     月     日</w:t>
      </w:r>
    </w:p>
    <w:p>
      <w:pPr>
        <w:pStyle w:val="35"/>
        <w:ind w:firstLine="540"/>
        <w:rPr>
          <w:color w:val="000000"/>
          <w:sz w:val="28"/>
          <w:szCs w:val="28"/>
        </w:rPr>
      </w:pPr>
    </w:p>
    <w:p/>
    <w:p/>
    <w:p/>
    <w:p/>
    <w:p/>
    <w:p/>
    <w:p/>
    <w:p/>
    <w:p/>
    <w:p/>
    <w:p/>
    <w:p/>
    <w:p/>
    <w:p/>
    <w:p/>
    <w:p/>
    <w:p>
      <w:pPr>
        <w:pStyle w:val="3"/>
        <w:rPr>
          <w:sz w:val="24"/>
          <w:szCs w:val="24"/>
        </w:rPr>
      </w:pPr>
      <w:bookmarkStart w:id="30" w:name="_Toc77795177"/>
      <w:r>
        <w:rPr>
          <w:rFonts w:hint="eastAsia"/>
          <w:sz w:val="24"/>
          <w:szCs w:val="24"/>
        </w:rPr>
        <w:t>附件1</w:t>
      </w:r>
      <w:r>
        <w:rPr>
          <w:sz w:val="24"/>
          <w:szCs w:val="24"/>
        </w:rPr>
        <w:t>2</w:t>
      </w:r>
      <w:r>
        <w:rPr>
          <w:rFonts w:hint="eastAsia"/>
          <w:sz w:val="24"/>
          <w:szCs w:val="24"/>
        </w:rPr>
        <w:t>：诚信承诺书</w:t>
      </w:r>
      <w:bookmarkEnd w:id="30"/>
    </w:p>
    <w:p>
      <w:pPr>
        <w:pStyle w:val="35"/>
        <w:spacing w:line="360" w:lineRule="auto"/>
        <w:jc w:val="center"/>
        <w:rPr>
          <w:color w:val="000000"/>
          <w:sz w:val="44"/>
          <w:szCs w:val="44"/>
        </w:rPr>
      </w:pPr>
      <w:r>
        <w:rPr>
          <w:rFonts w:hint="eastAsia"/>
          <w:b/>
          <w:color w:val="000000"/>
          <w:sz w:val="44"/>
          <w:szCs w:val="44"/>
        </w:rPr>
        <w:t>诚信承诺书</w:t>
      </w:r>
    </w:p>
    <w:p>
      <w:pPr>
        <w:pStyle w:val="35"/>
        <w:spacing w:line="360" w:lineRule="auto"/>
        <w:rPr>
          <w:color w:val="000000"/>
          <w:sz w:val="28"/>
          <w:szCs w:val="28"/>
        </w:rPr>
      </w:pPr>
      <w:r>
        <w:rPr>
          <w:rFonts w:hint="eastAsia"/>
          <w:color w:val="000000"/>
          <w:sz w:val="28"/>
          <w:szCs w:val="28"/>
        </w:rPr>
        <w:t>南通大学招投标管理办公室：</w:t>
      </w:r>
    </w:p>
    <w:p>
      <w:pPr>
        <w:pStyle w:val="35"/>
        <w:spacing w:line="360" w:lineRule="auto"/>
        <w:ind w:firstLine="540"/>
        <w:rPr>
          <w:color w:val="000000"/>
          <w:sz w:val="28"/>
          <w:szCs w:val="28"/>
        </w:rPr>
      </w:pPr>
      <w:r>
        <w:rPr>
          <w:rFonts w:hint="eastAsia"/>
          <w:color w:val="000000"/>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sz w:val="28"/>
          <w:szCs w:val="28"/>
        </w:rPr>
        <w:t>全国公共资源交易平台列入黑名单。</w:t>
      </w:r>
    </w:p>
    <w:p>
      <w:pPr>
        <w:pStyle w:val="35"/>
        <w:spacing w:line="360" w:lineRule="auto"/>
        <w:ind w:firstLine="540"/>
        <w:rPr>
          <w:color w:val="000000"/>
          <w:sz w:val="28"/>
          <w:szCs w:val="28"/>
        </w:rPr>
      </w:pPr>
      <w:r>
        <w:rPr>
          <w:rFonts w:hint="eastAsia"/>
          <w:color w:val="000000"/>
          <w:sz w:val="28"/>
          <w:szCs w:val="28"/>
        </w:rPr>
        <w:t>如果我公司经本项目评标委员会评定为中标候选人，在公示期间被他人举报并经核实，确认我公司违反以上承诺内容之一，则我公司自动放弃成交资格，三年内不参加贵单位任何经济活动。</w:t>
      </w:r>
    </w:p>
    <w:p>
      <w:pPr>
        <w:pStyle w:val="35"/>
        <w:spacing w:line="360" w:lineRule="auto"/>
        <w:ind w:firstLine="540"/>
        <w:rPr>
          <w:color w:val="000000"/>
          <w:sz w:val="28"/>
          <w:szCs w:val="28"/>
        </w:rPr>
      </w:pPr>
    </w:p>
    <w:p>
      <w:pPr>
        <w:pStyle w:val="35"/>
        <w:spacing w:line="360" w:lineRule="auto"/>
        <w:ind w:firstLine="540"/>
        <w:rPr>
          <w:color w:val="000000"/>
          <w:sz w:val="28"/>
          <w:szCs w:val="28"/>
        </w:rPr>
      </w:pPr>
    </w:p>
    <w:p>
      <w:pPr>
        <w:pStyle w:val="35"/>
        <w:spacing w:line="360" w:lineRule="auto"/>
        <w:ind w:firstLine="540"/>
        <w:rPr>
          <w:color w:val="000000"/>
          <w:sz w:val="28"/>
          <w:szCs w:val="28"/>
          <w:u w:val="single"/>
        </w:rPr>
      </w:pPr>
      <w:r>
        <w:rPr>
          <w:rFonts w:hint="eastAsia"/>
          <w:color w:val="000000"/>
          <w:sz w:val="28"/>
          <w:szCs w:val="28"/>
        </w:rPr>
        <w:t xml:space="preserve">                  投标人（盖章）:</w:t>
      </w:r>
      <w:r>
        <w:rPr>
          <w:rFonts w:hint="eastAsia"/>
          <w:color w:val="000000"/>
          <w:sz w:val="28"/>
          <w:szCs w:val="28"/>
          <w:u w:val="single"/>
        </w:rPr>
        <w:t xml:space="preserve">               </w:t>
      </w:r>
    </w:p>
    <w:p>
      <w:pPr>
        <w:pStyle w:val="35"/>
        <w:spacing w:line="360" w:lineRule="auto"/>
        <w:ind w:firstLine="540"/>
        <w:rPr>
          <w:color w:val="000000"/>
          <w:sz w:val="28"/>
          <w:szCs w:val="28"/>
        </w:rPr>
      </w:pPr>
      <w:r>
        <w:rPr>
          <w:rFonts w:hint="eastAsia"/>
          <w:color w:val="000000"/>
          <w:sz w:val="28"/>
          <w:szCs w:val="28"/>
        </w:rPr>
        <w:t xml:space="preserve">                  法定代表人或被授权代表人（签字）：</w:t>
      </w:r>
      <w:r>
        <w:rPr>
          <w:rFonts w:hint="eastAsia"/>
          <w:color w:val="000000"/>
          <w:sz w:val="28"/>
          <w:szCs w:val="28"/>
          <w:u w:val="single"/>
        </w:rPr>
        <w:t xml:space="preserve">      </w:t>
      </w:r>
      <w:r>
        <w:rPr>
          <w:color w:val="000000"/>
          <w:sz w:val="28"/>
          <w:szCs w:val="28"/>
          <w:u w:val="single"/>
        </w:rPr>
        <w:t xml:space="preserve">     </w:t>
      </w:r>
    </w:p>
    <w:p>
      <w:pPr>
        <w:pStyle w:val="35"/>
        <w:spacing w:line="360" w:lineRule="auto"/>
        <w:ind w:firstLine="540"/>
        <w:rPr>
          <w:color w:val="000000"/>
          <w:sz w:val="28"/>
          <w:szCs w:val="28"/>
        </w:rPr>
      </w:pPr>
    </w:p>
    <w:p>
      <w:pPr>
        <w:pStyle w:val="35"/>
        <w:spacing w:line="360" w:lineRule="auto"/>
        <w:ind w:firstLine="540"/>
        <w:rPr>
          <w:color w:val="000000"/>
          <w:sz w:val="28"/>
          <w:szCs w:val="28"/>
        </w:rPr>
      </w:pPr>
    </w:p>
    <w:p>
      <w:pPr>
        <w:pStyle w:val="35"/>
        <w:spacing w:line="360" w:lineRule="auto"/>
        <w:ind w:firstLine="540"/>
        <w:rPr>
          <w:color w:val="000000"/>
          <w:sz w:val="28"/>
          <w:szCs w:val="28"/>
        </w:rPr>
      </w:pPr>
      <w:r>
        <w:rPr>
          <w:rFonts w:hint="eastAsia"/>
          <w:color w:val="000000"/>
          <w:sz w:val="28"/>
          <w:szCs w:val="28"/>
        </w:rPr>
        <w:t xml:space="preserve">                                年    月    日</w:t>
      </w:r>
    </w:p>
    <w:p>
      <w:pPr>
        <w:pStyle w:val="50"/>
        <w:ind w:firstLine="420"/>
      </w:pPr>
    </w:p>
    <w:p/>
    <w:sectPr>
      <w:footerReference r:id="rId5" w:type="default"/>
      <w:footerReference r:id="rId6" w:type="even"/>
      <w:pgSz w:w="11906" w:h="16838"/>
      <w:pgMar w:top="1418" w:right="1304" w:bottom="1418" w:left="1304" w:header="851" w:footer="992" w:gutter="0"/>
      <w:pgNumType w:chapStyle="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AFF" w:usb1="C0007843" w:usb2="00000009" w:usb3="00000000" w:csb0="400001FF" w:csb1="FFFF0000"/>
  </w:font>
  <w:font w:name="Calibri Light">
    <w:altName w:val="Calibri"/>
    <w:panose1 w:val="020F0302020000030204"/>
    <w:charset w:val="00"/>
    <w:family w:val="swiss"/>
    <w:pitch w:val="default"/>
    <w:sig w:usb0="00000000" w:usb1="00000000" w:usb2="00000009" w:usb3="00000000" w:csb0="000001FF" w:csb1="00000000"/>
  </w:font>
  <w:font w:name="Courier New">
    <w:panose1 w:val="02070309020205020404"/>
    <w:charset w:val="00"/>
    <w:family w:val="modern"/>
    <w:pitch w:val="default"/>
    <w:sig w:usb0="E0002AFF" w:usb1="C0007843" w:usb2="00000009" w:usb3="00000000" w:csb0="400001FF" w:csb1="FFFF0000"/>
  </w:font>
  <w:font w:name="Helvetica">
    <w:altName w:val="Arial"/>
    <w:panose1 w:val="020B0604020000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000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2</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G7Y9/3KAQAAkgMAAA4AAAAAAAAAAQAgAAAAHwEAAGRycy9lMm9E&#10;b2MueG1sUEsFBgAAAAAGAAYAWQEAAFsFA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2</w:t>
                    </w:r>
                    <w:r>
                      <w:fldChar w:fldCharType="end"/>
                    </w:r>
                  </w:p>
                </w:txbxContent>
              </v:textbox>
            </v:rect>
          </w:pict>
        </mc:Fallback>
      </mc:AlternateContent>
    </w: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20</w:t>
                          </w:r>
                          <w:r>
                            <w:fldChar w:fldCharType="end"/>
                          </w:r>
                        </w:p>
                      </w:txbxContent>
                    </wps:txbx>
                    <wps:bodyPr vert="horz" wrap="none" lIns="0" tIns="0" rIns="0" bIns="0" anchor="t">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j2fYzMkBAACSAwAADgAAAAAAAAABACAAAAAfAQAAZHJzL2Uyb0Rv&#10;Yy54bWxQSwUGAAAAAAYABgBZAQAAWgU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20</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13"/>
                          </w:pPr>
                          <w:r>
                            <w:fldChar w:fldCharType="begin"/>
                          </w:r>
                          <w:r>
                            <w:instrText xml:space="preserve"> PAGE  \* MERGEFORMAT </w:instrText>
                          </w:r>
                          <w:r>
                            <w:fldChar w:fldCharType="separate"/>
                          </w:r>
                          <w:r>
                            <w:t>27</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Cw8BU3KAQAAkgMAAA4AAAAAAAAAAQAgAAAAHwEAAGRycy9lMm9E&#10;b2MueG1sUEsFBgAAAAAGAAYAWQEAAFsFA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27</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pStyle w:val="6"/>
      <w:suff w:val="space"/>
      <w:lvlText w:val="图%1."/>
      <w:lvlJc w:val="left"/>
      <w:pPr>
        <w:ind w:left="4248" w:hanging="420"/>
      </w:pPr>
      <w:rPr>
        <w:rFonts w:ascii="Times New Roman" w:hAnsi="Times New Roman" w:cs="Times New Roman"/>
        <w:b w:val="0"/>
        <w:bCs w:val="0"/>
        <w:i w:val="0"/>
        <w:iCs w:val="0"/>
        <w:caps w:val="0"/>
        <w:smallCaps w:val="0"/>
        <w:snapToGrid w:val="0"/>
        <w:vanish w:val="0"/>
        <w:color w:val="000000"/>
        <w:spacing w:val="0"/>
        <w:w w:val="0"/>
        <w:kern w:val="0"/>
        <w:position w:val="0"/>
        <w:sz w:val="0"/>
        <w:szCs w:val="0"/>
        <w:u w:val="none" w:color="000000"/>
        <w:shd w:val="clear" w:color="000000" w:fill="000000"/>
        <w:vertAlign w:val="baseline"/>
        <w:lang w:val="zh-CN" w:eastAsia="zh-CN" w:bidi="zh-CN"/>
      </w:rPr>
    </w:lvl>
    <w:lvl w:ilvl="1" w:tentative="0">
      <w:start w:val="1"/>
      <w:numFmt w:val="lowerLetter"/>
      <w:lvlText w:val="%2)"/>
      <w:lvlJc w:val="left"/>
      <w:pPr>
        <w:ind w:left="2683" w:hanging="420"/>
      </w:pPr>
    </w:lvl>
    <w:lvl w:ilvl="2" w:tentative="0">
      <w:start w:val="1"/>
      <w:numFmt w:val="lowerRoman"/>
      <w:lvlText w:val="%3."/>
      <w:lvlJc w:val="right"/>
      <w:pPr>
        <w:ind w:left="3103" w:hanging="420"/>
      </w:pPr>
    </w:lvl>
    <w:lvl w:ilvl="3" w:tentative="0">
      <w:start w:val="1"/>
      <w:numFmt w:val="decimal"/>
      <w:lvlText w:val="%4."/>
      <w:lvlJc w:val="left"/>
      <w:pPr>
        <w:ind w:left="3523" w:hanging="420"/>
      </w:pPr>
    </w:lvl>
    <w:lvl w:ilvl="4" w:tentative="0">
      <w:start w:val="1"/>
      <w:numFmt w:val="lowerLetter"/>
      <w:lvlText w:val="%5)"/>
      <w:lvlJc w:val="left"/>
      <w:pPr>
        <w:ind w:left="3943" w:hanging="420"/>
      </w:pPr>
    </w:lvl>
    <w:lvl w:ilvl="5" w:tentative="0">
      <w:start w:val="1"/>
      <w:numFmt w:val="lowerRoman"/>
      <w:lvlText w:val="%6."/>
      <w:lvlJc w:val="right"/>
      <w:pPr>
        <w:ind w:left="4363" w:hanging="420"/>
      </w:pPr>
    </w:lvl>
    <w:lvl w:ilvl="6" w:tentative="0">
      <w:start w:val="1"/>
      <w:numFmt w:val="decimal"/>
      <w:lvlText w:val="%7."/>
      <w:lvlJc w:val="left"/>
      <w:pPr>
        <w:ind w:left="4783" w:hanging="420"/>
      </w:pPr>
    </w:lvl>
    <w:lvl w:ilvl="7" w:tentative="0">
      <w:start w:val="1"/>
      <w:numFmt w:val="lowerLetter"/>
      <w:lvlText w:val="%8)"/>
      <w:lvlJc w:val="left"/>
      <w:pPr>
        <w:ind w:left="5203" w:hanging="420"/>
      </w:pPr>
    </w:lvl>
    <w:lvl w:ilvl="8" w:tentative="0">
      <w:start w:val="1"/>
      <w:numFmt w:val="lowerRoman"/>
      <w:lvlText w:val="%9."/>
      <w:lvlJc w:val="right"/>
      <w:pPr>
        <w:ind w:left="56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3DE768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7"/>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8"/>
    <w:qFormat/>
    <w:uiPriority w:val="0"/>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29"/>
    <w:qFormat/>
    <w:uiPriority w:val="9"/>
    <w:pPr>
      <w:keepNext/>
      <w:keepLines/>
      <w:spacing w:before="280" w:after="290" w:line="376" w:lineRule="auto"/>
      <w:ind w:left="425"/>
      <w:outlineLvl w:val="3"/>
    </w:pPr>
    <w:rPr>
      <w:rFonts w:ascii="Calibri Light" w:hAnsi="Calibri Light" w:cs="宋体"/>
      <w:b/>
      <w:bCs/>
      <w:sz w:val="28"/>
      <w:szCs w:val="28"/>
    </w:rPr>
  </w:style>
  <w:style w:type="character" w:default="1" w:styleId="21">
    <w:name w:val="Default Paragraph Font"/>
    <w:qFormat/>
    <w:uiPriority w:val="1"/>
  </w:style>
  <w:style w:type="table" w:default="1" w:styleId="19">
    <w:name w:val="Normal Table"/>
    <w:uiPriority w:val="99"/>
    <w:tblPr>
      <w:tblCellMar>
        <w:top w:w="0" w:type="dxa"/>
        <w:left w:w="108" w:type="dxa"/>
        <w:bottom w:w="0" w:type="dxa"/>
        <w:right w:w="108" w:type="dxa"/>
      </w:tblCellMar>
    </w:tblPr>
  </w:style>
  <w:style w:type="paragraph" w:styleId="6">
    <w:name w:val="caption"/>
    <w:basedOn w:val="1"/>
    <w:next w:val="1"/>
    <w:link w:val="52"/>
    <w:qFormat/>
    <w:uiPriority w:val="35"/>
    <w:pPr>
      <w:numPr>
        <w:ilvl w:val="0"/>
        <w:numId w:val="1"/>
      </w:numPr>
      <w:spacing w:line="360" w:lineRule="auto"/>
      <w:jc w:val="center"/>
    </w:pPr>
    <w:rPr>
      <w:szCs w:val="20"/>
    </w:rPr>
  </w:style>
  <w:style w:type="paragraph" w:styleId="7">
    <w:name w:val="Document Map"/>
    <w:basedOn w:val="1"/>
    <w:link w:val="39"/>
    <w:qFormat/>
    <w:uiPriority w:val="99"/>
    <w:pPr>
      <w:shd w:val="clear" w:color="auto" w:fill="000080"/>
    </w:pPr>
    <w:rPr>
      <w:kern w:val="0"/>
      <w:sz w:val="2"/>
    </w:rPr>
  </w:style>
  <w:style w:type="paragraph" w:styleId="8">
    <w:name w:val="annotation text"/>
    <w:basedOn w:val="1"/>
    <w:link w:val="55"/>
    <w:qFormat/>
    <w:uiPriority w:val="99"/>
    <w:pPr>
      <w:jc w:val="left"/>
    </w:pPr>
  </w:style>
  <w:style w:type="paragraph" w:styleId="9">
    <w:name w:val="Body Text"/>
    <w:basedOn w:val="1"/>
    <w:link w:val="33"/>
    <w:qFormat/>
    <w:uiPriority w:val="99"/>
    <w:pPr>
      <w:spacing w:after="120"/>
    </w:pPr>
    <w:rPr>
      <w:sz w:val="24"/>
      <w:szCs w:val="20"/>
    </w:rPr>
  </w:style>
  <w:style w:type="paragraph" w:styleId="10">
    <w:name w:val="Plain Text"/>
    <w:basedOn w:val="1"/>
    <w:link w:val="37"/>
    <w:qFormat/>
    <w:uiPriority w:val="99"/>
    <w:pPr>
      <w:jc w:val="left"/>
    </w:pPr>
    <w:rPr>
      <w:rFonts w:ascii="宋体" w:hAnsi="Courier New"/>
      <w:kern w:val="0"/>
      <w:sz w:val="20"/>
      <w:szCs w:val="21"/>
    </w:rPr>
  </w:style>
  <w:style w:type="paragraph" w:styleId="11">
    <w:name w:val="Date"/>
    <w:basedOn w:val="1"/>
    <w:next w:val="1"/>
    <w:link w:val="30"/>
    <w:qFormat/>
    <w:uiPriority w:val="99"/>
    <w:pPr>
      <w:ind w:left="2500" w:leftChars="2500"/>
    </w:pPr>
    <w:rPr>
      <w:rFonts w:eastAsia="黑体"/>
      <w:kern w:val="0"/>
      <w:sz w:val="24"/>
      <w:szCs w:val="20"/>
    </w:rPr>
  </w:style>
  <w:style w:type="paragraph" w:styleId="12">
    <w:name w:val="Balloon Text"/>
    <w:basedOn w:val="1"/>
    <w:link w:val="40"/>
    <w:qFormat/>
    <w:uiPriority w:val="0"/>
    <w:rPr>
      <w:sz w:val="18"/>
      <w:szCs w:val="20"/>
    </w:rPr>
  </w:style>
  <w:style w:type="paragraph" w:styleId="13">
    <w:name w:val="footer"/>
    <w:basedOn w:val="1"/>
    <w:link w:val="32"/>
    <w:qFormat/>
    <w:uiPriority w:val="99"/>
    <w:pPr>
      <w:tabs>
        <w:tab w:val="center" w:pos="4153"/>
        <w:tab w:val="right" w:pos="8306"/>
      </w:tabs>
      <w:snapToGrid w:val="0"/>
      <w:jc w:val="left"/>
    </w:pPr>
    <w:rPr>
      <w:sz w:val="18"/>
      <w:szCs w:val="20"/>
    </w:rPr>
  </w:style>
  <w:style w:type="paragraph" w:styleId="14">
    <w:name w:val="header"/>
    <w:basedOn w:val="1"/>
    <w:link w:val="31"/>
    <w:qFormat/>
    <w:uiPriority w:val="99"/>
    <w:pPr>
      <w:pBdr>
        <w:bottom w:val="single" w:color="auto" w:sz="6" w:space="1"/>
      </w:pBdr>
      <w:tabs>
        <w:tab w:val="center" w:pos="4153"/>
        <w:tab w:val="right" w:pos="8306"/>
      </w:tabs>
      <w:snapToGrid w:val="0"/>
      <w:jc w:val="center"/>
    </w:pPr>
    <w:rPr>
      <w:sz w:val="18"/>
      <w:szCs w:val="20"/>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paragraph" w:styleId="17">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18">
    <w:name w:val="annotation subject"/>
    <w:basedOn w:val="8"/>
    <w:next w:val="8"/>
    <w:link w:val="56"/>
    <w:qFormat/>
    <w:uiPriority w:val="99"/>
    <w:rPr>
      <w:b/>
      <w:bCs/>
    </w:rPr>
  </w:style>
  <w:style w:type="table" w:styleId="20">
    <w:name w:val="Table Grid"/>
    <w:basedOn w:val="19"/>
    <w:qFormat/>
    <w:uiPriority w:val="3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page number"/>
    <w:qFormat/>
    <w:uiPriority w:val="99"/>
    <w:rPr>
      <w:rFonts w:cs="Times New Roman"/>
    </w:rPr>
  </w:style>
  <w:style w:type="character" w:styleId="23">
    <w:name w:val="FollowedHyperlink"/>
    <w:qFormat/>
    <w:uiPriority w:val="99"/>
    <w:rPr>
      <w:rFonts w:cs="Times New Roman"/>
      <w:color w:val="800080"/>
      <w:u w:val="single"/>
    </w:rPr>
  </w:style>
  <w:style w:type="character" w:styleId="24">
    <w:name w:val="Hyperlink"/>
    <w:qFormat/>
    <w:uiPriority w:val="99"/>
    <w:rPr>
      <w:rFonts w:cs="Times New Roman"/>
      <w:color w:val="0000FF"/>
      <w:u w:val="single"/>
    </w:rPr>
  </w:style>
  <w:style w:type="character" w:styleId="25">
    <w:name w:val="annotation reference"/>
    <w:basedOn w:val="21"/>
    <w:qFormat/>
    <w:uiPriority w:val="99"/>
    <w:rPr>
      <w:sz w:val="21"/>
      <w:szCs w:val="21"/>
    </w:rPr>
  </w:style>
  <w:style w:type="character" w:customStyle="1" w:styleId="26">
    <w:name w:val="标题 1 字符"/>
    <w:basedOn w:val="21"/>
    <w:link w:val="2"/>
    <w:qFormat/>
    <w:uiPriority w:val="9"/>
    <w:rPr>
      <w:rFonts w:ascii="Times New Roman" w:hAnsi="Times New Roman" w:eastAsia="宋体" w:cs="Times New Roman"/>
      <w:b/>
      <w:bCs/>
      <w:kern w:val="44"/>
      <w:sz w:val="44"/>
      <w:szCs w:val="44"/>
    </w:rPr>
  </w:style>
  <w:style w:type="character" w:customStyle="1" w:styleId="27">
    <w:name w:val="标题 2 字符"/>
    <w:basedOn w:val="21"/>
    <w:link w:val="3"/>
    <w:qFormat/>
    <w:uiPriority w:val="0"/>
    <w:rPr>
      <w:rFonts w:ascii="Cambria" w:hAnsi="Cambria" w:eastAsia="宋体" w:cs="Times New Roman"/>
      <w:b/>
      <w:bCs/>
      <w:sz w:val="32"/>
      <w:szCs w:val="32"/>
    </w:rPr>
  </w:style>
  <w:style w:type="character" w:customStyle="1" w:styleId="28">
    <w:name w:val="标题 3 字符"/>
    <w:basedOn w:val="21"/>
    <w:link w:val="4"/>
    <w:qFormat/>
    <w:uiPriority w:val="0"/>
    <w:rPr>
      <w:rFonts w:ascii="Arial" w:hAnsi="Arial" w:eastAsia="宋体" w:cs="宋体"/>
      <w:b/>
      <w:bCs/>
      <w:sz w:val="32"/>
      <w:szCs w:val="32"/>
    </w:rPr>
  </w:style>
  <w:style w:type="character" w:customStyle="1" w:styleId="29">
    <w:name w:val="标题 4 字符"/>
    <w:basedOn w:val="21"/>
    <w:link w:val="5"/>
    <w:qFormat/>
    <w:uiPriority w:val="9"/>
    <w:rPr>
      <w:rFonts w:ascii="Calibri Light" w:hAnsi="Calibri Light" w:eastAsia="宋体" w:cs="宋体"/>
      <w:b/>
      <w:bCs/>
      <w:sz w:val="28"/>
      <w:szCs w:val="28"/>
    </w:rPr>
  </w:style>
  <w:style w:type="character" w:customStyle="1" w:styleId="30">
    <w:name w:val="日期 字符"/>
    <w:basedOn w:val="21"/>
    <w:link w:val="11"/>
    <w:qFormat/>
    <w:uiPriority w:val="99"/>
    <w:rPr>
      <w:rFonts w:ascii="Times New Roman" w:hAnsi="Times New Roman" w:eastAsia="黑体" w:cs="Times New Roman"/>
      <w:kern w:val="0"/>
      <w:sz w:val="24"/>
      <w:szCs w:val="20"/>
    </w:rPr>
  </w:style>
  <w:style w:type="character" w:customStyle="1" w:styleId="31">
    <w:name w:val="页眉 字符"/>
    <w:basedOn w:val="21"/>
    <w:link w:val="14"/>
    <w:qFormat/>
    <w:uiPriority w:val="99"/>
    <w:rPr>
      <w:rFonts w:ascii="Times New Roman" w:hAnsi="Times New Roman" w:eastAsia="宋体" w:cs="Times New Roman"/>
      <w:sz w:val="18"/>
      <w:szCs w:val="20"/>
    </w:rPr>
  </w:style>
  <w:style w:type="character" w:customStyle="1" w:styleId="32">
    <w:name w:val="页脚 字符"/>
    <w:basedOn w:val="21"/>
    <w:link w:val="13"/>
    <w:qFormat/>
    <w:uiPriority w:val="99"/>
    <w:rPr>
      <w:rFonts w:ascii="Times New Roman" w:hAnsi="Times New Roman" w:eastAsia="宋体" w:cs="Times New Roman"/>
      <w:sz w:val="18"/>
      <w:szCs w:val="20"/>
    </w:rPr>
  </w:style>
  <w:style w:type="character" w:customStyle="1" w:styleId="33">
    <w:name w:val="正文文本 字符"/>
    <w:basedOn w:val="21"/>
    <w:link w:val="9"/>
    <w:qFormat/>
    <w:uiPriority w:val="99"/>
    <w:rPr>
      <w:rFonts w:ascii="Times New Roman" w:hAnsi="Times New Roman" w:eastAsia="宋体" w:cs="Times New Roman"/>
      <w:sz w:val="24"/>
      <w:szCs w:val="20"/>
    </w:rPr>
  </w:style>
  <w:style w:type="paragraph" w:customStyle="1" w:styleId="34">
    <w:name w:val="此正文"/>
    <w:basedOn w:val="1"/>
    <w:qFormat/>
    <w:uiPriority w:val="99"/>
    <w:pPr>
      <w:spacing w:line="360" w:lineRule="auto"/>
      <w:ind w:firstLine="200" w:firstLineChars="200"/>
    </w:pPr>
    <w:rPr>
      <w:sz w:val="24"/>
      <w:szCs w:val="20"/>
    </w:rPr>
  </w:style>
  <w:style w:type="paragraph" w:customStyle="1" w:styleId="35">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6">
    <w:name w:val="Char Char Char Char Char Char Char"/>
    <w:basedOn w:val="1"/>
    <w:qFormat/>
    <w:uiPriority w:val="99"/>
    <w:rPr>
      <w:rFonts w:ascii="Tahoma" w:hAnsi="Tahoma" w:cs="仿宋_GB2312"/>
      <w:sz w:val="24"/>
      <w:szCs w:val="28"/>
    </w:rPr>
  </w:style>
  <w:style w:type="character" w:customStyle="1" w:styleId="37">
    <w:name w:val="纯文本 字符"/>
    <w:basedOn w:val="21"/>
    <w:link w:val="10"/>
    <w:qFormat/>
    <w:uiPriority w:val="99"/>
    <w:rPr>
      <w:rFonts w:ascii="宋体" w:hAnsi="Courier New" w:eastAsia="宋体" w:cs="Times New Roman"/>
      <w:kern w:val="0"/>
      <w:sz w:val="20"/>
      <w:szCs w:val="21"/>
    </w:rPr>
  </w:style>
  <w:style w:type="paragraph" w:customStyle="1" w:styleId="38">
    <w:name w:val="Char Char Char Char"/>
    <w:basedOn w:val="7"/>
    <w:qFormat/>
    <w:uiPriority w:val="99"/>
    <w:pPr>
      <w:adjustRightInd w:val="0"/>
      <w:snapToGrid w:val="0"/>
      <w:spacing w:line="360" w:lineRule="auto"/>
    </w:pPr>
    <w:rPr>
      <w:rFonts w:ascii="Tahoma" w:hAnsi="Tahoma"/>
      <w:sz w:val="24"/>
    </w:rPr>
  </w:style>
  <w:style w:type="character" w:customStyle="1" w:styleId="39">
    <w:name w:val="文档结构图 字符"/>
    <w:basedOn w:val="21"/>
    <w:link w:val="7"/>
    <w:qFormat/>
    <w:uiPriority w:val="99"/>
    <w:rPr>
      <w:rFonts w:ascii="Times New Roman" w:hAnsi="Times New Roman" w:eastAsia="宋体" w:cs="Times New Roman"/>
      <w:kern w:val="0"/>
      <w:sz w:val="2"/>
      <w:szCs w:val="24"/>
      <w:shd w:val="clear" w:color="auto" w:fill="000080"/>
    </w:rPr>
  </w:style>
  <w:style w:type="character" w:customStyle="1" w:styleId="40">
    <w:name w:val="批注框文本 字符"/>
    <w:basedOn w:val="21"/>
    <w:link w:val="12"/>
    <w:qFormat/>
    <w:uiPriority w:val="0"/>
    <w:rPr>
      <w:rFonts w:ascii="Times New Roman" w:hAnsi="Times New Roman" w:eastAsia="宋体" w:cs="Times New Roman"/>
      <w:sz w:val="18"/>
      <w:szCs w:val="20"/>
    </w:rPr>
  </w:style>
  <w:style w:type="paragraph" w:customStyle="1" w:styleId="41">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42">
    <w:name w:val="List Paragraph"/>
    <w:basedOn w:val="1"/>
    <w:link w:val="44"/>
    <w:qFormat/>
    <w:uiPriority w:val="34"/>
    <w:pPr>
      <w:ind w:firstLine="420" w:firstLineChars="200"/>
    </w:pPr>
  </w:style>
  <w:style w:type="paragraph" w:customStyle="1" w:styleId="43">
    <w:name w:val="TOC 标题1"/>
    <w:basedOn w:val="2"/>
    <w:next w:val="1"/>
    <w:qFormat/>
    <w:uiPriority w:val="39"/>
    <w:pPr>
      <w:widowControl/>
      <w:spacing w:before="480" w:after="0" w:line="276" w:lineRule="auto"/>
      <w:jc w:val="left"/>
      <w:outlineLvl w:val="9"/>
    </w:pPr>
    <w:rPr>
      <w:rFonts w:ascii="Calibri Light" w:hAnsi="Calibri Light" w:cs="宋体"/>
      <w:color w:val="2E75B6"/>
      <w:kern w:val="0"/>
      <w:sz w:val="28"/>
      <w:szCs w:val="28"/>
    </w:rPr>
  </w:style>
  <w:style w:type="character" w:customStyle="1" w:styleId="44">
    <w:name w:val="列表段落 字符"/>
    <w:link w:val="42"/>
    <w:qFormat/>
    <w:uiPriority w:val="34"/>
    <w:rPr>
      <w:rFonts w:ascii="Times New Roman" w:hAnsi="Times New Roman" w:eastAsia="宋体" w:cs="Times New Roman"/>
      <w:szCs w:val="24"/>
    </w:rPr>
  </w:style>
  <w:style w:type="paragraph" w:customStyle="1" w:styleId="45">
    <w:name w:val="样式 首行缩进:  0 字符"/>
    <w:basedOn w:val="1"/>
    <w:link w:val="46"/>
    <w:qFormat/>
    <w:uiPriority w:val="0"/>
    <w:pPr>
      <w:spacing w:line="360" w:lineRule="auto"/>
      <w:ind w:firstLine="200" w:firstLineChars="200"/>
    </w:pPr>
    <w:rPr>
      <w:rFonts w:ascii="Arial" w:hAnsi="Arial" w:cs="宋体"/>
      <w:sz w:val="24"/>
      <w:szCs w:val="20"/>
    </w:rPr>
  </w:style>
  <w:style w:type="character" w:customStyle="1" w:styleId="46">
    <w:name w:val="样式 首行缩进:  0 字符 Char"/>
    <w:link w:val="45"/>
    <w:qFormat/>
    <w:uiPriority w:val="0"/>
    <w:rPr>
      <w:rFonts w:ascii="Arial" w:hAnsi="Arial" w:eastAsia="宋体" w:cs="宋体"/>
      <w:sz w:val="24"/>
      <w:szCs w:val="20"/>
    </w:rPr>
  </w:style>
  <w:style w:type="paragraph" w:styleId="47">
    <w:name w:val="No Spacing"/>
    <w:qFormat/>
    <w:uiPriority w:val="1"/>
    <w:pPr>
      <w:widowControl w:val="0"/>
      <w:jc w:val="both"/>
    </w:pPr>
    <w:rPr>
      <w:rFonts w:ascii="Calibri" w:hAnsi="Calibri" w:eastAsia="宋体" w:cs="宋体"/>
      <w:kern w:val="2"/>
      <w:sz w:val="21"/>
      <w:szCs w:val="22"/>
      <w:lang w:val="en-US" w:eastAsia="zh-CN" w:bidi="ar-SA"/>
    </w:rPr>
  </w:style>
  <w:style w:type="character" w:customStyle="1" w:styleId="48">
    <w:name w:val="页眉 字符1"/>
    <w:basedOn w:val="21"/>
    <w:qFormat/>
    <w:uiPriority w:val="99"/>
    <w:rPr>
      <w:rFonts w:ascii="Arial" w:hAnsi="Arial" w:eastAsia="宋体" w:cs="宋体"/>
      <w:sz w:val="18"/>
      <w:szCs w:val="18"/>
    </w:rPr>
  </w:style>
  <w:style w:type="character" w:customStyle="1" w:styleId="49">
    <w:name w:val="标题 1 字符1"/>
    <w:basedOn w:val="21"/>
    <w:qFormat/>
    <w:uiPriority w:val="0"/>
    <w:rPr>
      <w:rFonts w:ascii="Arial" w:hAnsi="Arial" w:eastAsia="宋体" w:cs="宋体"/>
      <w:b/>
      <w:bCs/>
      <w:kern w:val="44"/>
      <w:sz w:val="44"/>
      <w:szCs w:val="44"/>
    </w:rPr>
  </w:style>
  <w:style w:type="paragraph" w:customStyle="1" w:styleId="50">
    <w:name w:val="GP正文(首行缩进)"/>
    <w:basedOn w:val="1"/>
    <w:qFormat/>
    <w:uiPriority w:val="0"/>
    <w:pPr>
      <w:spacing w:line="360" w:lineRule="auto"/>
      <w:ind w:firstLine="200" w:firstLineChars="200"/>
      <w:jc w:val="left"/>
    </w:pPr>
    <w:rPr>
      <w:szCs w:val="21"/>
    </w:rPr>
  </w:style>
  <w:style w:type="table" w:customStyle="1" w:styleId="51">
    <w:name w:val="网格型1"/>
    <w:basedOn w:val="19"/>
    <w:qFormat/>
    <w:uiPriority w:val="39"/>
    <w:rPr>
      <w:rFonts w:ascii="等线" w:hAnsi="等线" w:eastAsia="等线"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2">
    <w:name w:val="题注 字符"/>
    <w:link w:val="6"/>
    <w:qFormat/>
    <w:uiPriority w:val="35"/>
    <w:rPr>
      <w:rFonts w:ascii="Times New Roman" w:hAnsi="Times New Roman" w:eastAsia="宋体" w:cs="Times New Roman"/>
      <w:kern w:val="2"/>
      <w:sz w:val="21"/>
    </w:rPr>
  </w:style>
  <w:style w:type="paragraph" w:customStyle="1" w:styleId="53">
    <w:name w:val="表格表头"/>
    <w:basedOn w:val="1"/>
    <w:qFormat/>
    <w:uiPriority w:val="0"/>
    <w:pPr>
      <w:spacing w:line="360" w:lineRule="auto"/>
      <w:jc w:val="center"/>
      <w:outlineLvl w:val="0"/>
    </w:pPr>
    <w:rPr>
      <w:rFonts w:ascii="宋体" w:hAnsi="宋体" w:eastAsia="黑体" w:cs="宋体"/>
      <w:sz w:val="24"/>
      <w:szCs w:val="21"/>
    </w:rPr>
  </w:style>
  <w:style w:type="character" w:customStyle="1" w:styleId="54">
    <w:name w:val="未处理的提及1"/>
    <w:basedOn w:val="21"/>
    <w:qFormat/>
    <w:uiPriority w:val="99"/>
    <w:rPr>
      <w:color w:val="605E5C"/>
      <w:shd w:val="clear" w:color="auto" w:fill="E1DFDD"/>
    </w:rPr>
  </w:style>
  <w:style w:type="character" w:customStyle="1" w:styleId="55">
    <w:name w:val="批注文字 字符"/>
    <w:basedOn w:val="21"/>
    <w:link w:val="8"/>
    <w:qFormat/>
    <w:uiPriority w:val="99"/>
    <w:rPr>
      <w:rFonts w:ascii="Times New Roman" w:hAnsi="Times New Roman" w:eastAsia="宋体" w:cs="Times New Roman"/>
      <w:kern w:val="2"/>
      <w:sz w:val="21"/>
      <w:szCs w:val="24"/>
    </w:rPr>
  </w:style>
  <w:style w:type="character" w:customStyle="1" w:styleId="56">
    <w:name w:val="批注主题 字符"/>
    <w:basedOn w:val="55"/>
    <w:link w:val="18"/>
    <w:qFormat/>
    <w:uiPriority w:val="99"/>
    <w:rPr>
      <w:rFonts w:ascii="Times New Roman" w:hAnsi="Times New Roman" w:eastAsia="宋体" w:cs="Times New Roman"/>
      <w:b/>
      <w:bCs/>
      <w:kern w:val="2"/>
      <w:sz w:val="21"/>
      <w:szCs w:val="24"/>
    </w:rPr>
  </w:style>
  <w:style w:type="paragraph" w:customStyle="1" w:styleId="57">
    <w:name w:val="TOC 标题2"/>
    <w:basedOn w:val="2"/>
    <w:next w:val="1"/>
    <w:qFormat/>
    <w:uiPriority w:val="39"/>
    <w:pPr>
      <w:widowControl/>
      <w:spacing w:before="480" w:after="0" w:line="276" w:lineRule="auto"/>
      <w:jc w:val="left"/>
      <w:outlineLvl w:val="9"/>
    </w:pPr>
    <w:rPr>
      <w:rFonts w:ascii="Calibri Light" w:hAnsi="Calibri Light" w:cs="宋体"/>
      <w:color w:val="2E75B6"/>
      <w:kern w:val="0"/>
      <w:sz w:val="28"/>
      <w:szCs w:val="28"/>
    </w:rPr>
  </w:style>
  <w:style w:type="character" w:customStyle="1" w:styleId="58">
    <w:name w:val="未处理的提及2"/>
    <w:basedOn w:val="21"/>
    <w:qFormat/>
    <w:uiPriority w:val="99"/>
    <w:rPr>
      <w:color w:val="605E5C"/>
      <w:shd w:val="clear" w:color="auto" w:fill="E1DFDD"/>
    </w:rPr>
  </w:style>
  <w:style w:type="paragraph" w:customStyle="1" w:styleId="59">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60">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C22053-3FE8-4833-88E1-6FF16DF498C7}">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33</Pages>
  <Words>13635</Words>
  <Characters>14375</Characters>
  <Paragraphs>891</Paragraphs>
  <TotalTime>75</TotalTime>
  <ScaleCrop>false</ScaleCrop>
  <LinksUpToDate>false</LinksUpToDate>
  <CharactersWithSpaces>15130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2021-07-15T06:18:00Z</dcterms:created>
  <dc:creator>系统管理员</dc:creator>
  <cp:lastModifiedBy>如今</cp:lastModifiedBy>
  <cp:lastPrinted>2021-07-19T10:35:00Z</cp:lastPrinted>
  <dcterms:modified xsi:type="dcterms:W3CDTF">2021-07-22T02:59:15Z</dcterms:modified>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6617FD0DE1504E11BD9705CDF38BBC2E</vt:lpwstr>
  </property>
</Properties>
</file>