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jc w:val="left"/>
        <w:rPr>
          <w:rFonts w:hint="eastAsia" w:ascii="宋体" w:hAnsi="宋体"/>
          <w:b/>
          <w:color w:val="000000" w:themeColor="text1"/>
          <w:sz w:val="32"/>
          <w:szCs w:val="32"/>
          <w14:textFill>
            <w14:solidFill>
              <w14:schemeClr w14:val="tx1"/>
            </w14:solidFill>
          </w14:textFill>
        </w:rPr>
      </w:pPr>
    </w:p>
    <w:p>
      <w:pPr>
        <w:pStyle w:val="5"/>
        <w:rPr>
          <w:rFonts w:hint="eastAsia"/>
        </w:rPr>
      </w:pPr>
    </w:p>
    <w:p>
      <w:pPr>
        <w:spacing w:line="300" w:lineRule="auto"/>
        <w:ind w:firstLine="1928" w:firstLineChars="600"/>
        <w:jc w:val="left"/>
        <w:rPr>
          <w:rFonts w:hint="default" w:ascii="宋体"/>
          <w:b/>
          <w:color w:val="000000" w:themeColor="text1"/>
          <w:spacing w:val="20"/>
          <w:sz w:val="32"/>
          <w:szCs w:val="32"/>
          <w:lang w:val="en-US"/>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sz w:val="32"/>
          <w:szCs w:val="32"/>
        </w:rPr>
        <w:t>南通大学</w:t>
      </w:r>
      <w:r>
        <w:rPr>
          <w:rFonts w:hint="eastAsia" w:ascii="宋体" w:hAnsi="宋体"/>
          <w:b/>
          <w:sz w:val="32"/>
          <w:szCs w:val="32"/>
          <w:lang w:val="en-US" w:eastAsia="zh-CN"/>
        </w:rPr>
        <w:t>2023年学生公寓物品</w:t>
      </w:r>
    </w:p>
    <w:p>
      <w:pPr>
        <w:spacing w:line="360" w:lineRule="auto"/>
        <w:ind w:firstLine="1928" w:firstLineChars="6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3</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lang w:val="en-US" w:eastAsia="zh-CN"/>
          <w14:textFill>
            <w14:solidFill>
              <w14:schemeClr w14:val="tx1"/>
            </w14:solidFill>
          </w14:textFill>
        </w:rPr>
        <w:t>051</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both"/>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9"/>
        <w:ind w:left="0" w:leftChars="0"/>
        <w:jc w:val="center"/>
        <w:rPr>
          <w:rStyle w:val="33"/>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3年</w:t>
      </w:r>
      <w:r>
        <w:rPr>
          <w:rFonts w:hint="eastAsia" w:eastAsia="宋体"/>
          <w:b/>
          <w:color w:val="000000" w:themeColor="text1"/>
          <w:sz w:val="32"/>
          <w:szCs w:val="32"/>
          <w:lang w:val="en-US" w:eastAsia="zh-CN"/>
          <w14:textFill>
            <w14:solidFill>
              <w14:schemeClr w14:val="tx1"/>
            </w14:solidFill>
          </w14:textFill>
        </w:rPr>
        <w:t>6</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3"/>
          <w:rFonts w:eastAsia="黑体"/>
          <w:bCs/>
          <w:color w:val="000000" w:themeColor="text1"/>
          <w:sz w:val="48"/>
          <w:u w:val="none"/>
          <w14:textFill>
            <w14:solidFill>
              <w14:schemeClr w14:val="tx1"/>
            </w14:solidFill>
          </w14:textFill>
        </w:rPr>
      </w:pPr>
      <w:r>
        <w:rPr>
          <w:rStyle w:val="33"/>
          <w:rFonts w:hint="eastAsia" w:eastAsia="黑体"/>
          <w:bCs/>
          <w:color w:val="000000" w:themeColor="text1"/>
          <w:sz w:val="48"/>
          <w:u w:val="none"/>
          <w14:textFill>
            <w14:solidFill>
              <w14:schemeClr w14:val="tx1"/>
            </w14:solidFill>
          </w14:textFill>
        </w:rPr>
        <w:t>目录</w:t>
      </w:r>
    </w:p>
    <w:p>
      <w:pPr>
        <w:pStyle w:val="23"/>
        <w:tabs>
          <w:tab w:val="right" w:leader="dot" w:pos="9746"/>
        </w:tabs>
      </w:pPr>
      <w:r>
        <w:rPr>
          <w:rStyle w:val="33"/>
          <w:rFonts w:eastAsia="黑体"/>
          <w:bCs/>
          <w:color w:val="000000" w:themeColor="text1"/>
          <w:sz w:val="24"/>
          <w:u w:val="none"/>
          <w14:textFill>
            <w14:solidFill>
              <w14:schemeClr w14:val="tx1"/>
            </w14:solidFill>
          </w14:textFill>
        </w:rPr>
        <w:fldChar w:fldCharType="begin"/>
      </w:r>
      <w:r>
        <w:rPr>
          <w:rStyle w:val="33"/>
          <w:rFonts w:eastAsia="黑体"/>
          <w:bCs/>
          <w:color w:val="000000" w:themeColor="text1"/>
          <w:sz w:val="24"/>
          <w:u w:val="none"/>
          <w14:textFill>
            <w14:solidFill>
              <w14:schemeClr w14:val="tx1"/>
            </w14:solidFill>
          </w14:textFill>
        </w:rPr>
        <w:instrText xml:space="preserve"> TOC \o "1-3" \h \z \u </w:instrText>
      </w:r>
      <w:r>
        <w:rPr>
          <w:rStyle w:val="33"/>
          <w:rFonts w:eastAsia="黑体"/>
          <w:bCs/>
          <w:color w:val="000000" w:themeColor="text1"/>
          <w:sz w:val="24"/>
          <w:u w:val="none"/>
          <w14:textFill>
            <w14:solidFill>
              <w14:schemeClr w14:val="tx1"/>
            </w14:solidFill>
          </w14:textFill>
        </w:rPr>
        <w:fldChar w:fldCharType="separate"/>
      </w: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_Toc4927 </w:instrText>
      </w:r>
      <w:r>
        <w:rPr>
          <w:rFonts w:eastAsia="黑体"/>
          <w:bCs/>
        </w:rPr>
        <w:fldChar w:fldCharType="separate"/>
      </w:r>
      <w:r>
        <w:rPr>
          <w:rFonts w:hint="eastAsia"/>
        </w:rPr>
        <w:t>第一部分公开招标采购公告</w:t>
      </w:r>
      <w:r>
        <w:tab/>
      </w:r>
      <w:r>
        <w:fldChar w:fldCharType="begin"/>
      </w:r>
      <w:r>
        <w:instrText xml:space="preserve"> PAGEREF _Toc4927 \h </w:instrText>
      </w:r>
      <w:r>
        <w:fldChar w:fldCharType="separate"/>
      </w:r>
      <w:r>
        <w:t>2</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_Toc28826 </w:instrText>
      </w:r>
      <w:r>
        <w:rPr>
          <w:rFonts w:eastAsia="黑体"/>
          <w:bCs/>
        </w:rPr>
        <w:fldChar w:fldCharType="separate"/>
      </w:r>
      <w:r>
        <w:rPr>
          <w:rFonts w:hint="eastAsia"/>
        </w:rPr>
        <w:t>第二部分投标人须知</w:t>
      </w:r>
      <w:r>
        <w:tab/>
      </w:r>
      <w:r>
        <w:fldChar w:fldCharType="begin"/>
      </w:r>
      <w:r>
        <w:instrText xml:space="preserve"> PAGEREF _Toc28826 \h </w:instrText>
      </w:r>
      <w:r>
        <w:fldChar w:fldCharType="separate"/>
      </w:r>
      <w:r>
        <w:t>4</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_Toc3684 </w:instrText>
      </w:r>
      <w:r>
        <w:rPr>
          <w:rFonts w:eastAsia="黑体"/>
          <w:bCs/>
        </w:rPr>
        <w:fldChar w:fldCharType="separate"/>
      </w:r>
      <w:r>
        <w:rPr>
          <w:rFonts w:hint="eastAsia"/>
        </w:rPr>
        <w:t>一、招标文件</w:t>
      </w:r>
      <w:r>
        <w:tab/>
      </w:r>
      <w:r>
        <w:fldChar w:fldCharType="begin"/>
      </w:r>
      <w:r>
        <w:instrText xml:space="preserve"> PAGEREF _Toc3684 \h </w:instrText>
      </w:r>
      <w:r>
        <w:fldChar w:fldCharType="separate"/>
      </w:r>
      <w:r>
        <w:t>4</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_Toc15587 </w:instrText>
      </w:r>
      <w:r>
        <w:rPr>
          <w:rFonts w:eastAsia="黑体"/>
          <w:bCs/>
        </w:rPr>
        <w:fldChar w:fldCharType="separate"/>
      </w:r>
      <w:r>
        <w:rPr>
          <w:rFonts w:hint="eastAsia"/>
        </w:rPr>
        <w:t>二、投标文件</w:t>
      </w:r>
      <w:r>
        <w:tab/>
      </w:r>
      <w:r>
        <w:fldChar w:fldCharType="begin"/>
      </w:r>
      <w:r>
        <w:instrText xml:space="preserve"> PAGEREF _Toc15587 \h </w:instrText>
      </w:r>
      <w:r>
        <w:fldChar w:fldCharType="separate"/>
      </w:r>
      <w:r>
        <w:t>5</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_Toc23935 </w:instrText>
      </w:r>
      <w:r>
        <w:rPr>
          <w:rFonts w:eastAsia="黑体"/>
          <w:bCs/>
        </w:rPr>
        <w:fldChar w:fldCharType="separate"/>
      </w:r>
      <w:r>
        <w:rPr>
          <w:rFonts w:hint="eastAsia"/>
        </w:rPr>
        <w:t>三、投标细则</w:t>
      </w:r>
      <w:r>
        <w:tab/>
      </w:r>
      <w:r>
        <w:fldChar w:fldCharType="begin"/>
      </w:r>
      <w:r>
        <w:instrText xml:space="preserve"> PAGEREF _Toc23935 \h </w:instrText>
      </w:r>
      <w:r>
        <w:fldChar w:fldCharType="separate"/>
      </w:r>
      <w:r>
        <w:t>6</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_Toc27730 </w:instrText>
      </w:r>
      <w:r>
        <w:rPr>
          <w:rFonts w:eastAsia="黑体"/>
          <w:bCs/>
        </w:rPr>
        <w:fldChar w:fldCharType="separate"/>
      </w:r>
      <w:r>
        <w:rPr>
          <w:rFonts w:hint="eastAsia"/>
        </w:rPr>
        <w:t>四、评标</w:t>
      </w:r>
      <w:r>
        <w:tab/>
      </w:r>
      <w:r>
        <w:fldChar w:fldCharType="begin"/>
      </w:r>
      <w:r>
        <w:instrText xml:space="preserve"> PAGEREF _Toc27730 \h </w:instrText>
      </w:r>
      <w:r>
        <w:fldChar w:fldCharType="separate"/>
      </w:r>
      <w:r>
        <w:t>7</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_Toc20246 </w:instrText>
      </w:r>
      <w:r>
        <w:rPr>
          <w:rFonts w:eastAsia="黑体"/>
          <w:bCs/>
        </w:rPr>
        <w:fldChar w:fldCharType="separate"/>
      </w:r>
      <w:r>
        <w:rPr>
          <w:rFonts w:hint="eastAsia"/>
        </w:rPr>
        <w:t>五、评标方法及评分标准</w:t>
      </w:r>
      <w:r>
        <w:tab/>
      </w:r>
      <w:r>
        <w:fldChar w:fldCharType="begin"/>
      </w:r>
      <w:r>
        <w:instrText xml:space="preserve"> PAGEREF _Toc20246 \h </w:instrText>
      </w:r>
      <w:r>
        <w:fldChar w:fldCharType="separate"/>
      </w:r>
      <w:r>
        <w:t>9</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_Toc5507 </w:instrText>
      </w:r>
      <w:r>
        <w:rPr>
          <w:rFonts w:eastAsia="黑体"/>
          <w:bCs/>
        </w:rPr>
        <w:fldChar w:fldCharType="separate"/>
      </w:r>
      <w:r>
        <w:rPr>
          <w:rFonts w:hint="eastAsia"/>
        </w:rPr>
        <w:t>六、定标</w:t>
      </w:r>
      <w:r>
        <w:tab/>
      </w:r>
      <w:r>
        <w:fldChar w:fldCharType="begin"/>
      </w:r>
      <w:r>
        <w:instrText xml:space="preserve"> PAGEREF _Toc5507 \h </w:instrText>
      </w:r>
      <w:r>
        <w:fldChar w:fldCharType="separate"/>
      </w:r>
      <w:r>
        <w:t>11</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_Toc24764 </w:instrText>
      </w:r>
      <w:r>
        <w:rPr>
          <w:rFonts w:eastAsia="黑体"/>
          <w:bCs/>
        </w:rPr>
        <w:fldChar w:fldCharType="separate"/>
      </w:r>
      <w:r>
        <w:rPr>
          <w:rFonts w:hint="eastAsia"/>
        </w:rPr>
        <w:t>七、合同的签订</w:t>
      </w:r>
      <w:r>
        <w:tab/>
      </w:r>
      <w:r>
        <w:fldChar w:fldCharType="begin"/>
      </w:r>
      <w:r>
        <w:instrText xml:space="preserve"> PAGEREF _Toc24764 \h </w:instrText>
      </w:r>
      <w:r>
        <w:fldChar w:fldCharType="separate"/>
      </w:r>
      <w:r>
        <w:t>11</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rPr>
          <w:rFonts w:eastAsia="黑体"/>
          <w:bCs/>
          <w:color w:val="000000" w:themeColor="text1"/>
          <w:u w:val="none"/>
          <w14:textFill>
            <w14:solidFill>
              <w14:schemeClr w14:val="tx1"/>
            </w14:solidFill>
          </w14:textFill>
        </w:rPr>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_Toc9091 </w:instrText>
      </w:r>
      <w:r>
        <w:rPr>
          <w:rFonts w:eastAsia="黑体"/>
          <w:bCs/>
        </w:rPr>
        <w:fldChar w:fldCharType="separate"/>
      </w:r>
      <w:r>
        <w:rPr>
          <w:rFonts w:hint="eastAsia"/>
        </w:rPr>
        <w:t>八、其他</w:t>
      </w:r>
      <w:r>
        <w:tab/>
      </w:r>
      <w:r>
        <w:fldChar w:fldCharType="begin"/>
      </w:r>
      <w:r>
        <w:instrText xml:space="preserve"> PAGEREF _Toc9091 \h </w:instrText>
      </w:r>
      <w:r>
        <w:fldChar w:fldCharType="separate"/>
      </w:r>
      <w:r>
        <w:t>11</w:t>
      </w:r>
      <w:r>
        <w:fldChar w:fldCharType="end"/>
      </w:r>
      <w:r>
        <w:rPr>
          <w:rFonts w:eastAsia="黑体"/>
          <w:bCs/>
          <w:color w:val="000000" w:themeColor="text1"/>
          <w:u w:val="none"/>
          <w14:textFill>
            <w14:solidFill>
              <w14:schemeClr w14:val="tx1"/>
            </w14:solidFill>
          </w14:textFill>
        </w:rPr>
        <w:fldChar w:fldCharType="end"/>
      </w:r>
    </w:p>
    <w:p>
      <w:pPr>
        <w:ind w:firstLine="420" w:firstLineChars="200"/>
        <w:rPr>
          <w:rFonts w:hint="default" w:eastAsia="宋体"/>
          <w:lang w:val="en-US" w:eastAsia="zh-CN"/>
        </w:rPr>
      </w:pPr>
      <w:r>
        <w:rPr>
          <w:rFonts w:hint="eastAsia"/>
          <w:color w:val="000000" w:themeColor="text1"/>
          <w14:textFill>
            <w14:solidFill>
              <w14:schemeClr w14:val="tx1"/>
            </w14:solidFill>
          </w14:textFill>
        </w:rPr>
        <w:t>九、合同履约保证金............................................................................................................</w:t>
      </w:r>
      <w:r>
        <w:rPr>
          <w:rFonts w:hint="eastAsia"/>
          <w:color w:val="000000" w:themeColor="text1"/>
          <w:lang w:val="en-US" w:eastAsia="zh-CN"/>
          <w14:textFill>
            <w14:solidFill>
              <w14:schemeClr w14:val="tx1"/>
            </w14:solidFill>
          </w14:textFill>
        </w:rPr>
        <w:t>..............</w:t>
      </w:r>
      <w:r>
        <w:rPr>
          <w:rFonts w:hint="eastAsia"/>
          <w:color w:val="000000" w:themeColor="text1"/>
          <w14:textFill>
            <w14:solidFill>
              <w14:schemeClr w14:val="tx1"/>
            </w14:solidFill>
          </w14:textFill>
        </w:rPr>
        <w:t>................</w:t>
      </w:r>
      <w:r>
        <w:rPr>
          <w:rFonts w:hint="eastAsia"/>
          <w:color w:val="000000" w:themeColor="text1"/>
          <w:lang w:val="en-US" w:eastAsia="zh-CN"/>
          <w14:textFill>
            <w14:solidFill>
              <w14:schemeClr w14:val="tx1"/>
            </w14:solidFill>
          </w14:textFill>
        </w:rPr>
        <w:t>12</w:t>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_Toc11783 </w:instrText>
      </w:r>
      <w:r>
        <w:rPr>
          <w:rFonts w:eastAsia="黑体"/>
          <w:bCs/>
        </w:rPr>
        <w:fldChar w:fldCharType="separate"/>
      </w:r>
      <w:r>
        <w:rPr>
          <w:rFonts w:hint="eastAsia"/>
        </w:rPr>
        <w:t>第三部分招标货物要求及相关说明</w:t>
      </w:r>
      <w:r>
        <w:tab/>
      </w:r>
      <w:r>
        <w:fldChar w:fldCharType="begin"/>
      </w:r>
      <w:r>
        <w:instrText xml:space="preserve"> PAGEREF _Toc11783 \h </w:instrText>
      </w:r>
      <w:r>
        <w:fldChar w:fldCharType="separate"/>
      </w:r>
      <w:r>
        <w:t>13</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_Toc5474 </w:instrText>
      </w:r>
      <w:r>
        <w:rPr>
          <w:rFonts w:eastAsia="黑体"/>
          <w:bCs/>
        </w:rPr>
        <w:fldChar w:fldCharType="separate"/>
      </w:r>
      <w:r>
        <w:rPr>
          <w:rFonts w:hint="eastAsia"/>
        </w:rPr>
        <w:t>第四部分合同主要条款</w:t>
      </w:r>
      <w:r>
        <w:tab/>
      </w:r>
      <w:r>
        <w:fldChar w:fldCharType="begin"/>
      </w:r>
      <w:r>
        <w:instrText xml:space="preserve"> PAGEREF _Toc5474 \h </w:instrText>
      </w:r>
      <w:r>
        <w:fldChar w:fldCharType="separate"/>
      </w:r>
      <w:r>
        <w:t>14</w:t>
      </w:r>
      <w:r>
        <w:fldChar w:fldCharType="end"/>
      </w:r>
      <w:r>
        <w:rPr>
          <w:rFonts w:eastAsia="黑体"/>
          <w:bCs/>
          <w:color w:val="000000" w:themeColor="text1"/>
          <w:u w:val="none"/>
          <w14:textFill>
            <w14:solidFill>
              <w14:schemeClr w14:val="tx1"/>
            </w14:solidFill>
          </w14:textFill>
        </w:rPr>
        <w:fldChar w:fldCharType="end"/>
      </w:r>
    </w:p>
    <w:p>
      <w:pPr>
        <w:pStyle w:val="23"/>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_Toc3155 </w:instrText>
      </w:r>
      <w:r>
        <w:rPr>
          <w:rFonts w:eastAsia="黑体"/>
          <w:bCs/>
        </w:rPr>
        <w:fldChar w:fldCharType="separate"/>
      </w:r>
      <w:r>
        <w:rPr>
          <w:rFonts w:hint="eastAsia"/>
        </w:rPr>
        <w:t>第五部分附件</w:t>
      </w:r>
      <w:r>
        <w:tab/>
      </w:r>
      <w:r>
        <w:fldChar w:fldCharType="begin"/>
      </w:r>
      <w:r>
        <w:instrText xml:space="preserve"> PAGEREF _Toc3155 \h </w:instrText>
      </w:r>
      <w:r>
        <w:fldChar w:fldCharType="separate"/>
      </w:r>
      <w:r>
        <w:t>15</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_Toc7018 </w:instrText>
      </w:r>
      <w:r>
        <w:rPr>
          <w:rFonts w:eastAsia="黑体"/>
          <w:bCs/>
        </w:rPr>
        <w:fldChar w:fldCharType="separate"/>
      </w:r>
      <w:r>
        <w:rPr>
          <w:rFonts w:hint="eastAsia"/>
          <w:szCs w:val="21"/>
        </w:rPr>
        <w:t>附件</w:t>
      </w:r>
      <w:r>
        <w:rPr>
          <w:szCs w:val="21"/>
        </w:rPr>
        <w:t>1</w:t>
      </w:r>
      <w:r>
        <w:rPr>
          <w:rFonts w:hint="eastAsia"/>
          <w:szCs w:val="21"/>
        </w:rPr>
        <w:t>：投标</w:t>
      </w:r>
      <w:r>
        <w:rPr>
          <w:rFonts w:hint="eastAsia"/>
          <w:szCs w:val="21"/>
          <w:lang w:eastAsia="zh-CN"/>
        </w:rPr>
        <w:t>承诺</w:t>
      </w:r>
      <w:r>
        <w:rPr>
          <w:rFonts w:hint="eastAsia"/>
          <w:szCs w:val="21"/>
        </w:rPr>
        <w:t>函</w:t>
      </w:r>
      <w:r>
        <w:tab/>
      </w:r>
      <w:r>
        <w:fldChar w:fldCharType="begin"/>
      </w:r>
      <w:r>
        <w:instrText xml:space="preserve"> PAGEREF _Toc7018 \h </w:instrText>
      </w:r>
      <w:r>
        <w:fldChar w:fldCharType="separate"/>
      </w:r>
      <w:r>
        <w:t>16</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rPr>
          <w:rFonts w:eastAsia="黑体"/>
          <w:bCs/>
          <w:color w:val="000000" w:themeColor="text1"/>
          <w:u w:val="none"/>
          <w14:textFill>
            <w14:solidFill>
              <w14:schemeClr w14:val="tx1"/>
            </w14:solidFill>
          </w14:textFill>
        </w:rPr>
      </w:pPr>
      <w:r>
        <w:fldChar w:fldCharType="begin"/>
      </w:r>
      <w:r>
        <w:instrText xml:space="preserve"> HYPERLINK \l "_Toc107915365" </w:instrText>
      </w:r>
      <w:r>
        <w:fldChar w:fldCharType="separate"/>
      </w:r>
      <w:r>
        <w:rPr>
          <w:rStyle w:val="34"/>
          <w:rFonts w:asciiTheme="minorEastAsia" w:hAnsiTheme="minorEastAsia"/>
        </w:rPr>
        <w:t>附件</w:t>
      </w:r>
      <w:r>
        <w:rPr>
          <w:rFonts w:hint="eastAsia"/>
          <w:szCs w:val="21"/>
          <w:lang w:val="en-US" w:eastAsia="zh-CN"/>
        </w:rPr>
        <w:t>2</w:t>
      </w:r>
      <w:r>
        <w:rPr>
          <w:rStyle w:val="34"/>
          <w:rFonts w:asciiTheme="minorEastAsia" w:hAnsiTheme="minorEastAsia"/>
        </w:rPr>
        <w:t>：南通大学</w:t>
      </w:r>
      <w:r>
        <w:rPr>
          <w:rFonts w:hint="eastAsia"/>
          <w:szCs w:val="21"/>
          <w:lang w:val="en-US" w:eastAsia="zh-CN"/>
        </w:rPr>
        <w:t>2023</w:t>
      </w:r>
      <w:r>
        <w:rPr>
          <w:rStyle w:val="34"/>
          <w:rFonts w:asciiTheme="minorEastAsia" w:hAnsiTheme="minorEastAsia"/>
        </w:rPr>
        <w:t>年学生公寓物品报价单</w:t>
      </w:r>
      <w:r>
        <w:tab/>
      </w:r>
      <w:r>
        <w:fldChar w:fldCharType="begin"/>
      </w:r>
      <w:r>
        <w:instrText xml:space="preserve"> PAGEREF _Toc107915365 \h </w:instrText>
      </w:r>
      <w:r>
        <w:fldChar w:fldCharType="separate"/>
      </w:r>
      <w:r>
        <w:t>17</w:t>
      </w:r>
      <w:r>
        <w:fldChar w:fldCharType="end"/>
      </w:r>
      <w:r>
        <w:fldChar w:fldCharType="end"/>
      </w:r>
    </w:p>
    <w:p>
      <w:pPr>
        <w:pStyle w:val="24"/>
        <w:tabs>
          <w:tab w:val="right" w:leader="dot" w:pos="9746"/>
        </w:tabs>
        <w:rPr>
          <w:rFonts w:eastAsia="黑体"/>
          <w:bCs/>
          <w:color w:val="000000" w:themeColor="text1"/>
          <w:u w:val="none"/>
          <w14:textFill>
            <w14:solidFill>
              <w14:schemeClr w14:val="tx1"/>
            </w14:solidFill>
          </w14:textFill>
        </w:rPr>
      </w:pPr>
      <w:r>
        <w:fldChar w:fldCharType="begin"/>
      </w:r>
      <w:r>
        <w:instrText xml:space="preserve"> HYPERLINK \l "_Toc107915366" </w:instrText>
      </w:r>
      <w:r>
        <w:fldChar w:fldCharType="separate"/>
      </w:r>
      <w:r>
        <w:rPr>
          <w:rStyle w:val="34"/>
          <w:rFonts w:asciiTheme="minorEastAsia" w:hAnsiTheme="minorEastAsia"/>
        </w:rPr>
        <w:t>附件</w:t>
      </w:r>
      <w:r>
        <w:rPr>
          <w:rFonts w:hint="eastAsia"/>
          <w:szCs w:val="21"/>
          <w:lang w:val="en-US" w:eastAsia="zh-CN"/>
        </w:rPr>
        <w:t>3</w:t>
      </w:r>
      <w:r>
        <w:rPr>
          <w:rStyle w:val="34"/>
          <w:rFonts w:asciiTheme="minorEastAsia" w:hAnsiTheme="minorEastAsia"/>
        </w:rPr>
        <w:t>：产品质量承诺书</w:t>
      </w:r>
      <w:r>
        <w:tab/>
      </w:r>
      <w:r>
        <w:fldChar w:fldCharType="begin"/>
      </w:r>
      <w:r>
        <w:instrText xml:space="preserve"> PAGEREF _Toc107915366 \h </w:instrText>
      </w:r>
      <w:r>
        <w:fldChar w:fldCharType="separate"/>
      </w:r>
      <w:r>
        <w:t>18</w:t>
      </w:r>
      <w:r>
        <w:fldChar w:fldCharType="end"/>
      </w:r>
      <w: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_Toc24982 </w:instrText>
      </w:r>
      <w:r>
        <w:rPr>
          <w:rFonts w:eastAsia="黑体"/>
          <w:bCs/>
        </w:rPr>
        <w:fldChar w:fldCharType="separate"/>
      </w:r>
      <w:r>
        <w:rPr>
          <w:rFonts w:hint="eastAsia"/>
          <w:szCs w:val="21"/>
        </w:rPr>
        <w:t>附件</w:t>
      </w:r>
      <w:r>
        <w:rPr>
          <w:rFonts w:hint="eastAsia"/>
          <w:szCs w:val="21"/>
          <w:lang w:val="en-US" w:eastAsia="zh-CN"/>
        </w:rPr>
        <w:t>4</w:t>
      </w:r>
      <w:r>
        <w:rPr>
          <w:rFonts w:hint="eastAsia"/>
          <w:szCs w:val="21"/>
        </w:rPr>
        <w:t>：法定代表人资格证明</w:t>
      </w:r>
      <w:r>
        <w:tab/>
      </w:r>
      <w:r>
        <w:fldChar w:fldCharType="begin"/>
      </w:r>
      <w:r>
        <w:instrText xml:space="preserve"> PAGEREF _Toc24982 \h </w:instrText>
      </w:r>
      <w:r>
        <w:fldChar w:fldCharType="separate"/>
      </w:r>
      <w:r>
        <w:t>17</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_Toc1835 </w:instrText>
      </w:r>
      <w:r>
        <w:rPr>
          <w:rFonts w:eastAsia="黑体"/>
          <w:bCs/>
        </w:rPr>
        <w:fldChar w:fldCharType="separate"/>
      </w:r>
      <w:r>
        <w:rPr>
          <w:rFonts w:hint="eastAsia"/>
          <w:szCs w:val="21"/>
        </w:rPr>
        <w:t>附件</w:t>
      </w:r>
      <w:r>
        <w:rPr>
          <w:rFonts w:hint="eastAsia"/>
          <w:szCs w:val="21"/>
          <w:lang w:val="en-US" w:eastAsia="zh-CN"/>
        </w:rPr>
        <w:t>5</w:t>
      </w:r>
      <w:r>
        <w:rPr>
          <w:rFonts w:hint="eastAsia"/>
          <w:szCs w:val="21"/>
        </w:rPr>
        <w:t>：法定代表人授权书</w:t>
      </w:r>
      <w:r>
        <w:tab/>
      </w:r>
      <w:r>
        <w:fldChar w:fldCharType="begin"/>
      </w:r>
      <w:r>
        <w:instrText xml:space="preserve"> PAGEREF _Toc1835 \h </w:instrText>
      </w:r>
      <w:r>
        <w:fldChar w:fldCharType="separate"/>
      </w:r>
      <w:r>
        <w:t>20</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_Toc30413 </w:instrText>
      </w:r>
      <w:r>
        <w:rPr>
          <w:rFonts w:eastAsia="黑体"/>
          <w:bCs/>
        </w:rPr>
        <w:fldChar w:fldCharType="separate"/>
      </w:r>
      <w:r>
        <w:rPr>
          <w:rFonts w:hint="eastAsia"/>
          <w:szCs w:val="21"/>
        </w:rPr>
        <w:t>附件</w:t>
      </w:r>
      <w:r>
        <w:rPr>
          <w:rFonts w:hint="eastAsia"/>
          <w:szCs w:val="21"/>
          <w:lang w:val="en-US" w:eastAsia="zh-CN"/>
        </w:rPr>
        <w:t>6</w:t>
      </w:r>
      <w:r>
        <w:rPr>
          <w:rFonts w:hint="eastAsia"/>
          <w:szCs w:val="21"/>
        </w:rPr>
        <w:t>：无重大违法记录声明</w:t>
      </w:r>
      <w:r>
        <w:tab/>
      </w:r>
      <w:r>
        <w:fldChar w:fldCharType="begin"/>
      </w:r>
      <w:r>
        <w:instrText xml:space="preserve"> PAGEREF _Toc30413 \h </w:instrText>
      </w:r>
      <w:r>
        <w:fldChar w:fldCharType="separate"/>
      </w:r>
      <w:r>
        <w:t>21</w:t>
      </w:r>
      <w:r>
        <w:fldChar w:fldCharType="end"/>
      </w:r>
      <w:r>
        <w:rPr>
          <w:rFonts w:eastAsia="黑体"/>
          <w:bCs/>
          <w:color w:val="000000" w:themeColor="text1"/>
          <w:u w:val="none"/>
          <w14:textFill>
            <w14:solidFill>
              <w14:schemeClr w14:val="tx1"/>
            </w14:solidFill>
          </w14:textFill>
        </w:rPr>
        <w:fldChar w:fldCharType="end"/>
      </w:r>
    </w:p>
    <w:p>
      <w:pPr>
        <w:pStyle w:val="24"/>
        <w:tabs>
          <w:tab w:val="right" w:leader="dot" w:pos="9746"/>
        </w:tabs>
        <w:rPr>
          <w:rFonts w:eastAsia="黑体"/>
          <w:bCs/>
          <w:color w:val="000000" w:themeColor="text1"/>
          <w:u w:val="none"/>
          <w14:textFill>
            <w14:solidFill>
              <w14:schemeClr w14:val="tx1"/>
            </w14:solidFill>
          </w14:textFill>
        </w:rPr>
      </w:pPr>
      <w:r>
        <w:rPr>
          <w:rFonts w:eastAsia="黑体"/>
          <w:bCs/>
          <w:color w:val="000000" w:themeColor="text1"/>
          <w:u w:val="none"/>
          <w14:textFill>
            <w14:solidFill>
              <w14:schemeClr w14:val="tx1"/>
            </w14:solidFill>
          </w14:textFill>
        </w:rPr>
        <w:fldChar w:fldCharType="begin"/>
      </w:r>
      <w:r>
        <w:rPr>
          <w:rFonts w:eastAsia="黑体"/>
          <w:bCs/>
        </w:rPr>
        <w:instrText xml:space="preserve"> HYPERLINK \l _Toc27828 </w:instrText>
      </w:r>
      <w:r>
        <w:rPr>
          <w:rFonts w:eastAsia="黑体"/>
          <w:bCs/>
        </w:rPr>
        <w:fldChar w:fldCharType="separate"/>
      </w:r>
      <w:r>
        <w:rPr>
          <w:rFonts w:hint="eastAsia"/>
          <w:szCs w:val="21"/>
        </w:rPr>
        <w:t>附件</w:t>
      </w:r>
      <w:r>
        <w:rPr>
          <w:rFonts w:hint="eastAsia"/>
          <w:szCs w:val="21"/>
          <w:lang w:val="en-US" w:eastAsia="zh-CN"/>
        </w:rPr>
        <w:t>7</w:t>
      </w:r>
      <w:r>
        <w:rPr>
          <w:rFonts w:hint="eastAsia"/>
          <w:szCs w:val="21"/>
        </w:rPr>
        <w:t>：诚信承诺书</w:t>
      </w:r>
      <w:r>
        <w:tab/>
      </w:r>
      <w:r>
        <w:fldChar w:fldCharType="begin"/>
      </w:r>
      <w:r>
        <w:instrText xml:space="preserve"> PAGEREF _Toc27828 \h </w:instrText>
      </w:r>
      <w:r>
        <w:fldChar w:fldCharType="separate"/>
      </w:r>
      <w:r>
        <w:t>22</w:t>
      </w:r>
      <w:r>
        <w:fldChar w:fldCharType="end"/>
      </w:r>
      <w:r>
        <w:rPr>
          <w:rFonts w:eastAsia="黑体"/>
          <w:bCs/>
          <w:color w:val="000000" w:themeColor="text1"/>
          <w:u w:val="none"/>
          <w14:textFill>
            <w14:solidFill>
              <w14:schemeClr w14:val="tx1"/>
            </w14:solidFill>
          </w14:textFill>
        </w:rPr>
        <w:fldChar w:fldCharType="end"/>
      </w:r>
    </w:p>
    <w:p/>
    <w:p>
      <w:pPr>
        <w:spacing w:after="312" w:afterLines="100" w:line="500" w:lineRule="exact"/>
        <w:jc w:val="center"/>
        <w:rPr>
          <w:rStyle w:val="33"/>
          <w:rFonts w:eastAsia="黑体"/>
          <w:bCs/>
          <w:color w:val="000000" w:themeColor="text1"/>
          <w:sz w:val="48"/>
          <w:u w:val="none"/>
          <w14:textFill>
            <w14:solidFill>
              <w14:schemeClr w14:val="tx1"/>
            </w14:solidFill>
          </w14:textFill>
        </w:rPr>
      </w:pPr>
      <w:r>
        <w:rPr>
          <w:rFonts w:eastAsia="黑体"/>
          <w:bCs/>
          <w:color w:val="000000" w:themeColor="text1"/>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4927"/>
      <w:r>
        <w:rPr>
          <w:rFonts w:hint="eastAsia"/>
          <w:color w:val="000000" w:themeColor="text1"/>
          <w14:textFill>
            <w14:solidFill>
              <w14:schemeClr w14:val="tx1"/>
            </w14:solidFill>
          </w14:textFill>
        </w:rPr>
        <w:t>第一部分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公开招标采购公告</w:t>
      </w:r>
      <w:bookmarkEnd w:id="0"/>
    </w:p>
    <w:p>
      <w:pPr>
        <w:widowControl/>
        <w:spacing w:line="440" w:lineRule="exact"/>
        <w:ind w:firstLine="496" w:firstLineChars="200"/>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spacing w:val="4"/>
          <w:sz w:val="24"/>
          <w:lang w:val="en-US" w:eastAsia="zh-CN"/>
        </w:rPr>
        <w:t>2023年学生公寓物品</w:t>
      </w:r>
      <w:r>
        <w:rPr>
          <w:rFonts w:hint="eastAsia" w:ascii="宋体" w:hAnsi="宋体"/>
          <w:color w:val="000000"/>
          <w:sz w:val="24"/>
        </w:rPr>
        <w:t>及相关服务，现就相关事宜公告如下：</w:t>
      </w:r>
    </w:p>
    <w:p>
      <w:pPr>
        <w:widowControl/>
        <w:spacing w:line="440" w:lineRule="exact"/>
        <w:ind w:firstLine="482" w:firstLineChars="200"/>
        <w:rPr>
          <w:rFonts w:hint="default" w:ascii="宋体" w:hAnsi="宋体"/>
          <w:b/>
          <w:color w:val="000000"/>
          <w:sz w:val="24"/>
          <w:lang w:val="en-US"/>
        </w:rPr>
      </w:pPr>
      <w:r>
        <w:rPr>
          <w:rFonts w:hint="eastAsia" w:ascii="宋体" w:hAnsi="宋体"/>
          <w:b/>
          <w:color w:val="000000"/>
          <w:sz w:val="24"/>
        </w:rPr>
        <w:t>一、项目名称：南通大学</w:t>
      </w:r>
      <w:r>
        <w:rPr>
          <w:rFonts w:hint="eastAsia" w:ascii="宋体" w:hAnsi="宋体"/>
          <w:b/>
          <w:spacing w:val="4"/>
          <w:sz w:val="24"/>
          <w:lang w:val="en-US" w:eastAsia="zh-CN"/>
        </w:rPr>
        <w:t>2023年学生公寓物品</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二、招标编号：TDHW(GK)2023-</w:t>
      </w:r>
      <w:r>
        <w:rPr>
          <w:rFonts w:hint="eastAsia" w:ascii="宋体" w:hAnsi="宋体"/>
          <w:b/>
          <w:color w:val="000000"/>
          <w:sz w:val="24"/>
          <w:lang w:val="en-US" w:eastAsia="zh-CN"/>
        </w:rPr>
        <w:t>051</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r>
        <w:rPr>
          <w:rFonts w:hint="eastAsia" w:ascii="宋体" w:hAnsi="宋体" w:cs="宋体"/>
          <w:color w:val="000000" w:themeColor="text1"/>
          <w:spacing w:val="4"/>
          <w:sz w:val="24"/>
          <w14:textFill>
            <w14:solidFill>
              <w14:schemeClr w14:val="tx1"/>
            </w14:solidFill>
          </w14:textFill>
        </w:rPr>
        <w:t>及“附件2南通大学202</w:t>
      </w:r>
      <w:r>
        <w:rPr>
          <w:rFonts w:hint="eastAsia" w:ascii="宋体" w:hAnsi="宋体" w:cs="宋体"/>
          <w:color w:val="000000" w:themeColor="text1"/>
          <w:spacing w:val="4"/>
          <w:sz w:val="24"/>
          <w:lang w:val="en-US" w:eastAsia="zh-CN"/>
          <w14:textFill>
            <w14:solidFill>
              <w14:schemeClr w14:val="tx1"/>
            </w14:solidFill>
          </w14:textFill>
        </w:rPr>
        <w:t>3</w:t>
      </w:r>
      <w:r>
        <w:rPr>
          <w:rFonts w:hint="eastAsia" w:ascii="宋体" w:hAnsi="宋体" w:cs="宋体"/>
          <w:color w:val="000000" w:themeColor="text1"/>
          <w:spacing w:val="4"/>
          <w:sz w:val="24"/>
          <w14:textFill>
            <w14:solidFill>
              <w14:schemeClr w14:val="tx1"/>
            </w14:solidFill>
          </w14:textFill>
        </w:rPr>
        <w:t>年学生公寓物品报价单”相关要求。</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cs="宋体"/>
          <w:color w:val="000000" w:themeColor="text1"/>
          <w:sz w:val="24"/>
          <w:lang w:val="en-US" w:eastAsia="zh-CN"/>
          <w14:textFill>
            <w14:solidFill>
              <w14:schemeClr w14:val="tx1"/>
            </w14:solidFill>
          </w14:textFill>
        </w:rPr>
        <w:t>1900</w:t>
      </w:r>
      <w:r>
        <w:rPr>
          <w:rFonts w:hint="eastAsia" w:ascii="宋体" w:hAnsi="宋体" w:cs="宋体"/>
          <w:color w:val="000000" w:themeColor="text1"/>
          <w:sz w:val="24"/>
          <w14:textFill>
            <w14:solidFill>
              <w14:schemeClr w14:val="tx1"/>
            </w14:solidFill>
          </w14:textFill>
        </w:rPr>
        <w:t>套，</w:t>
      </w:r>
      <w:r>
        <w:rPr>
          <w:rFonts w:hint="eastAsia" w:ascii="宋体" w:hAnsi="宋体" w:cs="宋体"/>
          <w:color w:val="000000" w:themeColor="text1"/>
          <w:sz w:val="24"/>
          <w:lang w:val="en-US" w:eastAsia="zh-CN"/>
          <w14:textFill>
            <w14:solidFill>
              <w14:schemeClr w14:val="tx1"/>
            </w14:solidFill>
          </w14:textFill>
        </w:rPr>
        <w:t>90</w:t>
      </w:r>
      <w:r>
        <w:rPr>
          <w:rFonts w:hint="eastAsia" w:ascii="宋体" w:hAnsi="宋体" w:cs="宋体"/>
          <w:color w:val="000000" w:themeColor="text1"/>
          <w:sz w:val="24"/>
          <w14:textFill>
            <w14:solidFill>
              <w14:schemeClr w14:val="tx1"/>
            </w14:solidFill>
          </w14:textFill>
        </w:rPr>
        <w:t>万元</w:t>
      </w:r>
      <w:r>
        <w:rPr>
          <w:rFonts w:hint="eastAsia" w:ascii="宋体" w:hAnsi="宋体"/>
          <w:b/>
          <w:color w:val="000000"/>
          <w:sz w:val="24"/>
        </w:rPr>
        <w:t>。</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五、合格的投标人</w:t>
      </w:r>
    </w:p>
    <w:p>
      <w:pPr>
        <w:spacing w:line="360" w:lineRule="auto"/>
        <w:ind w:firstLine="470" w:firstLineChars="196"/>
        <w:rPr>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参加本次招标活动的投标人除应当符合《中华人民共和国政府采购法》第二十二条的规定外，还必须具备以下条件：</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、中国境内合法注册的企业法人；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、招标货物的专业制造厂（商）或销售商；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、具有本次招标货物的供货、安装、售后服务等的相应经验和能力；</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）供应商最近三年内被“信用中国（</w:t>
      </w:r>
      <w:r>
        <w:rPr>
          <w:rFonts w:ascii="宋体" w:hAnsi="宋体"/>
          <w:color w:val="000000" w:themeColor="text1"/>
          <w:sz w:val="24"/>
          <w14:textFill>
            <w14:solidFill>
              <w14:schemeClr w14:val="tx1"/>
            </w14:solidFill>
          </w14:textFill>
        </w:rPr>
        <w:t>www.creditchina.gov.cn</w:t>
      </w:r>
      <w:r>
        <w:rPr>
          <w:rFonts w:hint="eastAsia" w:ascii="宋体" w:hAnsi="宋体"/>
          <w:color w:val="000000" w:themeColor="text1"/>
          <w:sz w:val="24"/>
          <w14:textFill>
            <w14:solidFill>
              <w14:schemeClr w14:val="tx1"/>
            </w14:solidFill>
          </w14:textFill>
        </w:rPr>
        <w:t>）”、“中国政府采购网（www.ccgp.gov.cn）”、“信用江苏（www.jscredit.gov.cn）”网站列入失信执行人、重大税收违法案件当事人名单、政府采购严重违法失信行为记录名单的（处罚期限尚未届满的）供应商。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）法定代表人为同一人的两个及两个以上法人，母公司、全资子公司及其控股公司不得在本项目招标中同时参加。</w:t>
      </w:r>
    </w:p>
    <w:p>
      <w:pPr>
        <w:spacing w:line="360" w:lineRule="auto"/>
        <w:ind w:firstLine="498" w:firstLineChars="200"/>
        <w:rPr>
          <w:rFonts w:ascii="宋体" w:cs="宋体"/>
          <w:b/>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360" w:lineRule="auto"/>
        <w:ind w:firstLine="498"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七、 招标文件获取：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34"/>
          <w:rFonts w:hint="eastAsia"/>
          <w:color w:val="000000" w:themeColor="text1"/>
          <w:sz w:val="24"/>
          <w14:textFill>
            <w14:solidFill>
              <w14:schemeClr w14:val="tx1"/>
            </w14:solidFill>
          </w14:textFill>
        </w:rPr>
        <w:t>ztb</w:t>
      </w:r>
      <w:r>
        <w:rPr>
          <w:rStyle w:val="34"/>
          <w:color w:val="000000" w:themeColor="text1"/>
          <w:sz w:val="24"/>
          <w14:textFill>
            <w14:solidFill>
              <w14:schemeClr w14:val="tx1"/>
            </w14:solidFill>
          </w14:textFill>
        </w:rPr>
        <w:t>.ntu.edu.cn</w:t>
      </w:r>
      <w:r>
        <w:rPr>
          <w:rStyle w:val="34"/>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八</w:t>
      </w:r>
      <w:r>
        <w:rPr>
          <w:rFonts w:hint="eastAsia" w:asciiTheme="minorEastAsia" w:hAnsiTheme="minorEastAsia" w:eastAsiaTheme="minorEastAsia"/>
          <w:b/>
          <w:color w:val="000000" w:themeColor="text1"/>
          <w:sz w:val="24"/>
          <w14:textFill>
            <w14:solidFill>
              <w14:schemeClr w14:val="tx1"/>
            </w14:solidFill>
          </w14:textFill>
        </w:rPr>
        <w:t>、投标登记：</w:t>
      </w:r>
      <w:r>
        <w:rPr>
          <w:rFonts w:hint="eastAsia" w:ascii="宋体" w:hAnsi="宋体"/>
          <w:color w:val="000000" w:themeColor="text1"/>
          <w:spacing w:val="4"/>
          <w:sz w:val="24"/>
          <w14:textFill>
            <w14:solidFill>
              <w14:schemeClr w14:val="tx1"/>
            </w14:solidFill>
          </w14:textFill>
        </w:rPr>
        <w:t>潜在投标人如确定参加投标，请务必在南通大学供应商库(</w:t>
      </w:r>
      <w:r>
        <w:fldChar w:fldCharType="begin"/>
      </w:r>
      <w:r>
        <w:instrText xml:space="preserve"> HYPERLINK "https://ztb.ntu.edu.cn/gyszc.htm" </w:instrText>
      </w:r>
      <w:r>
        <w:fldChar w:fldCharType="separate"/>
      </w:r>
      <w:r>
        <w:rPr>
          <w:rStyle w:val="34"/>
          <w:rFonts w:hint="eastAsia" w:ascii="宋体" w:hAnsi="宋体"/>
          <w:spacing w:val="4"/>
          <w:sz w:val="24"/>
        </w:rPr>
        <w:t>https://ztb.ntu.edu.cn/gyszc.htm</w:t>
      </w:r>
      <w:r>
        <w:rPr>
          <w:rStyle w:val="34"/>
          <w:rFonts w:hint="eastAsia" w:ascii="宋体" w:hAnsi="宋体"/>
          <w:spacing w:val="4"/>
          <w:sz w:val="24"/>
        </w:rPr>
        <w:fldChar w:fldCharType="end"/>
      </w:r>
      <w:r>
        <w:rPr>
          <w:rFonts w:hint="eastAsia" w:ascii="宋体" w:hAnsi="宋体"/>
          <w:color w:val="000000" w:themeColor="text1"/>
          <w:spacing w:val="4"/>
          <w:sz w:val="24"/>
          <w14:textFill>
            <w14:solidFill>
              <w14:schemeClr w14:val="tx1"/>
            </w14:solidFill>
          </w14:textFill>
        </w:rPr>
        <w:t>)注册并完成登记。若未按上述要求操作，将自行承担所产生的风险。</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九、</w:t>
      </w:r>
      <w:r>
        <w:rPr>
          <w:rFonts w:hint="eastAsia" w:ascii="宋体" w:hAnsi="宋体"/>
          <w:b/>
          <w:color w:val="000000" w:themeColor="text1"/>
          <w:spacing w:val="4"/>
          <w:sz w:val="24"/>
          <w14:textFill>
            <w14:solidFill>
              <w14:schemeClr w14:val="tx1"/>
            </w14:solidFill>
          </w14:textFill>
        </w:rPr>
        <w:t>招标文件</w:t>
      </w:r>
      <w:r>
        <w:rPr>
          <w:rFonts w:hint="eastAsia"/>
          <w:b/>
          <w:color w:val="000000" w:themeColor="text1"/>
          <w:sz w:val="24"/>
          <w14:textFill>
            <w14:solidFill>
              <w14:schemeClr w14:val="tx1"/>
            </w14:solidFill>
          </w14:textFill>
        </w:rPr>
        <w:t>售价：</w:t>
      </w:r>
      <w:r>
        <w:rPr>
          <w:rFonts w:hint="eastAsia"/>
          <w:color w:val="000000" w:themeColor="text1"/>
          <w:sz w:val="24"/>
          <w14:textFill>
            <w14:solidFill>
              <w14:schemeClr w14:val="tx1"/>
            </w14:solidFill>
          </w14:textFill>
        </w:rPr>
        <w:t>确定参与本次采购活动的供应商，须支付标书费</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00元人民币。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（请通过https://ztb.ntu.edu.cn/gyszc.htm缴纳，标书费事后不退，标书费发票将以电子发票形式推送到登记注册邮箱。）</w:t>
      </w:r>
    </w:p>
    <w:p>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482" w:firstLineChars="200"/>
        <w:textAlignment w:val="auto"/>
        <w:rPr>
          <w:rFonts w:hint="eastAsia" w:ascii="宋体" w:hAnsi="宋体"/>
          <w:b/>
          <w:color w:val="000000"/>
          <w:sz w:val="24"/>
          <w:lang w:eastAsia="zh-CN"/>
        </w:rPr>
      </w:pPr>
      <w:r>
        <w:rPr>
          <w:rFonts w:hint="eastAsia" w:ascii="宋体" w:hAnsi="宋体"/>
          <w:b/>
          <w:color w:val="000000"/>
          <w:sz w:val="24"/>
        </w:rPr>
        <w:t>投标方式</w:t>
      </w:r>
      <w:r>
        <w:rPr>
          <w:rFonts w:hint="eastAsia" w:ascii="宋体" w:hAnsi="宋体"/>
          <w:b/>
          <w:color w:val="000000"/>
          <w:sz w:val="24"/>
          <w:lang w:eastAsia="zh-CN"/>
        </w:rPr>
        <w:t>：</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w:t>
      </w:r>
      <w:r>
        <w:rPr>
          <w:rFonts w:hint="eastAsia" w:ascii="宋体" w:hAnsi="宋体"/>
          <w:b/>
          <w:color w:val="000000"/>
          <w:sz w:val="24"/>
          <w:lang w:eastAsia="zh-CN"/>
        </w:rPr>
        <w:t>及样品</w:t>
      </w:r>
      <w:r>
        <w:rPr>
          <w:rFonts w:hint="eastAsia" w:ascii="宋体" w:hAnsi="宋体"/>
          <w:b/>
          <w:color w:val="000000"/>
          <w:sz w:val="24"/>
        </w:rPr>
        <w:t>接收开始时间：</w:t>
      </w:r>
      <w:r>
        <w:rPr>
          <w:rFonts w:hint="eastAsia" w:ascii="宋体" w:hAnsi="宋体"/>
          <w:color w:val="000000"/>
          <w:sz w:val="24"/>
        </w:rPr>
        <w:t>2023年</w:t>
      </w:r>
      <w:r>
        <w:rPr>
          <w:rFonts w:hint="eastAsia" w:ascii="宋体" w:hAnsi="宋体"/>
          <w:color w:val="000000"/>
          <w:sz w:val="24"/>
          <w:lang w:val="en-US" w:eastAsia="zh-CN"/>
        </w:rPr>
        <w:t>7</w:t>
      </w:r>
      <w:r>
        <w:rPr>
          <w:rFonts w:hint="eastAsia" w:ascii="宋体" w:hAnsi="宋体"/>
          <w:color w:val="000000"/>
          <w:sz w:val="24"/>
        </w:rPr>
        <w:t>月</w:t>
      </w:r>
      <w:r>
        <w:rPr>
          <w:rFonts w:hint="eastAsia" w:ascii="宋体" w:hAnsi="宋体"/>
          <w:color w:val="000000"/>
          <w:sz w:val="24"/>
          <w:lang w:val="en-US" w:eastAsia="zh-CN"/>
        </w:rPr>
        <w:t>11</w:t>
      </w:r>
      <w:r>
        <w:rPr>
          <w:rFonts w:hint="eastAsia" w:ascii="宋体" w:hAnsi="宋体"/>
          <w:color w:val="000000"/>
          <w:sz w:val="24"/>
        </w:rPr>
        <w:t>日</w:t>
      </w:r>
      <w:r>
        <w:rPr>
          <w:rFonts w:hint="eastAsia" w:ascii="宋体" w:hAnsi="宋体"/>
          <w:color w:val="000000"/>
          <w:sz w:val="24"/>
          <w:lang w:val="en-US" w:eastAsia="zh-CN"/>
        </w:rPr>
        <w:t>13</w:t>
      </w:r>
      <w:r>
        <w:rPr>
          <w:rFonts w:hint="eastAsia" w:ascii="宋体" w:hAnsi="宋体"/>
          <w:color w:val="000000"/>
          <w:sz w:val="24"/>
        </w:rPr>
        <w:t>时</w:t>
      </w:r>
      <w:r>
        <w:rPr>
          <w:rFonts w:hint="eastAsia" w:ascii="宋体" w:hAnsi="宋体"/>
          <w:color w:val="000000"/>
          <w:sz w:val="24"/>
          <w:lang w:val="en-US" w:eastAsia="zh-CN"/>
        </w:rPr>
        <w:t>30</w:t>
      </w:r>
      <w:r>
        <w:rPr>
          <w:rFonts w:hint="eastAsia" w:ascii="宋体" w:hAnsi="宋体"/>
          <w:color w:val="000000"/>
          <w:sz w:val="24"/>
        </w:rPr>
        <w:t>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2023年</w:t>
      </w:r>
      <w:r>
        <w:rPr>
          <w:rFonts w:hint="eastAsia" w:ascii="宋体" w:hAnsi="宋体"/>
          <w:color w:val="000000"/>
          <w:sz w:val="24"/>
          <w:lang w:val="en-US" w:eastAsia="zh-CN"/>
        </w:rPr>
        <w:t>7</w:t>
      </w:r>
      <w:r>
        <w:rPr>
          <w:rFonts w:hint="eastAsia" w:ascii="宋体" w:hAnsi="宋体"/>
          <w:color w:val="000000"/>
          <w:sz w:val="24"/>
        </w:rPr>
        <w:t>月</w:t>
      </w:r>
      <w:r>
        <w:rPr>
          <w:rFonts w:hint="eastAsia" w:ascii="宋体" w:hAnsi="宋体"/>
          <w:color w:val="000000"/>
          <w:sz w:val="24"/>
          <w:lang w:val="en-US" w:eastAsia="zh-CN"/>
        </w:rPr>
        <w:t>11</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时30分</w:t>
      </w:r>
      <w:bookmarkStart w:id="34" w:name="_GoBack"/>
      <w:bookmarkEnd w:id="34"/>
    </w:p>
    <w:p>
      <w:pPr>
        <w:widowControl/>
        <w:spacing w:line="440" w:lineRule="exact"/>
        <w:ind w:firstLine="482" w:firstLineChars="200"/>
        <w:rPr>
          <w:rFonts w:hint="default" w:ascii="宋体" w:hAnsi="宋体" w:eastAsia="宋体"/>
          <w:color w:val="000000"/>
          <w:sz w:val="24"/>
          <w:lang w:val="en-US" w:eastAsia="zh-CN"/>
        </w:rPr>
      </w:pPr>
      <w:r>
        <w:rPr>
          <w:rFonts w:hint="eastAsia" w:ascii="宋体" w:hAnsi="宋体"/>
          <w:b/>
          <w:color w:val="000000"/>
          <w:sz w:val="24"/>
        </w:rPr>
        <w:t>3、投标文件</w:t>
      </w:r>
      <w:r>
        <w:rPr>
          <w:rFonts w:hint="eastAsia" w:ascii="宋体" w:hAnsi="宋体"/>
          <w:b/>
          <w:color w:val="000000"/>
          <w:sz w:val="24"/>
          <w:lang w:eastAsia="zh-CN"/>
        </w:rPr>
        <w:t>及样品</w:t>
      </w:r>
      <w:r>
        <w:rPr>
          <w:rFonts w:hint="eastAsia" w:ascii="宋体" w:hAnsi="宋体"/>
          <w:b/>
          <w:color w:val="000000"/>
          <w:sz w:val="24"/>
        </w:rPr>
        <w:t>接收地点：</w:t>
      </w:r>
      <w:r>
        <w:rPr>
          <w:rFonts w:hint="eastAsia" w:ascii="宋体" w:hAnsi="宋体"/>
          <w:color w:val="000000"/>
          <w:sz w:val="24"/>
        </w:rPr>
        <w:t>南通大学啬园校区</w:t>
      </w:r>
      <w:r>
        <w:rPr>
          <w:rFonts w:hint="eastAsia" w:ascii="宋体" w:hAnsi="宋体"/>
          <w:color w:val="000000"/>
          <w:sz w:val="24"/>
          <w:lang w:eastAsia="zh-CN"/>
        </w:rPr>
        <w:t>综合楼</w:t>
      </w:r>
      <w:r>
        <w:rPr>
          <w:rFonts w:hint="eastAsia" w:ascii="宋体" w:hAnsi="宋体"/>
          <w:color w:val="000000"/>
          <w:sz w:val="24"/>
          <w:lang w:val="en-US" w:eastAsia="zh-CN"/>
        </w:rPr>
        <w:t>202室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b w:val="0"/>
          <w:bCs/>
          <w:color w:val="000000"/>
          <w:sz w:val="24"/>
          <w:lang w:eastAsia="zh-CN"/>
        </w:rPr>
        <w:t>陈</w:t>
      </w:r>
      <w:r>
        <w:rPr>
          <w:rFonts w:hint="eastAsia" w:ascii="宋体" w:hAnsi="宋体"/>
          <w:b w:val="0"/>
          <w:bCs/>
          <w:color w:val="000000"/>
          <w:sz w:val="24"/>
        </w:rPr>
        <w:t>老师0513-85012</w:t>
      </w:r>
      <w:r>
        <w:rPr>
          <w:rFonts w:hint="eastAsia" w:ascii="宋体" w:hAnsi="宋体"/>
          <w:b w:val="0"/>
          <w:bCs/>
          <w:color w:val="000000"/>
          <w:sz w:val="24"/>
          <w:lang w:val="en-US" w:eastAsia="zh-CN"/>
        </w:rPr>
        <w:t>648</w:t>
      </w:r>
    </w:p>
    <w:p>
      <w:pPr>
        <w:spacing w:line="360" w:lineRule="auto"/>
        <w:ind w:firstLine="498" w:firstLineChars="200"/>
        <w:rPr>
          <w:rFonts w:hint="eastAsia" w:ascii="宋体" w:hAns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十一、开评标地点：南通大学啬园校区综合楼23</w:t>
      </w:r>
      <w:r>
        <w:rPr>
          <w:rFonts w:hint="eastAsia" w:ascii="宋体" w:hAnsi="宋体"/>
          <w:b/>
          <w:color w:val="000000" w:themeColor="text1"/>
          <w:spacing w:val="4"/>
          <w:sz w:val="24"/>
          <w:lang w:val="en-US" w:eastAsia="zh-CN"/>
          <w14:textFill>
            <w14:solidFill>
              <w14:schemeClr w14:val="tx1"/>
            </w14:solidFill>
          </w14:textFill>
        </w:rPr>
        <w:t>3</w:t>
      </w:r>
      <w:r>
        <w:rPr>
          <w:rFonts w:hint="eastAsia" w:ascii="宋体" w:hAnsi="宋体"/>
          <w:b/>
          <w:color w:val="000000" w:themeColor="text1"/>
          <w:spacing w:val="4"/>
          <w:sz w:val="24"/>
          <w14:textFill>
            <w14:solidFill>
              <w14:schemeClr w14:val="tx1"/>
            </w14:solidFill>
          </w14:textFill>
        </w:rPr>
        <w:t>室</w:t>
      </w:r>
    </w:p>
    <w:p>
      <w:pPr>
        <w:spacing w:line="360" w:lineRule="auto"/>
        <w:ind w:firstLine="498" w:firstLineChars="200"/>
        <w:rPr>
          <w:rFonts w:hint="eastAsia" w:ascii="宋体" w:hAns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十二、</w:t>
      </w:r>
      <w:r>
        <w:rPr>
          <w:rFonts w:hint="eastAsia" w:ascii="宋体" w:hAnsi="宋体"/>
          <w:b/>
          <w:color w:val="000000" w:themeColor="text1"/>
          <w:spacing w:val="4"/>
          <w:sz w:val="24"/>
          <w:lang w:eastAsia="zh-CN"/>
          <w14:textFill>
            <w14:solidFill>
              <w14:schemeClr w14:val="tx1"/>
            </w14:solidFill>
          </w14:textFill>
        </w:rPr>
        <w:t>送样品时</w:t>
      </w:r>
      <w:r>
        <w:rPr>
          <w:rFonts w:hint="eastAsia" w:ascii="宋体" w:hAnsi="宋体"/>
          <w:b/>
          <w:color w:val="000000" w:themeColor="text1"/>
          <w:spacing w:val="4"/>
          <w:sz w:val="24"/>
          <w14:textFill>
            <w14:solidFill>
              <w14:schemeClr w14:val="tx1"/>
            </w14:solidFill>
          </w14:textFill>
        </w:rPr>
        <w:t>进入校园</w:t>
      </w:r>
      <w:r>
        <w:rPr>
          <w:rFonts w:hint="eastAsia" w:ascii="宋体" w:hAnsi="宋体"/>
          <w:b/>
          <w:color w:val="000000" w:themeColor="text1"/>
          <w:spacing w:val="4"/>
          <w:sz w:val="24"/>
          <w:lang w:eastAsia="zh-CN"/>
          <w14:textFill>
            <w14:solidFill>
              <w14:schemeClr w14:val="tx1"/>
            </w14:solidFill>
          </w14:textFill>
        </w:rPr>
        <w:t>，</w:t>
      </w:r>
      <w:r>
        <w:rPr>
          <w:rFonts w:hint="eastAsia" w:ascii="宋体" w:hAnsi="宋体"/>
          <w:b/>
          <w:color w:val="000000" w:themeColor="text1"/>
          <w:spacing w:val="4"/>
          <w:sz w:val="24"/>
          <w14:textFill>
            <w14:solidFill>
              <w14:schemeClr w14:val="tx1"/>
            </w14:solidFill>
          </w14:textFill>
        </w:rPr>
        <w:t>所需办理的手续请与</w:t>
      </w:r>
      <w:r>
        <w:rPr>
          <w:rFonts w:hint="eastAsia" w:ascii="宋体" w:hAnsi="宋体"/>
          <w:b/>
          <w:color w:val="000000" w:themeColor="text1"/>
          <w:spacing w:val="4"/>
          <w:sz w:val="24"/>
          <w:lang w:eastAsia="zh-CN"/>
          <w14:textFill>
            <w14:solidFill>
              <w14:schemeClr w14:val="tx1"/>
            </w14:solidFill>
          </w14:textFill>
        </w:rPr>
        <w:t>陈</w:t>
      </w:r>
      <w:r>
        <w:rPr>
          <w:rFonts w:hint="eastAsia" w:ascii="宋体" w:hAnsi="宋体"/>
          <w:b/>
          <w:color w:val="000000" w:themeColor="text1"/>
          <w:spacing w:val="4"/>
          <w:sz w:val="24"/>
          <w14:textFill>
            <w14:solidFill>
              <w14:schemeClr w14:val="tx1"/>
            </w14:solidFill>
          </w14:textFill>
        </w:rPr>
        <w:t>老师联系，联系电话：</w:t>
      </w:r>
      <w:r>
        <w:rPr>
          <w:rFonts w:hint="eastAsia" w:ascii="宋体" w:hAnsi="宋体"/>
          <w:color w:val="000000"/>
          <w:sz w:val="24"/>
        </w:rPr>
        <w:t>0513-85012</w:t>
      </w:r>
      <w:r>
        <w:rPr>
          <w:rFonts w:hint="eastAsia" w:ascii="宋体" w:hAnsi="宋体"/>
          <w:color w:val="000000"/>
          <w:sz w:val="24"/>
          <w:lang w:val="en-US" w:eastAsia="zh-CN"/>
        </w:rPr>
        <w:t>648</w:t>
      </w:r>
    </w:p>
    <w:p>
      <w:pPr>
        <w:keepNext w:val="0"/>
        <w:keepLines w:val="0"/>
        <w:pageBreakBefore w:val="0"/>
        <w:kinsoku/>
        <w:wordWrap/>
        <w:overflowPunct/>
        <w:topLinePunct w:val="0"/>
        <w:autoSpaceDE/>
        <w:autoSpaceDN/>
        <w:bidi w:val="0"/>
        <w:adjustRightInd/>
        <w:snapToGrid/>
        <w:spacing w:line="360" w:lineRule="auto"/>
        <w:ind w:firstLine="498" w:firstLineChars="200"/>
        <w:textAlignment w:val="auto"/>
        <w:rPr>
          <w:rFonts w:hint="eastAsia" w:ascii="宋体" w:hAns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w:t>
      </w:r>
      <w:r>
        <w:rPr>
          <w:rFonts w:hint="eastAsia" w:ascii="宋体" w:hAnsi="宋体"/>
          <w:b/>
          <w:color w:val="000000" w:themeColor="text1"/>
          <w:spacing w:val="4"/>
          <w:sz w:val="24"/>
          <w:lang w:eastAsia="zh-CN"/>
          <w14:textFill>
            <w14:solidFill>
              <w14:schemeClr w14:val="tx1"/>
            </w14:solidFill>
          </w14:textFill>
        </w:rPr>
        <w:t>三</w:t>
      </w:r>
      <w:r>
        <w:rPr>
          <w:rFonts w:hint="eastAsia" w:ascii="宋体" w:hAnsi="宋体"/>
          <w:b/>
          <w:color w:val="000000" w:themeColor="text1"/>
          <w:spacing w:val="4"/>
          <w:sz w:val="24"/>
          <w14:textFill>
            <w14:solidFill>
              <w14:schemeClr w14:val="tx1"/>
            </w14:solidFill>
          </w14:textFill>
        </w:rPr>
        <w:t>、与本次谈判有关的事宜请按下列通讯方式联系</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lang w:eastAsia="zh-CN"/>
        </w:rPr>
        <w:t>陈老师</w:t>
      </w:r>
      <w:r>
        <w:rPr>
          <w:rFonts w:hint="eastAsia" w:ascii="宋体" w:hAnsi="宋体"/>
          <w:color w:val="000000"/>
          <w:sz w:val="24"/>
        </w:rPr>
        <w:t>0513-85012</w:t>
      </w:r>
      <w:r>
        <w:rPr>
          <w:rFonts w:hint="eastAsia" w:ascii="宋体" w:hAnsi="宋体"/>
          <w:color w:val="000000"/>
          <w:sz w:val="24"/>
          <w:lang w:val="en-US" w:eastAsia="zh-CN"/>
        </w:rPr>
        <w:t>648</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w:t>
      </w:r>
      <w:r>
        <w:rPr>
          <w:rFonts w:hint="eastAsia" w:ascii="宋体" w:hAnsi="宋体"/>
          <w:color w:val="000000"/>
          <w:sz w:val="24"/>
          <w:lang w:eastAsia="zh-CN"/>
        </w:rPr>
        <w:t>老师</w:t>
      </w:r>
      <w:r>
        <w:rPr>
          <w:rFonts w:hint="eastAsia" w:ascii="宋体" w:hAnsi="宋体"/>
          <w:color w:val="000000"/>
          <w:sz w:val="24"/>
        </w:rPr>
        <w:t>0513-85012138，牛</w:t>
      </w:r>
      <w:r>
        <w:rPr>
          <w:rFonts w:hint="eastAsia" w:ascii="宋体" w:hAnsi="宋体"/>
          <w:color w:val="000000"/>
          <w:sz w:val="24"/>
          <w:lang w:eastAsia="zh-CN"/>
        </w:rPr>
        <w:t>老师</w:t>
      </w:r>
      <w:r>
        <w:rPr>
          <w:rFonts w:hint="eastAsia" w:ascii="宋体" w:hAnsi="宋体"/>
          <w:color w:val="000000"/>
          <w:sz w:val="24"/>
        </w:rPr>
        <w:t>0513-85012891。</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olor w:val="000000"/>
          <w:sz w:val="24"/>
        </w:rPr>
      </w:pPr>
    </w:p>
    <w:p>
      <w:pPr>
        <w:keepNext w:val="0"/>
        <w:keepLines w:val="0"/>
        <w:pageBreakBefore w:val="0"/>
        <w:kinsoku/>
        <w:wordWrap/>
        <w:overflowPunct/>
        <w:topLinePunct w:val="0"/>
        <w:autoSpaceDE/>
        <w:autoSpaceDN/>
        <w:bidi w:val="0"/>
        <w:adjustRightInd/>
        <w:snapToGrid/>
        <w:spacing w:line="360" w:lineRule="auto"/>
        <w:ind w:firstLine="496" w:firstLineChars="200"/>
        <w:textAlignment w:val="auto"/>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keepNext w:val="0"/>
        <w:keepLines w:val="0"/>
        <w:pageBreakBefore w:val="0"/>
        <w:kinsoku/>
        <w:wordWrap/>
        <w:overflowPunct/>
        <w:topLinePunct w:val="0"/>
        <w:autoSpaceDE/>
        <w:autoSpaceDN/>
        <w:bidi w:val="0"/>
        <w:adjustRightInd/>
        <w:snapToGrid/>
        <w:spacing w:line="360" w:lineRule="auto"/>
        <w:textAlignment w:val="auto"/>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28826"/>
      <w:r>
        <w:rPr>
          <w:rFonts w:hint="eastAsia"/>
          <w:color w:val="000000" w:themeColor="text1"/>
          <w14:textFill>
            <w14:solidFill>
              <w14:schemeClr w14:val="tx1"/>
            </w14:solidFill>
          </w14:textFill>
        </w:rPr>
        <w:t>第二部分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投标人须知</w:t>
      </w:r>
      <w:bookmarkEnd w:id="1"/>
    </w:p>
    <w:p>
      <w:pPr>
        <w:pStyle w:val="4"/>
        <w:rPr>
          <w:color w:val="000000" w:themeColor="text1"/>
          <w14:textFill>
            <w14:solidFill>
              <w14:schemeClr w14:val="tx1"/>
            </w14:solidFill>
          </w14:textFill>
        </w:rPr>
      </w:pPr>
      <w:bookmarkStart w:id="2" w:name="_Toc3684"/>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15587"/>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）南通大学202</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年学生公寓物品报价单（格式见附件2）</w:t>
      </w:r>
    </w:p>
    <w:p>
      <w:pPr>
        <w:pStyle w:val="58"/>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）投标承诺函（格式见附件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（2）</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（4）评分项中未涉及投标人认为需要提交的其他材料。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360" w:lineRule="auto"/>
        <w:ind w:firstLine="480" w:firstLineChars="200"/>
        <w:rPr>
          <w:rFonts w:hint="eastAsia" w:ascii="宋体" w:hAnsi="宋体"/>
          <w:color w:val="000000" w:themeColor="text1"/>
          <w:sz w:val="24"/>
          <w14:textFill>
            <w14:solidFill>
              <w14:schemeClr w14:val="tx1"/>
            </w14:solidFill>
          </w14:textFill>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sz w:val="24"/>
        </w:rPr>
        <w:t>法定代表人资格证明</w:t>
      </w:r>
      <w:r>
        <w:rPr>
          <w:rFonts w:hint="eastAsia"/>
          <w:color w:val="000000" w:themeColor="text1"/>
          <w:sz w:val="24"/>
          <w14:textFill>
            <w14:solidFill>
              <w14:schemeClr w14:val="tx1"/>
            </w14:solidFill>
          </w14:textFill>
        </w:rPr>
        <w:t>（格式见附件</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）法定代表人授权书（格式见附件</w:t>
      </w:r>
      <w:r>
        <w:rPr>
          <w:rFonts w:hint="eastAsia" w:ascii="宋体" w:hAnsi="宋体"/>
          <w:sz w:val="24"/>
          <w:lang w:val="en-US" w:eastAsia="zh-CN"/>
        </w:rPr>
        <w:t>5，</w:t>
      </w:r>
      <w:r>
        <w:rPr>
          <w:rFonts w:hint="eastAsia"/>
          <w:bCs/>
          <w:color w:val="000000" w:themeColor="text1"/>
          <w:sz w:val="24"/>
          <w14:textFill>
            <w14:solidFill>
              <w14:schemeClr w14:val="tx1"/>
            </w14:solidFill>
          </w14:textFill>
        </w:rPr>
        <w:t>法定代表人直接参与投标无需提供此授权书</w:t>
      </w:r>
      <w:r>
        <w:rPr>
          <w:rFonts w:hint="eastAsia" w:ascii="宋体" w:hAnsi="宋体"/>
          <w:sz w:val="24"/>
        </w:rPr>
        <w:t>）</w:t>
      </w:r>
    </w:p>
    <w:p>
      <w:pPr>
        <w:spacing w:line="440" w:lineRule="exact"/>
        <w:ind w:firstLine="480" w:firstLineChars="200"/>
        <w:rPr>
          <w:rFonts w:hint="eastAsia" w:eastAsia="宋体"/>
          <w:lang w:eastAsia="zh-CN"/>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）无重大违法记录声明（见附件</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lang w:eastAsia="zh-CN"/>
          <w14:textFill>
            <w14:solidFill>
              <w14:schemeClr w14:val="tx1"/>
            </w14:solidFill>
          </w14:textFill>
        </w:rPr>
        <w:t>）</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）诚信承诺书（见附件</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份、副本2份。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w:t>
      </w:r>
      <w:r>
        <w:rPr>
          <w:rFonts w:hint="eastAsia"/>
          <w:color w:val="000000" w:themeColor="text1"/>
          <w:sz w:val="24"/>
          <w:u w:val="single"/>
          <w14:textFill>
            <w14:solidFill>
              <w14:schemeClr w14:val="tx1"/>
            </w14:solidFill>
          </w14:textFill>
        </w:rPr>
        <w:t xml:space="preserve">           </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23935"/>
      <w:r>
        <w:rPr>
          <w:rFonts w:hint="eastAsia"/>
          <w:color w:val="000000" w:themeColor="text1"/>
          <w14:textFill>
            <w14:solidFill>
              <w14:schemeClr w14:val="tx1"/>
            </w14:solidFill>
          </w14:textFill>
        </w:rPr>
        <w:t>三、投标细则</w:t>
      </w:r>
      <w:bookmarkEnd w:id="4"/>
    </w:p>
    <w:p>
      <w:pPr>
        <w:keepNext w:val="0"/>
        <w:keepLines w:val="0"/>
        <w:pageBreakBefore w:val="0"/>
        <w:widowControl w:val="0"/>
        <w:kinsoku/>
        <w:wordWrap/>
        <w:overflowPunct/>
        <w:topLinePunct w:val="0"/>
        <w:autoSpaceDE/>
        <w:autoSpaceDN/>
        <w:bidi w:val="0"/>
        <w:adjustRightInd/>
        <w:snapToGrid/>
        <w:spacing w:line="460" w:lineRule="exact"/>
        <w:ind w:firstLine="472" w:firstLineChars="196"/>
        <w:textAlignment w:val="auto"/>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keepNext w:val="0"/>
        <w:keepLines w:val="0"/>
        <w:pageBreakBefore w:val="0"/>
        <w:widowControl w:val="0"/>
        <w:kinsoku/>
        <w:wordWrap/>
        <w:overflowPunct/>
        <w:topLinePunct w:val="0"/>
        <w:autoSpaceDE/>
        <w:autoSpaceDN/>
        <w:bidi w:val="0"/>
        <w:adjustRightInd/>
        <w:snapToGrid/>
        <w:spacing w:line="460" w:lineRule="exact"/>
        <w:ind w:firstLine="470" w:firstLineChars="196"/>
        <w:textAlignment w:val="auto"/>
        <w:rPr>
          <w:rFonts w:hint="eastAsia" w:ascii="宋体"/>
          <w:color w:val="000000" w:themeColor="text1"/>
          <w:sz w:val="24"/>
          <w:lang w:val="zh-CN"/>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pStyle w:val="2"/>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pPr>
      <w:r>
        <w:rPr>
          <w:rFonts w:hint="eastAsia" w:ascii="宋体" w:hAnsi="宋体" w:cs="宋体"/>
          <w:bCs/>
          <w:color w:val="000000" w:themeColor="text1"/>
          <w:sz w:val="24"/>
          <w14:textFill>
            <w14:solidFill>
              <w14:schemeClr w14:val="tx1"/>
            </w14:solidFill>
          </w14:textFill>
        </w:rPr>
        <w:t>投标方须严格按本文件规定的时间和要求投标、送样。逾期或不符合本文件规定要求的，恕不接收。如中标样品品质高于招标方要求，在货物抽检时，招标方将按中标样品品质委托南通质量技术监督局纤维检验所检测，如与中标样品不符，将被视为货物不合格，中标方将承担中标总价150%的赔偿责任。</w:t>
      </w:r>
    </w:p>
    <w:p>
      <w:pPr>
        <w:keepNext w:val="0"/>
        <w:keepLines w:val="0"/>
        <w:pageBreakBefore w:val="0"/>
        <w:widowControl w:val="0"/>
        <w:kinsoku/>
        <w:wordWrap/>
        <w:overflowPunct/>
        <w:topLinePunct w:val="0"/>
        <w:autoSpaceDE/>
        <w:autoSpaceDN/>
        <w:bidi w:val="0"/>
        <w:adjustRightInd/>
        <w:snapToGrid/>
        <w:spacing w:line="460" w:lineRule="exact"/>
        <w:ind w:firstLine="472" w:firstLineChars="196"/>
        <w:textAlignment w:val="auto"/>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投标总价应是货物完税后的用户地交货价，其中应包含</w:t>
      </w:r>
      <w:r>
        <w:rPr>
          <w:rFonts w:hint="eastAsia" w:ascii="宋体" w:hAnsi="宋体" w:cs="宋体"/>
          <w:bCs/>
          <w:color w:val="000000" w:themeColor="text1"/>
          <w:sz w:val="24"/>
          <w14:textFill>
            <w14:solidFill>
              <w14:schemeClr w14:val="tx1"/>
            </w14:solidFill>
          </w14:textFill>
        </w:rPr>
        <w:t>产品生产、运输、包装、税金、现场分装、派发至指定宿舍楼学生床铺、收费、发放结束后剩余物品回收、检测费等</w:t>
      </w:r>
      <w:r>
        <w:rPr>
          <w:rFonts w:hint="eastAsia"/>
          <w:color w:val="000000" w:themeColor="text1"/>
          <w:sz w:val="24"/>
          <w14:textFill>
            <w14:solidFill>
              <w14:schemeClr w14:val="tx1"/>
            </w14:solidFill>
          </w14:textFill>
        </w:rPr>
        <w:t>等全部费用，以人民币报价。</w:t>
      </w:r>
    </w:p>
    <w:p>
      <w:pPr>
        <w:keepNext w:val="0"/>
        <w:keepLines w:val="0"/>
        <w:pageBreakBefore w:val="0"/>
        <w:widowControl/>
        <w:kinsoku/>
        <w:wordWrap/>
        <w:overflowPunct/>
        <w:topLinePunct w:val="0"/>
        <w:autoSpaceDE/>
        <w:autoSpaceDN/>
        <w:bidi w:val="0"/>
        <w:adjustRightInd/>
        <w:snapToGrid/>
        <w:spacing w:line="460" w:lineRule="exact"/>
        <w:ind w:firstLine="42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27730"/>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专家组成评审委员会进行评标。</w:t>
      </w:r>
    </w:p>
    <w:p>
      <w:pPr>
        <w:spacing w:line="360" w:lineRule="auto"/>
        <w:ind w:firstLine="482" w:firstLineChars="200"/>
        <w:rPr>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4.3. </w:t>
      </w:r>
      <w:r>
        <w:rPr>
          <w:rFonts w:hint="eastAsia" w:ascii="宋体" w:hAnsi="宋体"/>
          <w:b/>
          <w:color w:val="000000" w:themeColor="text1"/>
          <w:sz w:val="24"/>
          <w14:textFill>
            <w14:solidFill>
              <w14:schemeClr w14:val="tx1"/>
            </w14:solidFill>
          </w14:textFill>
        </w:rPr>
        <w:t>评标时若出现同一品牌的产品有多个投标人投标时，参见《政府采购货物和服务招标投标管理办法》（财政部令第87）相关规定。</w:t>
      </w:r>
    </w:p>
    <w:p>
      <w:pPr>
        <w:spacing w:line="360" w:lineRule="auto"/>
        <w:ind w:firstLine="482" w:firstLineChars="200"/>
        <w:rPr>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4.4. </w:t>
      </w:r>
      <w:r>
        <w:rPr>
          <w:rFonts w:hint="eastAsia" w:ascii="宋体" w:hAnsi="宋体"/>
          <w:color w:val="000000" w:themeColor="text1"/>
          <w:sz w:val="24"/>
          <w14:textFill>
            <w14:solidFill>
              <w14:schemeClr w14:val="tx1"/>
            </w14:solidFill>
          </w14:textFill>
        </w:rPr>
        <w:t>开标结束后，评审委员会对投标人的投标资格进行审查，随后对资格审查通过的投标人是否实质性响应招标文件要求进行符合性审查。</w:t>
      </w:r>
    </w:p>
    <w:p>
      <w:pPr>
        <w:spacing w:line="360" w:lineRule="auto"/>
        <w:ind w:firstLine="482" w:firstLineChars="200"/>
        <w:rPr>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4.5.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为实质上响应的投标。</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 xml:space="preserve">.6. </w:t>
      </w:r>
      <w:r>
        <w:rPr>
          <w:rFonts w:hint="eastAsia"/>
          <w:color w:val="000000" w:themeColor="text1"/>
          <w:sz w:val="24"/>
          <w14:textFill>
            <w14:solidFill>
              <w14:schemeClr w14:val="tx1"/>
            </w14:solidFill>
          </w14:textFill>
        </w:rPr>
        <w:t>投标文件出现（</w:t>
      </w:r>
      <w:r>
        <w:rPr>
          <w:rFonts w:hint="eastAsia"/>
          <w:b/>
          <w:color w:val="000000" w:themeColor="text1"/>
          <w:sz w:val="24"/>
          <w14:textFill>
            <w14:solidFill>
              <w14:schemeClr w14:val="tx1"/>
            </w14:solidFill>
          </w14:textFill>
        </w:rPr>
        <w:t>但不限于</w:t>
      </w:r>
      <w:r>
        <w:rPr>
          <w:rFonts w:hint="eastAsia"/>
          <w:color w:val="000000" w:themeColor="text1"/>
          <w:sz w:val="24"/>
          <w14:textFill>
            <w14:solidFill>
              <w14:schemeClr w14:val="tx1"/>
            </w14:solidFill>
          </w14:textFill>
        </w:rPr>
        <w:t>）下列情况之一的，由评审委员会评审后作</w:t>
      </w:r>
      <w:r>
        <w:rPr>
          <w:rFonts w:hint="eastAsia"/>
          <w:b/>
          <w:color w:val="000000" w:themeColor="text1"/>
          <w:sz w:val="24"/>
          <w14:textFill>
            <w14:solidFill>
              <w14:schemeClr w14:val="tx1"/>
            </w14:solidFill>
          </w14:textFill>
        </w:rPr>
        <w:t>无效投标</w:t>
      </w:r>
      <w:r>
        <w:rPr>
          <w:rFonts w:hint="eastAsia"/>
          <w:color w:val="000000" w:themeColor="text1"/>
          <w:sz w:val="24"/>
          <w14:textFill>
            <w14:solidFill>
              <w14:schemeClr w14:val="tx1"/>
            </w14:solidFill>
          </w14:textFill>
        </w:rPr>
        <w:t>或</w:t>
      </w:r>
      <w:r>
        <w:rPr>
          <w:rFonts w:hint="eastAsia"/>
          <w:b/>
          <w:color w:val="000000" w:themeColor="text1"/>
          <w:sz w:val="24"/>
          <w14:textFill>
            <w14:solidFill>
              <w14:schemeClr w14:val="tx1"/>
            </w14:solidFill>
          </w14:textFill>
        </w:rPr>
        <w:t>废标</w:t>
      </w:r>
      <w:r>
        <w:rPr>
          <w:rFonts w:hint="eastAsia"/>
          <w:color w:val="000000" w:themeColor="text1"/>
          <w:sz w:val="24"/>
          <w14:textFill>
            <w14:solidFill>
              <w14:schemeClr w14:val="tx1"/>
            </w14:solidFill>
          </w14:textFill>
        </w:rPr>
        <w:t>处理：</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）无法定代表人签字或签章、签字或签章人无法定代表人有效委托的；应加盖投标人公章而未盖章的；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）投标有效期不足的；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报价明显偏离市场行情的</w:t>
      </w:r>
      <w:r>
        <w:rPr>
          <w:rFonts w:hint="eastAsia"/>
          <w:color w:val="000000" w:themeColor="text1"/>
          <w:sz w:val="24"/>
          <w14:textFill>
            <w14:solidFill>
              <w14:schemeClr w14:val="tx1"/>
            </w14:solidFill>
          </w14:textFill>
        </w:rPr>
        <w:t>；</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0"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）其他未对招标文件实质性要求和条件做出响应的；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）故意哄抬价格或压价等其它恶意串通投标的；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）有损害采购人和用户利益的规定的；</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）不同投标人的投标文件由同一单位或者个人编制；</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）不同投标人委托同一单位或者个人办理投标事宜；</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）不同投标人的投标文件异常一致或者投标报价呈规律性差异；</w:t>
      </w:r>
    </w:p>
    <w:p>
      <w:pPr>
        <w:spacing w:line="35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）不同投标人的投标文件相互混装；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）投标报价超过招标文件中规定的预算金额；</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16</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480" w:firstLineChars="200"/>
        <w:rPr>
          <w:rFonts w:ascii="宋体" w:hAnsi="宋体" w:cs="Arial"/>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17</w:t>
      </w:r>
      <w:r>
        <w:rPr>
          <w:rFonts w:hint="eastAsia" w:ascii="宋体" w:hAnsi="宋体"/>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因重大变故，招标任务取消的。</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.7</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投标文件报价出现前后不一致的，除招标文件另有规定外，按照下列规定修正：</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（1）投标文件中投标报价总表内容与投标文件中相应内容不一致的，以投标报价总表为准；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（2）大写金额和小写金额不一致的，以大写金额为准；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（3）单价金额小数点或者百分比有明显错位的，以投标报价总表的总价为准，并修改单价；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（4）总价金额与按单价汇总金额不一致的，以单价金额计算结果为准。</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同时出现两种以上不一致的，按照前款规定的顺序修正。修正后的报价经投标人确认后产生约束力，投标人不确认的，其投标无效。</w:t>
      </w:r>
    </w:p>
    <w:p>
      <w:pPr>
        <w:spacing w:line="360" w:lineRule="auto"/>
        <w:ind w:firstLine="482" w:firstLineChars="200"/>
        <w:rPr>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评审委员会认为有必要时，可要求投标人述标或对投标文件中某些内容作出澄清或说明，但不接受投标人主动提出的澄清和说明。</w:t>
      </w:r>
    </w:p>
    <w:p>
      <w:pPr>
        <w:spacing w:line="360" w:lineRule="auto"/>
        <w:ind w:firstLine="482" w:firstLineChars="200"/>
      </w:pPr>
      <w:r>
        <w:rPr>
          <w:rFonts w:hint="eastAsia" w:ascii="宋体" w:hAnsi="宋体"/>
          <w:b/>
          <w:color w:val="000000" w:themeColor="text1"/>
          <w:sz w:val="24"/>
          <w14:textFill>
            <w14:solidFill>
              <w14:schemeClr w14:val="tx1"/>
            </w14:solidFill>
          </w14:textFill>
        </w:rPr>
        <w:t>4</w:t>
      </w:r>
      <w:r>
        <w:rPr>
          <w:rFonts w:ascii="宋体" w:hAnsi="宋体"/>
          <w:b/>
          <w:color w:val="000000" w:themeColor="text1"/>
          <w:sz w:val="24"/>
          <w14:textFill>
            <w14:solidFill>
              <w14:schemeClr w14:val="tx1"/>
            </w14:solidFill>
          </w14:textFill>
        </w:rPr>
        <w:t>.9</w:t>
      </w:r>
      <w:r>
        <w:rPr>
          <w:rFonts w:hint="eastAsia" w:ascii="宋体" w:hAnsi="宋体"/>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评审委员会将从投标人的投标报价、技术方案、售后服务、企业状况等经济、技术和商务及其他优惠条件等方面，依据评标方法，对所有投标文件进行综合评审。</w:t>
      </w:r>
    </w:p>
    <w:p>
      <w:pPr>
        <w:pStyle w:val="4"/>
        <w:rPr>
          <w:color w:val="000000" w:themeColor="text1"/>
          <w14:textFill>
            <w14:solidFill>
              <w14:schemeClr w14:val="tx1"/>
            </w14:solidFill>
          </w14:textFill>
        </w:rPr>
      </w:pPr>
      <w:bookmarkStart w:id="10" w:name="_Toc20246"/>
      <w:r>
        <w:rPr>
          <w:rFonts w:hint="eastAsia"/>
          <w:color w:val="000000" w:themeColor="text1"/>
          <w14:textFill>
            <w14:solidFill>
              <w14:schemeClr w14:val="tx1"/>
            </w14:solidFill>
          </w14:textFill>
        </w:rPr>
        <w:t>五、评标方法及评分标准</w:t>
      </w:r>
      <w:bookmarkEnd w:id="10"/>
    </w:p>
    <w:p>
      <w:pPr>
        <w:keepNext w:val="0"/>
        <w:keepLines w:val="0"/>
        <w:pageBreakBefore w:val="0"/>
        <w:kinsoku/>
        <w:wordWrap/>
        <w:overflowPunct/>
        <w:topLinePunct w:val="0"/>
        <w:autoSpaceDE/>
        <w:autoSpaceDN/>
        <w:bidi w:val="0"/>
        <w:adjustRightInd/>
        <w:snapToGrid/>
        <w:spacing w:line="353" w:lineRule="auto"/>
        <w:ind w:firstLine="482" w:firstLineChars="200"/>
        <w:textAlignment w:val="auto"/>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（1）公开招标程序：资格审查→符合性审查→技术标评审→商务标开标→确定中标候选人</w:t>
      </w:r>
    </w:p>
    <w:p>
      <w:pPr>
        <w:keepNext w:val="0"/>
        <w:keepLines w:val="0"/>
        <w:pageBreakBefore w:val="0"/>
        <w:kinsoku/>
        <w:wordWrap/>
        <w:overflowPunct/>
        <w:topLinePunct w:val="0"/>
        <w:autoSpaceDE/>
        <w:autoSpaceDN/>
        <w:bidi w:val="0"/>
        <w:adjustRightInd/>
        <w:snapToGrid/>
        <w:spacing w:line="353" w:lineRule="auto"/>
        <w:ind w:firstLine="480" w:firstLineChars="200"/>
        <w:textAlignment w:val="auto"/>
        <w:rPr>
          <w:sz w:val="24"/>
        </w:rPr>
      </w:pPr>
      <w:r>
        <w:rPr>
          <w:rFonts w:hint="eastAsia"/>
          <w:color w:val="000000" w:themeColor="text1"/>
          <w:sz w:val="24"/>
          <w14:textFill>
            <w14:solidFill>
              <w14:schemeClr w14:val="tx1"/>
            </w14:solidFill>
          </w14:textFill>
        </w:rPr>
        <w:t>（2）</w:t>
      </w:r>
      <w:r>
        <w:rPr>
          <w:rFonts w:hint="eastAsia"/>
          <w:sz w:val="24"/>
        </w:rPr>
        <w:t>本次招标采用</w:t>
      </w:r>
      <w:r>
        <w:rPr>
          <w:rFonts w:hint="eastAsia"/>
          <w:b/>
          <w:sz w:val="24"/>
        </w:rPr>
        <w:t>综合评分法</w:t>
      </w:r>
      <w:r>
        <w:rPr>
          <w:rFonts w:hint="eastAsia"/>
          <w:sz w:val="24"/>
        </w:rPr>
        <w:t>评标。</w:t>
      </w:r>
    </w:p>
    <w:p>
      <w:pPr>
        <w:keepNext w:val="0"/>
        <w:keepLines w:val="0"/>
        <w:pageBreakBefore w:val="0"/>
        <w:kinsoku/>
        <w:wordWrap/>
        <w:overflowPunct/>
        <w:topLinePunct w:val="0"/>
        <w:autoSpaceDE/>
        <w:autoSpaceDN/>
        <w:bidi w:val="0"/>
        <w:adjustRightInd/>
        <w:snapToGrid/>
        <w:spacing w:line="353" w:lineRule="auto"/>
        <w:ind w:left="0" w:leftChars="0" w:firstLine="480" w:firstLineChars="200"/>
        <w:textAlignment w:val="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keepNext w:val="0"/>
        <w:keepLines w:val="0"/>
        <w:pageBreakBefore w:val="0"/>
        <w:kinsoku/>
        <w:wordWrap/>
        <w:overflowPunct/>
        <w:topLinePunct w:val="0"/>
        <w:autoSpaceDE/>
        <w:autoSpaceDN/>
        <w:bidi w:val="0"/>
        <w:adjustRightInd/>
        <w:snapToGrid/>
        <w:spacing w:line="353" w:lineRule="auto"/>
        <w:ind w:firstLine="482" w:firstLineChars="200"/>
        <w:textAlignment w:val="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p>
    <w:p>
      <w:pPr>
        <w:keepNext w:val="0"/>
        <w:keepLines w:val="0"/>
        <w:pageBreakBefore w:val="0"/>
        <w:widowControl/>
        <w:kinsoku/>
        <w:wordWrap/>
        <w:overflowPunct/>
        <w:topLinePunct w:val="0"/>
        <w:autoSpaceDE/>
        <w:autoSpaceDN/>
        <w:bidi w:val="0"/>
        <w:adjustRightInd/>
        <w:snapToGrid/>
        <w:spacing w:line="353" w:lineRule="auto"/>
        <w:ind w:firstLine="482" w:firstLineChars="200"/>
        <w:jc w:val="left"/>
        <w:textAlignment w:val="auto"/>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8"/>
        <w:tblW w:w="10198" w:type="dxa"/>
        <w:tblInd w:w="0" w:type="dxa"/>
        <w:tblLayout w:type="fixed"/>
        <w:tblCellMar>
          <w:top w:w="0" w:type="dxa"/>
          <w:left w:w="0" w:type="dxa"/>
          <w:bottom w:w="0" w:type="dxa"/>
          <w:right w:w="0" w:type="dxa"/>
        </w:tblCellMar>
      </w:tblPr>
      <w:tblGrid>
        <w:gridCol w:w="752"/>
        <w:gridCol w:w="1099"/>
        <w:gridCol w:w="8347"/>
      </w:tblGrid>
      <w:tr>
        <w:tblPrEx>
          <w:tblCellMar>
            <w:top w:w="0" w:type="dxa"/>
            <w:left w:w="0" w:type="dxa"/>
            <w:bottom w:w="0" w:type="dxa"/>
            <w:right w:w="0" w:type="dxa"/>
          </w:tblCellMar>
        </w:tblPrEx>
        <w:trPr>
          <w:trHeight w:val="495" w:hRule="atLeast"/>
        </w:trPr>
        <w:tc>
          <w:tcPr>
            <w:tcW w:w="752" w:type="dxa"/>
            <w:tcBorders>
              <w:top w:val="single" w:color="000000" w:sz="6" w:space="0"/>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评审因素</w:t>
            </w:r>
          </w:p>
        </w:tc>
        <w:tc>
          <w:tcPr>
            <w:tcW w:w="1099"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分值</w:t>
            </w:r>
          </w:p>
        </w:tc>
        <w:tc>
          <w:tcPr>
            <w:tcW w:w="8347" w:type="dxa"/>
            <w:tcBorders>
              <w:top w:val="single" w:color="000000" w:sz="6" w:space="0"/>
              <w:left w:val="nil"/>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CellMar>
            <w:top w:w="0" w:type="dxa"/>
            <w:left w:w="0" w:type="dxa"/>
            <w:bottom w:w="0" w:type="dxa"/>
            <w:right w:w="0" w:type="dxa"/>
          </w:tblCellMar>
        </w:tblPrEx>
        <w:trPr>
          <w:trHeight w:val="765" w:hRule="atLeast"/>
        </w:trPr>
        <w:tc>
          <w:tcPr>
            <w:tcW w:w="752"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w:t>
            </w:r>
          </w:p>
        </w:tc>
        <w:tc>
          <w:tcPr>
            <w:tcW w:w="1099"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40</w:t>
            </w:r>
            <w:r>
              <w:rPr>
                <w:rFonts w:hint="eastAsia" w:ascii="宋体" w:hAnsi="宋体" w:cs="宋体"/>
                <w:color w:val="000000" w:themeColor="text1"/>
                <w:szCs w:val="21"/>
                <w:lang w:eastAsia="zh-CN"/>
                <w14:textFill>
                  <w14:solidFill>
                    <w14:schemeClr w14:val="tx1"/>
                  </w14:solidFill>
                </w14:textFill>
              </w:rPr>
              <w:t>分</w:t>
            </w:r>
          </w:p>
        </w:tc>
        <w:tc>
          <w:tcPr>
            <w:tcW w:w="8347" w:type="dxa"/>
            <w:tcBorders>
              <w:top w:val="nil"/>
              <w:left w:val="nil"/>
              <w:bottom w:val="single" w:color="000000" w:sz="6" w:space="0"/>
              <w:right w:val="single" w:color="000000" w:sz="6" w:space="0"/>
            </w:tcBorders>
            <w:shd w:val="clear" w:color="auto" w:fill="auto"/>
            <w:tcMar>
              <w:left w:w="105" w:type="dxa"/>
              <w:right w:w="105" w:type="dxa"/>
            </w:tcMar>
            <w:vAlign w:val="center"/>
          </w:tcPr>
          <w:p>
            <w:pPr>
              <w:ind w:firstLine="420" w:firstLineChars="200"/>
              <w:rPr>
                <w:rFonts w:hint="default" w:ascii="宋体" w:hAnsi="宋体" w:cs="宋体"/>
                <w:color w:val="000000" w:themeColor="text1"/>
                <w:szCs w:val="21"/>
                <w:lang w:val="en-US"/>
                <w14:textFill>
                  <w14:solidFill>
                    <w14:schemeClr w14:val="tx1"/>
                  </w14:solidFill>
                </w14:textFill>
              </w:rPr>
            </w:pPr>
            <w:r>
              <w:rPr>
                <w:rFonts w:hint="eastAsia" w:ascii="宋体" w:hAnsi="宋体" w:cs="宋体"/>
                <w:color w:val="000000" w:themeColor="text1"/>
                <w:szCs w:val="21"/>
                <w14:textFill>
                  <w14:solidFill>
                    <w14:schemeClr w14:val="tx1"/>
                  </w14:solidFill>
                </w14:textFill>
              </w:rPr>
              <w:t>满足招标文件要求且最后报价最低的投标人的价格为基准价，其价格分为满分。其他投标人的价格分按下列公式计算：</w:t>
            </w:r>
            <w:r>
              <w:rPr>
                <w:rFonts w:hint="eastAsia" w:ascii="宋体" w:hAnsi="宋体" w:cs="宋体"/>
                <w:szCs w:val="21"/>
              </w:rPr>
              <w:t>投标报价得分＝（评标基准价/投标报价）×</w:t>
            </w:r>
            <w:r>
              <w:rPr>
                <w:rFonts w:hint="eastAsia" w:ascii="宋体" w:hAnsi="宋体" w:cs="宋体"/>
                <w:szCs w:val="21"/>
                <w:lang w:val="en-US" w:eastAsia="zh-CN"/>
              </w:rPr>
              <w:t>40</w:t>
            </w:r>
          </w:p>
        </w:tc>
      </w:tr>
      <w:tr>
        <w:tblPrEx>
          <w:tblCellMar>
            <w:top w:w="0" w:type="dxa"/>
            <w:left w:w="0" w:type="dxa"/>
            <w:bottom w:w="0" w:type="dxa"/>
            <w:right w:w="0" w:type="dxa"/>
          </w:tblCellMar>
        </w:tblPrEx>
        <w:trPr>
          <w:trHeight w:val="3060" w:hRule="atLeast"/>
        </w:trPr>
        <w:tc>
          <w:tcPr>
            <w:tcW w:w="752" w:type="dxa"/>
            <w:vMerge w:val="restart"/>
            <w:tcBorders>
              <w:left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技</w:t>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术</w:t>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标</w:t>
            </w:r>
          </w:p>
        </w:tc>
        <w:tc>
          <w:tcPr>
            <w:tcW w:w="1099"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样品</w:t>
            </w:r>
          </w:p>
          <w:p>
            <w:pPr>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30分）</w:t>
            </w:r>
          </w:p>
        </w:tc>
        <w:tc>
          <w:tcPr>
            <w:tcW w:w="8347"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由评委根据投标人所供样品按招标文件规定技术要求，从样品出样款式、材质、制作工艺、材料质量、使用功能等，横向比较，综合打分：</w:t>
            </w:r>
          </w:p>
          <w:p>
            <w:pPr>
              <w:pStyle w:val="54"/>
              <w:ind w:firstLine="420" w:firstLineChars="2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1.尺寸（2分）：尺寸符合招标文件要求的得2分，不符合不得分；</w:t>
            </w:r>
          </w:p>
          <w:p>
            <w:pPr>
              <w:pStyle w:val="54"/>
              <w:ind w:firstLine="420" w:firstLineChars="2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2.加工工艺，根据样品的加工工艺（含编织方法、缝制工艺）、结构牢固度、紧密度等进行打分，精致规范优秀得5分，良好得3分，一般得1分。</w:t>
            </w:r>
          </w:p>
          <w:p>
            <w:pPr>
              <w:pStyle w:val="54"/>
              <w:ind w:firstLine="420" w:firstLineChars="2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3.样品质量，用料优，耐用程度高，优秀得</w:t>
            </w:r>
            <w:r>
              <w:rPr>
                <w:rFonts w:hint="eastAsia" w:ascii="宋体" w:hAnsi="宋体" w:cs="宋体"/>
                <w:color w:val="000000" w:themeColor="text1"/>
                <w:sz w:val="21"/>
                <w:szCs w:val="21"/>
                <w:lang w:val="en-US" w:eastAsia="zh-CN"/>
                <w14:textFill>
                  <w14:solidFill>
                    <w14:schemeClr w14:val="tx1"/>
                  </w14:solidFill>
                </w14:textFill>
              </w:rPr>
              <w:t>18</w:t>
            </w:r>
            <w:r>
              <w:rPr>
                <w:rFonts w:hint="eastAsia" w:ascii="宋体" w:hAnsi="宋体" w:cs="宋体"/>
                <w:color w:val="000000" w:themeColor="text1"/>
                <w:sz w:val="21"/>
                <w:szCs w:val="21"/>
                <w14:textFill>
                  <w14:solidFill>
                    <w14:schemeClr w14:val="tx1"/>
                  </w14:solidFill>
                </w14:textFill>
              </w:rPr>
              <w:t>分，良好1</w:t>
            </w:r>
            <w:r>
              <w:rPr>
                <w:rFonts w:hint="eastAsia" w:ascii="宋体" w:hAnsi="宋体" w:cs="宋体"/>
                <w:color w:val="000000" w:themeColor="text1"/>
                <w:sz w:val="21"/>
                <w:szCs w:val="21"/>
                <w:lang w:val="en-US" w:eastAsia="zh-CN"/>
                <w14:textFill>
                  <w14:solidFill>
                    <w14:schemeClr w14:val="tx1"/>
                  </w14:solidFill>
                </w14:textFill>
              </w:rPr>
              <w:t>2</w:t>
            </w:r>
            <w:r>
              <w:rPr>
                <w:rFonts w:hint="eastAsia" w:ascii="宋体" w:hAnsi="宋体" w:cs="宋体"/>
                <w:color w:val="000000" w:themeColor="text1"/>
                <w:sz w:val="21"/>
                <w:szCs w:val="21"/>
                <w14:textFill>
                  <w14:solidFill>
                    <w14:schemeClr w14:val="tx1"/>
                  </w14:solidFill>
                </w14:textFill>
              </w:rPr>
              <w:t>分，</w:t>
            </w:r>
            <w:r>
              <w:rPr>
                <w:rFonts w:hint="eastAsia" w:ascii="宋体" w:hAnsi="宋体" w:cs="宋体"/>
                <w:color w:val="000000" w:themeColor="text1"/>
                <w:sz w:val="21"/>
                <w:szCs w:val="21"/>
                <w:lang w:eastAsia="zh-CN"/>
                <w14:textFill>
                  <w14:solidFill>
                    <w14:schemeClr w14:val="tx1"/>
                  </w14:solidFill>
                </w14:textFill>
              </w:rPr>
              <w:t>一般</w:t>
            </w:r>
            <w:r>
              <w:rPr>
                <w:rFonts w:hint="eastAsia" w:ascii="宋体" w:hAnsi="宋体" w:cs="宋体"/>
                <w:color w:val="000000" w:themeColor="text1"/>
                <w:sz w:val="21"/>
                <w:szCs w:val="21"/>
                <w14:textFill>
                  <w14:solidFill>
                    <w14:schemeClr w14:val="tx1"/>
                  </w14:solidFill>
                </w14:textFill>
              </w:rPr>
              <w:t>6分</w:t>
            </w:r>
            <w:r>
              <w:rPr>
                <w:rFonts w:hint="eastAsia" w:ascii="宋体" w:hAnsi="宋体" w:cs="宋体"/>
                <w:color w:val="000000" w:themeColor="text1"/>
                <w:sz w:val="21"/>
                <w:szCs w:val="21"/>
                <w:lang w:eastAsia="zh-CN"/>
                <w14:textFill>
                  <w14:solidFill>
                    <w14:schemeClr w14:val="tx1"/>
                  </w14:solidFill>
                </w14:textFill>
              </w:rPr>
              <w:t>，合格</w:t>
            </w:r>
            <w:r>
              <w:rPr>
                <w:rFonts w:hint="eastAsia" w:ascii="宋体" w:hAnsi="宋体" w:cs="宋体"/>
                <w:color w:val="000000" w:themeColor="text1"/>
                <w:sz w:val="21"/>
                <w:szCs w:val="21"/>
                <w:lang w:val="en-US" w:eastAsia="zh-CN"/>
                <w14:textFill>
                  <w14:solidFill>
                    <w14:schemeClr w14:val="tx1"/>
                  </w14:solidFill>
                </w14:textFill>
              </w:rPr>
              <w:t>1分</w:t>
            </w:r>
            <w:r>
              <w:rPr>
                <w:rFonts w:hint="eastAsia" w:ascii="宋体" w:hAnsi="宋体" w:cs="宋体"/>
                <w:color w:val="000000" w:themeColor="text1"/>
                <w:sz w:val="21"/>
                <w:szCs w:val="21"/>
                <w14:textFill>
                  <w14:solidFill>
                    <w14:schemeClr w14:val="tx1"/>
                  </w14:solidFill>
                </w14:textFill>
              </w:rPr>
              <w:t>；</w:t>
            </w:r>
          </w:p>
          <w:p>
            <w:pPr>
              <w:pStyle w:val="54"/>
              <w:ind w:firstLine="420" w:firstLineChars="200"/>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4.产品花色品种美观大方新颖，符合学生使用特色的，优秀得2分，一般1分；</w:t>
            </w:r>
          </w:p>
          <w:p>
            <w:pPr>
              <w:pStyle w:val="54"/>
              <w:ind w:firstLine="420" w:firstLineChars="200"/>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lang w:val="en-US" w:eastAsia="zh-CN"/>
                <w14:textFill>
                  <w14:solidFill>
                    <w14:schemeClr w14:val="tx1"/>
                  </w14:solidFill>
                </w14:textFill>
              </w:rPr>
              <w:t>5.重量标准，重量符合招标文件要求的得3分，不符合不得分。</w:t>
            </w:r>
          </w:p>
          <w:p>
            <w:pPr>
              <w:pStyle w:val="54"/>
              <w:ind w:firstLine="422" w:firstLineChars="20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注：样品必须要符合物品的质量要求，缺样或样品质量不符合要求的本项不得分。</w:t>
            </w:r>
          </w:p>
        </w:tc>
      </w:tr>
      <w:tr>
        <w:tblPrEx>
          <w:tblCellMar>
            <w:top w:w="0" w:type="dxa"/>
            <w:left w:w="0" w:type="dxa"/>
            <w:bottom w:w="0" w:type="dxa"/>
            <w:right w:w="0" w:type="dxa"/>
          </w:tblCellMar>
        </w:tblPrEx>
        <w:trPr>
          <w:trHeight w:val="1549" w:hRule="atLeast"/>
        </w:trPr>
        <w:tc>
          <w:tcPr>
            <w:tcW w:w="752" w:type="dxa"/>
            <w:vMerge w:val="continue"/>
            <w:tcBorders>
              <w:left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p>
        </w:tc>
        <w:tc>
          <w:tcPr>
            <w:tcW w:w="1099" w:type="dxa"/>
            <w:tcBorders>
              <w:top w:val="nil"/>
              <w:left w:val="nil"/>
              <w:bottom w:val="single" w:color="auto" w:sz="4" w:space="0"/>
              <w:right w:val="single" w:color="000000" w:sz="6" w:space="0"/>
            </w:tcBorders>
            <w:shd w:val="clear" w:color="auto" w:fill="auto"/>
            <w:tcMar>
              <w:left w:w="105" w:type="dxa"/>
              <w:right w:w="105" w:type="dxa"/>
            </w:tcMar>
            <w:vAlign w:val="center"/>
          </w:tcPr>
          <w:p>
            <w:pPr>
              <w:jc w:val="center"/>
              <w:rPr>
                <w:rFonts w:hint="eastAsia"/>
              </w:rPr>
            </w:pPr>
            <w:r>
              <w:rPr>
                <w:rFonts w:hint="eastAsia"/>
              </w:rPr>
              <w:t>产品质量保障</w:t>
            </w:r>
          </w:p>
          <w:p>
            <w:pPr>
              <w:pStyle w:val="54"/>
              <w:rPr>
                <w:rFonts w:hint="default" w:eastAsia="宋体"/>
                <w:lang w:val="en-US" w:eastAsia="zh-CN"/>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11分）</w:t>
            </w:r>
          </w:p>
        </w:tc>
        <w:tc>
          <w:tcPr>
            <w:tcW w:w="8347" w:type="dxa"/>
            <w:tcBorders>
              <w:top w:val="nil"/>
              <w:left w:val="nil"/>
              <w:bottom w:val="single" w:color="auto" w:sz="4" w:space="0"/>
              <w:right w:val="single" w:color="000000" w:sz="6" w:space="0"/>
            </w:tcBorders>
            <w:shd w:val="clear" w:color="auto" w:fill="auto"/>
            <w:tcMar>
              <w:left w:w="105" w:type="dxa"/>
              <w:right w:w="105" w:type="dxa"/>
            </w:tcMar>
          </w:tcPr>
          <w:p>
            <w:pPr>
              <w:ind w:firstLine="420" w:firstLineChars="200"/>
              <w:rPr>
                <w:rFonts w:ascii="宋体" w:hAnsi="宋体"/>
                <w:szCs w:val="21"/>
              </w:rPr>
            </w:pPr>
            <w:r>
              <w:rPr>
                <w:rFonts w:hint="eastAsia" w:ascii="宋体" w:hAnsi="宋体"/>
                <w:szCs w:val="21"/>
              </w:rPr>
              <w:t>1.提供202</w:t>
            </w:r>
            <w:r>
              <w:rPr>
                <w:rFonts w:hint="eastAsia" w:ascii="宋体" w:hAnsi="宋体"/>
                <w:szCs w:val="21"/>
                <w:lang w:val="en-US" w:eastAsia="zh-CN"/>
              </w:rPr>
              <w:t>3</w:t>
            </w:r>
            <w:r>
              <w:rPr>
                <w:rFonts w:hint="eastAsia" w:ascii="宋体" w:hAnsi="宋体"/>
                <w:szCs w:val="21"/>
              </w:rPr>
              <w:t>年以来主要原料（棉花、棉布和棉布印染费，三者缺一不可）进货增值税发票复印件，得2分。（发票原件备查，无原件不得分）。</w:t>
            </w:r>
          </w:p>
          <w:p>
            <w:pPr>
              <w:pStyle w:val="54"/>
              <w:ind w:firstLine="420" w:firstLineChars="200"/>
              <w:rPr>
                <w:rFonts w:ascii="宋体" w:hAnsi="宋体" w:cstheme="minorEastAsia"/>
                <w:sz w:val="21"/>
                <w:szCs w:val="21"/>
              </w:rPr>
            </w:pPr>
            <w:r>
              <w:rPr>
                <w:rFonts w:hint="eastAsia" w:ascii="宋体" w:hAnsi="宋体" w:cstheme="minorEastAsia"/>
                <w:sz w:val="21"/>
                <w:szCs w:val="21"/>
              </w:rPr>
              <w:t>2.提供202</w:t>
            </w:r>
            <w:r>
              <w:rPr>
                <w:rFonts w:hint="eastAsia" w:ascii="宋体" w:hAnsi="宋体" w:cstheme="minorEastAsia"/>
                <w:sz w:val="21"/>
                <w:szCs w:val="21"/>
                <w:lang w:val="en-US" w:eastAsia="zh-CN"/>
              </w:rPr>
              <w:t>3</w:t>
            </w:r>
            <w:r>
              <w:rPr>
                <w:rFonts w:hint="eastAsia" w:ascii="宋体" w:hAnsi="宋体" w:cstheme="minorEastAsia"/>
                <w:sz w:val="21"/>
                <w:szCs w:val="21"/>
              </w:rPr>
              <w:t>年度与本次项目投标产品全项目完整的有效检验报告（棉盖胎、被套、枕套、床单、蚊帐、枕芯、纤维被、床垫、行李包），全部提供得9分，每缺一个扣</w:t>
            </w:r>
            <w:r>
              <w:rPr>
                <w:rFonts w:ascii="宋体" w:hAnsi="宋体" w:cstheme="minorEastAsia"/>
                <w:sz w:val="21"/>
                <w:szCs w:val="21"/>
              </w:rPr>
              <w:t>1</w:t>
            </w:r>
            <w:r>
              <w:rPr>
                <w:rFonts w:hint="eastAsia" w:ascii="宋体" w:hAnsi="宋体" w:cstheme="minorEastAsia"/>
                <w:sz w:val="21"/>
                <w:szCs w:val="21"/>
              </w:rPr>
              <w:t>分，扣完为止。</w:t>
            </w:r>
          </w:p>
        </w:tc>
      </w:tr>
      <w:tr>
        <w:tblPrEx>
          <w:tblCellMar>
            <w:top w:w="0" w:type="dxa"/>
            <w:left w:w="0" w:type="dxa"/>
            <w:bottom w:w="0" w:type="dxa"/>
            <w:right w:w="0" w:type="dxa"/>
          </w:tblCellMar>
        </w:tblPrEx>
        <w:trPr>
          <w:trHeight w:val="1197" w:hRule="atLeast"/>
        </w:trPr>
        <w:tc>
          <w:tcPr>
            <w:tcW w:w="752" w:type="dxa"/>
            <w:vMerge w:val="continue"/>
            <w:tcBorders>
              <w:left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p>
        </w:tc>
        <w:tc>
          <w:tcPr>
            <w:tcW w:w="1099"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jc w:val="center"/>
              <w:rPr>
                <w:rFonts w:hint="eastAsia"/>
              </w:rPr>
            </w:pPr>
            <w:r>
              <w:rPr>
                <w:rFonts w:hint="eastAsia"/>
              </w:rPr>
              <w:t>检测报告</w:t>
            </w:r>
          </w:p>
          <w:p>
            <w:pPr>
              <w:pStyle w:val="2"/>
              <w:ind w:left="0" w:leftChars="0" w:firstLine="0" w:firstLineChars="0"/>
              <w:rPr>
                <w:rFonts w:hint="default" w:eastAsia="宋体"/>
                <w:lang w:val="en-US" w:eastAsia="zh-CN"/>
              </w:rPr>
            </w:pP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5分）</w:t>
            </w:r>
          </w:p>
        </w:tc>
        <w:tc>
          <w:tcPr>
            <w:tcW w:w="8347"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投标人所提供样品对应的产品检测报告（由省级及以上的纤检部门出具的），全面合格的（含棉量、甲醛、纱支密度、色牢度、pH值、可分解芳香胺等）得5分，缺一项扣除</w:t>
            </w:r>
            <w:r>
              <w:rPr>
                <w:rFonts w:ascii="宋体" w:hAnsi="宋体" w:cs="宋体"/>
                <w:color w:val="000000" w:themeColor="text1"/>
                <w:szCs w:val="2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分，扣完为止。</w:t>
            </w:r>
          </w:p>
        </w:tc>
      </w:tr>
      <w:tr>
        <w:tblPrEx>
          <w:tblCellMar>
            <w:top w:w="0" w:type="dxa"/>
            <w:left w:w="0" w:type="dxa"/>
            <w:bottom w:w="0" w:type="dxa"/>
            <w:right w:w="0" w:type="dxa"/>
          </w:tblCellMar>
        </w:tblPrEx>
        <w:trPr>
          <w:trHeight w:val="1401" w:hRule="atLeast"/>
        </w:trPr>
        <w:tc>
          <w:tcPr>
            <w:tcW w:w="752" w:type="dxa"/>
            <w:vMerge w:val="continue"/>
            <w:tcBorders>
              <w:left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p>
        </w:tc>
        <w:tc>
          <w:tcPr>
            <w:tcW w:w="1099"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jc w:val="center"/>
              <w:rPr>
                <w:rFonts w:hint="eastAsia"/>
                <w:sz w:val="21"/>
                <w:szCs w:val="21"/>
              </w:rPr>
            </w:pPr>
            <w:r>
              <w:rPr>
                <w:rFonts w:hint="eastAsia"/>
                <w:sz w:val="21"/>
                <w:szCs w:val="21"/>
              </w:rPr>
              <w:t>企业业绩</w:t>
            </w:r>
          </w:p>
          <w:p>
            <w:pPr>
              <w:pStyle w:val="54"/>
              <w:jc w:val="center"/>
              <w:rPr>
                <w:rFonts w:hint="default" w:eastAsia="宋体"/>
                <w:lang w:val="en-US" w:eastAsia="zh-CN"/>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6分）</w:t>
            </w:r>
          </w:p>
        </w:tc>
        <w:tc>
          <w:tcPr>
            <w:tcW w:w="8347"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根据投标人20</w:t>
            </w:r>
            <w:r>
              <w:rPr>
                <w:rFonts w:hint="eastAsia" w:ascii="宋体" w:hAnsi="宋体"/>
                <w:color w:val="000000" w:themeColor="text1"/>
                <w:szCs w:val="21"/>
                <w:lang w:val="en-US" w:eastAsia="zh-CN"/>
                <w14:textFill>
                  <w14:solidFill>
                    <w14:schemeClr w14:val="tx1"/>
                  </w14:solidFill>
                </w14:textFill>
              </w:rPr>
              <w:t>20</w:t>
            </w:r>
            <w:r>
              <w:rPr>
                <w:rFonts w:hint="eastAsia" w:ascii="宋体" w:hAnsi="宋体"/>
                <w:color w:val="000000" w:themeColor="text1"/>
                <w:szCs w:val="21"/>
                <w14:textFill>
                  <w14:solidFill>
                    <w14:schemeClr w14:val="tx1"/>
                  </w14:solidFill>
                </w14:textFill>
              </w:rPr>
              <w:t>年1月以来与本次投标产品相似的同类产品销售情况评分（以提供的销售合同复印件</w:t>
            </w:r>
            <w:r>
              <w:rPr>
                <w:rFonts w:hint="eastAsia" w:ascii="宋体" w:hAnsi="宋体" w:cs="宋体"/>
                <w:color w:val="000000" w:themeColor="text1"/>
                <w:szCs w:val="21"/>
                <w14:textFill>
                  <w14:solidFill>
                    <w14:schemeClr w14:val="tx1"/>
                  </w14:solidFill>
                </w14:textFill>
              </w:rPr>
              <w:t>及网上中标公示截图为准，两齐全为一份业绩，</w:t>
            </w:r>
            <w:r>
              <w:rPr>
                <w:rFonts w:hint="eastAsia" w:ascii="宋体" w:hAnsi="宋体"/>
                <w:color w:val="000000" w:themeColor="text1"/>
                <w:szCs w:val="21"/>
                <w14:textFill>
                  <w14:solidFill>
                    <w14:schemeClr w14:val="tx1"/>
                  </w14:solidFill>
                </w14:textFill>
              </w:rPr>
              <w:t>合同中不得隐去任何内容，否则无效，）每份</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分，最多得</w:t>
            </w:r>
            <w:r>
              <w:rPr>
                <w:rFonts w:ascii="宋体" w:hAnsi="宋体"/>
                <w:color w:val="000000" w:themeColor="text1"/>
                <w:szCs w:val="21"/>
                <w14:textFill>
                  <w14:solidFill>
                    <w14:schemeClr w14:val="tx1"/>
                  </w14:solidFill>
                </w14:textFill>
              </w:rPr>
              <w:t>6</w:t>
            </w:r>
            <w:r>
              <w:rPr>
                <w:rFonts w:hint="eastAsia" w:ascii="宋体" w:hAnsi="宋体"/>
                <w:color w:val="000000" w:themeColor="text1"/>
                <w:szCs w:val="21"/>
                <w14:textFill>
                  <w14:solidFill>
                    <w14:schemeClr w14:val="tx1"/>
                  </w14:solidFill>
                </w14:textFill>
              </w:rPr>
              <w:t>分。</w:t>
            </w:r>
            <w:r>
              <w:rPr>
                <w:rFonts w:hint="eastAsia" w:ascii="宋体" w:hAnsi="宋体" w:cs="宋体"/>
                <w:color w:val="000000" w:themeColor="text1"/>
                <w:szCs w:val="21"/>
                <w14:textFill>
                  <w14:solidFill>
                    <w14:schemeClr w14:val="tx1"/>
                  </w14:solidFill>
                </w14:textFill>
              </w:rPr>
              <w:t>未按要求提供材料的不得分，同一业主单位的多份合同只算一份业绩，不得重复计分。</w:t>
            </w:r>
          </w:p>
        </w:tc>
      </w:tr>
      <w:tr>
        <w:tblPrEx>
          <w:tblCellMar>
            <w:top w:w="0" w:type="dxa"/>
            <w:left w:w="0" w:type="dxa"/>
            <w:bottom w:w="0" w:type="dxa"/>
            <w:right w:w="0" w:type="dxa"/>
          </w:tblCellMar>
        </w:tblPrEx>
        <w:trPr>
          <w:trHeight w:val="717" w:hRule="atLeast"/>
        </w:trPr>
        <w:tc>
          <w:tcPr>
            <w:tcW w:w="752" w:type="dxa"/>
            <w:vMerge w:val="continue"/>
            <w:tcBorders>
              <w:left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p>
        </w:tc>
        <w:tc>
          <w:tcPr>
            <w:tcW w:w="1099"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hint="eastAsia"/>
              </w:rPr>
            </w:pPr>
            <w:r>
              <w:rPr>
                <w:rFonts w:hint="eastAsia"/>
              </w:rPr>
              <w:t>用户评价</w:t>
            </w:r>
          </w:p>
          <w:p>
            <w:pPr>
              <w:pStyle w:val="54"/>
              <w:jc w:val="center"/>
              <w:rPr>
                <w:rFonts w:hint="default" w:eastAsia="宋体"/>
                <w:lang w:val="en-US" w:eastAsia="zh-CN"/>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2分）</w:t>
            </w:r>
          </w:p>
        </w:tc>
        <w:tc>
          <w:tcPr>
            <w:tcW w:w="8347"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pStyle w:val="54"/>
              <w:ind w:firstLine="420" w:firstLineChars="2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企业受到用户单位良好以上评价的，每一份用户单位的好评得1分，最多得2分。</w:t>
            </w:r>
          </w:p>
        </w:tc>
      </w:tr>
      <w:tr>
        <w:tblPrEx>
          <w:tblCellMar>
            <w:top w:w="0" w:type="dxa"/>
            <w:left w:w="0" w:type="dxa"/>
            <w:bottom w:w="0" w:type="dxa"/>
            <w:right w:w="0" w:type="dxa"/>
          </w:tblCellMar>
        </w:tblPrEx>
        <w:trPr>
          <w:trHeight w:val="90" w:hRule="atLeast"/>
        </w:trPr>
        <w:tc>
          <w:tcPr>
            <w:tcW w:w="752" w:type="dxa"/>
            <w:vMerge w:val="continue"/>
            <w:tcBorders>
              <w:left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p>
        </w:tc>
        <w:tc>
          <w:tcPr>
            <w:tcW w:w="1099"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adjustRightInd w:val="0"/>
              <w:snapToGrid w:val="0"/>
              <w:spacing w:before="50" w:line="300" w:lineRule="auto"/>
              <w:jc w:val="center"/>
            </w:pPr>
            <w:r>
              <w:rPr>
                <w:rFonts w:hint="eastAsia"/>
              </w:rPr>
              <w:t>管理体系</w:t>
            </w:r>
          </w:p>
          <w:p>
            <w:pPr>
              <w:adjustRightInd w:val="0"/>
              <w:snapToGrid w:val="0"/>
              <w:spacing w:before="50" w:line="300" w:lineRule="auto"/>
              <w:jc w:val="center"/>
              <w:rPr>
                <w:rFonts w:hint="eastAsia"/>
              </w:rPr>
            </w:pPr>
            <w:r>
              <w:rPr>
                <w:rFonts w:hint="eastAsia"/>
              </w:rPr>
              <w:t>证书</w:t>
            </w:r>
          </w:p>
          <w:p>
            <w:pPr>
              <w:pStyle w:val="54"/>
              <w:jc w:val="center"/>
              <w:rPr>
                <w:rFonts w:hint="default" w:eastAsia="宋体"/>
                <w:lang w:val="en-US" w:eastAsia="zh-CN"/>
              </w:rPr>
            </w:pPr>
            <w:r>
              <w:rPr>
                <w:rFonts w:hint="eastAsia" w:ascii="宋体" w:hAnsi="宋体" w:cs="宋体"/>
                <w:color w:val="000000" w:themeColor="text1"/>
                <w:sz w:val="21"/>
                <w:szCs w:val="21"/>
                <w:lang w:eastAsia="zh-CN"/>
                <w14:textFill>
                  <w14:solidFill>
                    <w14:schemeClr w14:val="tx1"/>
                  </w14:solidFill>
                </w14:textFill>
              </w:rPr>
              <w:t>（</w:t>
            </w:r>
            <w:r>
              <w:rPr>
                <w:rFonts w:hint="eastAsia" w:ascii="宋体" w:hAnsi="宋体" w:cs="宋体"/>
                <w:color w:val="000000" w:themeColor="text1"/>
                <w:sz w:val="21"/>
                <w:szCs w:val="21"/>
                <w:lang w:val="en-US" w:eastAsia="zh-CN"/>
                <w14:textFill>
                  <w14:solidFill>
                    <w14:schemeClr w14:val="tx1"/>
                  </w14:solidFill>
                </w14:textFill>
              </w:rPr>
              <w:t>3分）</w:t>
            </w:r>
          </w:p>
        </w:tc>
        <w:tc>
          <w:tcPr>
            <w:tcW w:w="8347"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pStyle w:val="54"/>
              <w:ind w:firstLine="420" w:firstLineChars="200"/>
              <w:rPr>
                <w:rFonts w:ascii="宋体" w:hAnsi="宋体"/>
                <w:sz w:val="21"/>
                <w:szCs w:val="21"/>
              </w:rPr>
            </w:pPr>
            <w:r>
              <w:rPr>
                <w:rFonts w:hint="eastAsia" w:ascii="宋体" w:hAnsi="宋体"/>
                <w:color w:val="000000" w:themeColor="text1"/>
                <w:sz w:val="21"/>
                <w:szCs w:val="21"/>
                <w14:textFill>
                  <w14:solidFill>
                    <w14:schemeClr w14:val="tx1"/>
                  </w14:solidFill>
                </w14:textFill>
              </w:rPr>
              <w:t>投标人有效期内质量管理体系认证证书、环境管理体系认证证书及职业健康体系认证证书。每项1分，满分3分。</w:t>
            </w:r>
          </w:p>
        </w:tc>
      </w:tr>
      <w:tr>
        <w:tblPrEx>
          <w:tblCellMar>
            <w:top w:w="0" w:type="dxa"/>
            <w:left w:w="0" w:type="dxa"/>
            <w:bottom w:w="0" w:type="dxa"/>
            <w:right w:w="0" w:type="dxa"/>
          </w:tblCellMar>
        </w:tblPrEx>
        <w:trPr>
          <w:trHeight w:val="759" w:hRule="atLeast"/>
        </w:trPr>
        <w:tc>
          <w:tcPr>
            <w:tcW w:w="752" w:type="dxa"/>
            <w:vMerge w:val="continue"/>
            <w:tcBorders>
              <w:left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p>
        </w:tc>
        <w:tc>
          <w:tcPr>
            <w:tcW w:w="1099"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jc w:val="center"/>
              <w:rPr>
                <w:rFonts w:hint="eastAsia"/>
              </w:rPr>
            </w:pPr>
            <w:r>
              <w:rPr>
                <w:rFonts w:hint="eastAsia"/>
              </w:rPr>
              <w:t>服务承诺</w:t>
            </w:r>
          </w:p>
          <w:p>
            <w:pPr>
              <w:pStyle w:val="54"/>
              <w:jc w:val="center"/>
              <w:rPr>
                <w:rFonts w:hint="default" w:eastAsia="宋体"/>
                <w:lang w:val="en-US" w:eastAsia="zh-CN"/>
              </w:rPr>
            </w:pPr>
            <w:r>
              <w:rPr>
                <w:rFonts w:hint="eastAsia" w:ascii="宋体" w:hAnsi="宋体" w:cs="宋体"/>
                <w:color w:val="000000" w:themeColor="text1"/>
                <w:kern w:val="0"/>
                <w:sz w:val="21"/>
                <w:szCs w:val="21"/>
                <w:lang w:eastAsia="zh-CN"/>
                <w14:textFill>
                  <w14:solidFill>
                    <w14:schemeClr w14:val="tx1"/>
                  </w14:solidFill>
                </w14:textFill>
              </w:rPr>
              <w:t>（</w:t>
            </w:r>
            <w:r>
              <w:rPr>
                <w:rFonts w:hint="eastAsia" w:ascii="宋体" w:hAnsi="宋体" w:cs="宋体"/>
                <w:color w:val="000000" w:themeColor="text1"/>
                <w:kern w:val="0"/>
                <w:sz w:val="21"/>
                <w:szCs w:val="21"/>
                <w:lang w:val="en-US" w:eastAsia="zh-CN"/>
                <w14:textFill>
                  <w14:solidFill>
                    <w14:schemeClr w14:val="tx1"/>
                  </w14:solidFill>
                </w14:textFill>
              </w:rPr>
              <w:t>2分）</w:t>
            </w:r>
          </w:p>
        </w:tc>
        <w:tc>
          <w:tcPr>
            <w:tcW w:w="8347" w:type="dxa"/>
            <w:tcBorders>
              <w:top w:val="single" w:color="auto" w:sz="4" w:space="0"/>
              <w:left w:val="nil"/>
              <w:bottom w:val="single" w:color="auto" w:sz="4" w:space="0"/>
              <w:right w:val="single" w:color="000000" w:sz="6" w:space="0"/>
            </w:tcBorders>
            <w:shd w:val="clear" w:color="auto" w:fill="auto"/>
            <w:tcMar>
              <w:left w:w="105" w:type="dxa"/>
              <w:right w:w="105" w:type="dxa"/>
            </w:tcMar>
            <w:vAlign w:val="center"/>
          </w:tcPr>
          <w:p>
            <w:pPr>
              <w:ind w:firstLine="420" w:firstLineChars="200"/>
              <w:rPr>
                <w:rFonts w:ascii="宋体" w:hAnsi="宋体"/>
                <w:szCs w:val="21"/>
              </w:rPr>
            </w:pPr>
            <w:r>
              <w:rPr>
                <w:rFonts w:hint="eastAsia"/>
              </w:rPr>
              <w:t>书面承诺包用4年，并</w:t>
            </w:r>
            <w:r>
              <w:rPr>
                <w:rFonts w:hint="eastAsia"/>
                <w:lang w:eastAsia="zh-CN"/>
              </w:rPr>
              <w:t>承诺</w:t>
            </w:r>
            <w:r>
              <w:rPr>
                <w:rFonts w:hint="eastAsia"/>
              </w:rPr>
              <w:t>如发生质量问题一周内退换，得</w:t>
            </w:r>
            <w:r>
              <w:t>2</w:t>
            </w:r>
            <w:r>
              <w:rPr>
                <w:rFonts w:hint="eastAsia"/>
              </w:rPr>
              <w:t>分；不承诺不得分。</w:t>
            </w:r>
          </w:p>
        </w:tc>
      </w:tr>
      <w:tr>
        <w:tblPrEx>
          <w:tblCellMar>
            <w:top w:w="0" w:type="dxa"/>
            <w:left w:w="0" w:type="dxa"/>
            <w:bottom w:w="0" w:type="dxa"/>
            <w:right w:w="0" w:type="dxa"/>
          </w:tblCellMar>
        </w:tblPrEx>
        <w:trPr>
          <w:trHeight w:val="754" w:hRule="atLeast"/>
        </w:trPr>
        <w:tc>
          <w:tcPr>
            <w:tcW w:w="752" w:type="dxa"/>
            <w:vMerge w:val="continue"/>
            <w:tcBorders>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p>
        </w:tc>
        <w:tc>
          <w:tcPr>
            <w:tcW w:w="1099"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jc w:val="center"/>
              <w:rPr>
                <w:rFonts w:hint="eastAsia"/>
              </w:rPr>
            </w:pPr>
            <w:r>
              <w:rPr>
                <w:rFonts w:hint="eastAsia"/>
              </w:rPr>
              <w:t>招标文件</w:t>
            </w:r>
          </w:p>
          <w:p>
            <w:pPr>
              <w:pStyle w:val="54"/>
              <w:jc w:val="center"/>
              <w:rPr>
                <w:rFonts w:hint="default" w:eastAsia="宋体"/>
                <w:lang w:val="en-US" w:eastAsia="zh-CN"/>
              </w:rPr>
            </w:pPr>
            <w:r>
              <w:rPr>
                <w:rFonts w:hint="eastAsia" w:ascii="宋体" w:hAnsi="宋体" w:cs="宋体"/>
                <w:color w:val="000000" w:themeColor="text1"/>
                <w:kern w:val="0"/>
                <w:sz w:val="21"/>
                <w:szCs w:val="21"/>
                <w:lang w:eastAsia="zh-CN"/>
                <w14:textFill>
                  <w14:solidFill>
                    <w14:schemeClr w14:val="tx1"/>
                  </w14:solidFill>
                </w14:textFill>
              </w:rPr>
              <w:t>（</w:t>
            </w:r>
            <w:r>
              <w:rPr>
                <w:rFonts w:hint="eastAsia" w:ascii="宋体" w:hAnsi="宋体" w:cs="宋体"/>
                <w:color w:val="000000" w:themeColor="text1"/>
                <w:kern w:val="0"/>
                <w:sz w:val="21"/>
                <w:szCs w:val="21"/>
                <w:lang w:val="en-US" w:eastAsia="zh-CN"/>
                <w14:textFill>
                  <w14:solidFill>
                    <w14:schemeClr w14:val="tx1"/>
                  </w14:solidFill>
                </w14:textFill>
              </w:rPr>
              <w:t>1分）</w:t>
            </w:r>
          </w:p>
        </w:tc>
        <w:tc>
          <w:tcPr>
            <w:tcW w:w="8347" w:type="dxa"/>
            <w:tcBorders>
              <w:top w:val="single" w:color="auto" w:sz="4" w:space="0"/>
              <w:left w:val="nil"/>
              <w:bottom w:val="single" w:color="000000" w:sz="6" w:space="0"/>
              <w:right w:val="single" w:color="000000" w:sz="6" w:space="0"/>
            </w:tcBorders>
            <w:shd w:val="clear" w:color="auto" w:fill="auto"/>
            <w:tcMar>
              <w:left w:w="105" w:type="dxa"/>
              <w:right w:w="105" w:type="dxa"/>
            </w:tcMar>
            <w:vAlign w:val="center"/>
          </w:tcPr>
          <w:p>
            <w:pPr>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根据投标文件对招标文件的响应情况、表述清晰程度、规范性等评分，满分1分。</w:t>
            </w:r>
          </w:p>
        </w:tc>
      </w:tr>
      <w:tr>
        <w:tblPrEx>
          <w:tblCellMar>
            <w:top w:w="0" w:type="dxa"/>
            <w:left w:w="0" w:type="dxa"/>
            <w:bottom w:w="0" w:type="dxa"/>
            <w:right w:w="0" w:type="dxa"/>
          </w:tblCellMar>
        </w:tblPrEx>
        <w:trPr>
          <w:trHeight w:val="762" w:hRule="atLeast"/>
        </w:trPr>
        <w:tc>
          <w:tcPr>
            <w:tcW w:w="752" w:type="dxa"/>
            <w:tcBorders>
              <w:top w:val="nil"/>
              <w:left w:val="single" w:color="000000" w:sz="6" w:space="0"/>
              <w:bottom w:val="single" w:color="000000" w:sz="6" w:space="0"/>
              <w:right w:val="single" w:color="000000" w:sz="6" w:space="0"/>
            </w:tcBorders>
            <w:shd w:val="clear" w:color="auto" w:fill="auto"/>
            <w:tcMar>
              <w:left w:w="105" w:type="dxa"/>
              <w:right w:w="105" w:type="dxa"/>
            </w:tcMar>
            <w:vAlign w:val="center"/>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合计</w:t>
            </w:r>
          </w:p>
        </w:tc>
        <w:tc>
          <w:tcPr>
            <w:tcW w:w="1099" w:type="dxa"/>
            <w:tcBorders>
              <w:top w:val="nil"/>
              <w:left w:val="nil"/>
              <w:bottom w:val="single" w:color="000000" w:sz="6" w:space="0"/>
              <w:right w:val="single" w:color="000000" w:sz="6" w:space="0"/>
            </w:tcBorders>
            <w:shd w:val="clear" w:color="auto" w:fill="auto"/>
            <w:tcMar>
              <w:left w:w="105" w:type="dxa"/>
              <w:right w:w="105" w:type="dxa"/>
            </w:tcMar>
            <w:vAlign w:val="center"/>
          </w:tcPr>
          <w:p>
            <w:pPr>
              <w:jc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100</w:t>
            </w:r>
            <w:r>
              <w:rPr>
                <w:rFonts w:hint="eastAsia" w:ascii="宋体" w:hAnsi="宋体" w:cs="宋体"/>
                <w:b/>
                <w:color w:val="000000" w:themeColor="text1"/>
                <w:szCs w:val="21"/>
                <w:lang w:eastAsia="zh-CN"/>
                <w14:textFill>
                  <w14:solidFill>
                    <w14:schemeClr w14:val="tx1"/>
                  </w14:solidFill>
                </w14:textFill>
              </w:rPr>
              <w:t>分</w:t>
            </w:r>
          </w:p>
        </w:tc>
        <w:tc>
          <w:tcPr>
            <w:tcW w:w="8347" w:type="dxa"/>
            <w:tcBorders>
              <w:top w:val="nil"/>
              <w:left w:val="nil"/>
              <w:bottom w:val="single" w:color="000000" w:sz="6" w:space="0"/>
              <w:right w:val="single" w:color="000000" w:sz="6" w:space="0"/>
            </w:tcBorders>
            <w:shd w:val="clear" w:color="auto" w:fill="auto"/>
            <w:tcMar>
              <w:left w:w="105" w:type="dxa"/>
              <w:right w:w="105" w:type="dxa"/>
            </w:tcMar>
            <w:vAlign w:val="center"/>
          </w:tcPr>
          <w:p>
            <w:pPr>
              <w:tabs>
                <w:tab w:val="left" w:pos="945"/>
              </w:tabs>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投标人最后得分保留两位小数</w:t>
            </w:r>
          </w:p>
        </w:tc>
      </w:tr>
    </w:tbl>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82" w:firstLineChars="200"/>
        <w:rPr>
          <w:rFonts w:ascii="宋体" w:hAnsi="宋体"/>
          <w:b/>
          <w:bCs/>
          <w:color w:val="000000" w:themeColor="text1"/>
          <w:sz w:val="24"/>
          <w:szCs w:val="32"/>
          <w14:textFill>
            <w14:solidFill>
              <w14:schemeClr w14:val="tx1"/>
            </w14:solidFill>
          </w14:textFill>
        </w:rPr>
      </w:pPr>
      <w:r>
        <w:rPr>
          <w:rFonts w:hint="eastAsia" w:ascii="宋体" w:hAnsi="宋体"/>
          <w:b/>
          <w:bCs/>
          <w:color w:val="000000" w:themeColor="text1"/>
          <w:sz w:val="24"/>
          <w:szCs w:val="32"/>
          <w14:textFill>
            <w14:solidFill>
              <w14:schemeClr w14:val="tx1"/>
            </w14:solidFill>
          </w14:textFill>
        </w:rPr>
        <w:t>备注</w:t>
      </w:r>
      <w:r>
        <w:rPr>
          <w:rFonts w:ascii="宋体" w:hAnsi="宋体"/>
          <w:b/>
          <w:bCs/>
          <w:color w:val="000000" w:themeColor="text1"/>
          <w:sz w:val="24"/>
          <w:szCs w:val="32"/>
          <w14:textFill>
            <w14:solidFill>
              <w14:schemeClr w14:val="tx1"/>
            </w14:solidFill>
          </w14:textFill>
        </w:rPr>
        <w:t>：</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1.以上所有证书、检测报告、合同等复印件相关资料均需盖投标人公章，真实有效，原件备查。</w:t>
      </w:r>
    </w:p>
    <w:p>
      <w:pPr>
        <w:spacing w:line="360" w:lineRule="auto"/>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2.样品不得出现投标人的单位名称及商标，如出现的则样品得零分。样品未提供或提供不全的，样品得零分（本次招标须提供全套样品）。</w:t>
      </w:r>
      <w:r>
        <w:rPr>
          <w:rFonts w:hint="eastAsia"/>
          <w:color w:val="000000" w:themeColor="text1"/>
          <w:sz w:val="24"/>
          <w14:textFill>
            <w14:solidFill>
              <w14:schemeClr w14:val="tx1"/>
            </w14:solidFill>
          </w14:textFill>
        </w:rPr>
        <w:t>同一单位所送样品不得超过一包（每包为一整套）。</w:t>
      </w:r>
    </w:p>
    <w:p>
      <w:pPr>
        <w:spacing w:line="48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3.投标人的样品送样后由招标工作人员进行编号登记。评委以编号为单位进行独立评定，评委有权对样品进行破坏性检测，投标所有费用由投标人自行承担。</w:t>
      </w:r>
    </w:p>
    <w:p>
      <w:pPr>
        <w:spacing w:line="480" w:lineRule="exact"/>
        <w:ind w:firstLine="482" w:firstLineChars="200"/>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4.所列公寓</w:t>
      </w:r>
      <w:r>
        <w:rPr>
          <w:rFonts w:hint="eastAsia" w:ascii="宋体" w:hAnsi="宋体" w:cs="宋体"/>
          <w:b/>
          <w:bCs/>
          <w:color w:val="000000" w:themeColor="text1"/>
          <w:sz w:val="24"/>
          <w14:textFill>
            <w14:solidFill>
              <w14:schemeClr w14:val="tx1"/>
            </w14:solidFill>
          </w14:textFill>
        </w:rPr>
        <w:t>物品的外观、尺寸仅做参考，中标后由使用部门确定，中标单位</w:t>
      </w:r>
      <w:r>
        <w:rPr>
          <w:rFonts w:hint="eastAsia" w:ascii="宋体" w:hAnsi="宋体" w:cs="宋体"/>
          <w:b/>
          <w:color w:val="000000" w:themeColor="text1"/>
          <w:sz w:val="24"/>
          <w14:textFill>
            <w14:solidFill>
              <w14:schemeClr w14:val="tx1"/>
            </w14:solidFill>
          </w14:textFill>
        </w:rPr>
        <w:t>不得增加费用。</w:t>
      </w:r>
    </w:p>
    <w:p>
      <w:pPr>
        <w:spacing w:line="480" w:lineRule="exact"/>
        <w:rPr>
          <w:rFonts w:hint="eastAsia"/>
          <w:lang w:eastAsia="zh-CN"/>
        </w:rPr>
      </w:pPr>
      <w:r>
        <w:rPr>
          <w:rFonts w:hint="eastAsia" w:ascii="宋体" w:hAnsi="宋体" w:cs="宋体"/>
          <w:color w:val="000000" w:themeColor="text1"/>
          <w:sz w:val="24"/>
          <w14:textFill>
            <w14:solidFill>
              <w14:schemeClr w14:val="tx1"/>
            </w14:solidFill>
          </w14:textFill>
        </w:rPr>
        <w:t xml:space="preserve">    5.评标结束后，中标单位的样品封存，未中标单位取走。</w:t>
      </w:r>
    </w:p>
    <w:p>
      <w:pPr>
        <w:pStyle w:val="4"/>
        <w:rPr>
          <w:color w:val="000000" w:themeColor="text1"/>
          <w14:textFill>
            <w14:solidFill>
              <w14:schemeClr w14:val="tx1"/>
            </w14:solidFill>
          </w14:textFill>
        </w:rPr>
      </w:pPr>
      <w:bookmarkStart w:id="11" w:name="_Toc5507"/>
      <w:r>
        <w:rPr>
          <w:rFonts w:hint="eastAsia"/>
          <w:color w:val="000000" w:themeColor="text1"/>
          <w14:textFill>
            <w14:solidFill>
              <w14:schemeClr w14:val="tx1"/>
            </w14:solidFill>
          </w14:textFill>
        </w:rPr>
        <w:t>六、定标</w:t>
      </w:r>
      <w:bookmarkEnd w:id="11"/>
    </w:p>
    <w:p>
      <w:pPr>
        <w:spacing w:line="360" w:lineRule="auto"/>
        <w:ind w:firstLine="482" w:firstLineChars="200"/>
        <w:rPr>
          <w:rFonts w:hint="eastAsia"/>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rFonts w:hint="eastAsia"/>
          <w:b/>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b/>
          <w:color w:val="000000" w:themeColor="text1"/>
          <w:sz w:val="24"/>
          <w:lang w:val="en-US" w:eastAsia="zh-CN"/>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24764"/>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rFonts w:hint="eastAsia" w:ascii="宋体" w:hAnsi="宋体" w:cs="宋体"/>
          <w:color w:val="000000" w:themeColor="text1"/>
          <w:kern w:val="0"/>
          <w:sz w:val="24"/>
          <w14:textFill>
            <w14:solidFill>
              <w14:schemeClr w14:val="tx1"/>
            </w14:solidFill>
          </w14:textFill>
        </w:rPr>
      </w:pPr>
      <w:bookmarkStart w:id="13" w:name="_Toc9091"/>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rPr>
          <w:rFonts w:hint="default" w:eastAsia="宋体"/>
          <w:lang w:val="en-US" w:eastAsia="zh-CN"/>
        </w:rPr>
      </w:pPr>
    </w:p>
    <w:p>
      <w:pPr>
        <w:spacing w:line="360" w:lineRule="auto"/>
        <w:ind w:firstLine="482" w:firstLineChars="200"/>
        <w:rPr>
          <w:rFonts w:hint="eastAsia" w:ascii="宋体" w:hAnsi="宋体" w:cs="宋体"/>
          <w:color w:val="000000" w:themeColor="text1"/>
          <w:kern w:val="0"/>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pStyle w:val="4"/>
        <w:ind w:firstLine="482" w:firstLineChars="200"/>
        <w:rPr>
          <w:rFonts w:hint="eastAsia"/>
          <w:b w:val="0"/>
          <w:bCs w:val="0"/>
          <w:color w:val="000000" w:themeColor="text1"/>
          <w:sz w:val="24"/>
          <w14:textFill>
            <w14:solidFill>
              <w14:schemeClr w14:val="tx1"/>
            </w14:solidFill>
          </w14:textFill>
        </w:rPr>
      </w:pPr>
      <w:r>
        <w:rPr>
          <w:rFonts w:hint="default" w:ascii="Times New Roman" w:hAnsi="Times New Roman" w:cs="Times New Roman"/>
          <w:b/>
          <w:bCs/>
          <w:color w:val="000000" w:themeColor="text1"/>
          <w:sz w:val="24"/>
          <w14:textFill>
            <w14:solidFill>
              <w14:schemeClr w14:val="tx1"/>
            </w14:solidFill>
          </w14:textFill>
        </w:rPr>
        <w:t xml:space="preserve">7.3. </w:t>
      </w:r>
      <w:r>
        <w:rPr>
          <w:rFonts w:hint="eastAsia"/>
          <w:b w:val="0"/>
          <w:bCs w:val="0"/>
          <w:color w:val="000000" w:themeColor="text1"/>
          <w:sz w:val="24"/>
          <w14:textFill>
            <w14:solidFill>
              <w14:schemeClr w14:val="tx1"/>
            </w14:solidFill>
          </w14:textFill>
        </w:rPr>
        <w:t>如投标人中标后悔标，招标人将取消该投标人本次中标资格及今后三年内的投标资格。</w:t>
      </w:r>
      <w:bookmarkEnd w:id="13"/>
      <w:bookmarkStart w:id="14" w:name="_Toc134691158"/>
    </w:p>
    <w:p>
      <w:pPr>
        <w:pStyle w:val="4"/>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八</w:t>
      </w:r>
      <w:r>
        <w:rPr>
          <w:rFonts w:hint="eastAsia"/>
          <w:color w:val="000000" w:themeColor="text1"/>
          <w14:textFill>
            <w14:solidFill>
              <w14:schemeClr w14:val="tx1"/>
            </w14:solidFill>
          </w14:textFill>
        </w:rPr>
        <w:t>、其他</w:t>
      </w:r>
      <w:bookmarkEnd w:id="14"/>
    </w:p>
    <w:p>
      <w:pPr>
        <w:spacing w:line="360" w:lineRule="auto"/>
        <w:ind w:firstLine="482" w:firstLineChars="200"/>
        <w:rPr>
          <w:rFonts w:hint="eastAsia" w:ascii="黑体" w:eastAsia="黑体"/>
          <w:b/>
          <w:color w:val="000000" w:themeColor="text1"/>
          <w:sz w:val="24"/>
          <w14:textFill>
            <w14:solidFill>
              <w14:schemeClr w14:val="tx1"/>
            </w14:solidFill>
          </w14:textFill>
        </w:rPr>
      </w:pPr>
      <w:r>
        <w:rPr>
          <w:rFonts w:hint="eastAsia" w:ascii="黑体" w:eastAsia="黑体"/>
          <w:b/>
          <w:color w:val="000000" w:themeColor="text1"/>
          <w:sz w:val="24"/>
          <w:lang w:val="en-US" w:eastAsia="zh-CN"/>
          <w14:textFill>
            <w14:solidFill>
              <w14:schemeClr w14:val="tx1"/>
            </w14:solidFill>
          </w14:textFill>
        </w:rPr>
        <w:t>8</w:t>
      </w:r>
      <w:r>
        <w:rPr>
          <w:rFonts w:hint="eastAsia" w:ascii="黑体" w:eastAsia="黑体"/>
          <w:b/>
          <w:color w:val="000000" w:themeColor="text1"/>
          <w:sz w:val="24"/>
          <w14:textFill>
            <w14:solidFill>
              <w14:schemeClr w14:val="tx1"/>
            </w14:solidFill>
          </w14:textFill>
        </w:rPr>
        <w:t>.1. 投标人无论中标与否，招标人不承担投标人参加投标的任何费用。</w:t>
      </w:r>
    </w:p>
    <w:p>
      <w:pPr>
        <w:pStyle w:val="4"/>
        <w:spacing w:line="480" w:lineRule="exact"/>
        <w:rPr>
          <w:color w:val="000000" w:themeColor="text1"/>
          <w14:textFill>
            <w14:solidFill>
              <w14:schemeClr w14:val="tx1"/>
            </w14:solidFill>
          </w14:textFill>
        </w:rPr>
      </w:pPr>
      <w:bookmarkStart w:id="15" w:name="_Toc107915356"/>
      <w:r>
        <w:rPr>
          <w:rFonts w:hint="eastAsia"/>
          <w:color w:val="000000" w:themeColor="text1"/>
          <w:lang w:eastAsia="zh-CN"/>
          <w14:textFill>
            <w14:solidFill>
              <w14:schemeClr w14:val="tx1"/>
            </w14:solidFill>
          </w14:textFill>
        </w:rPr>
        <w:t>九</w:t>
      </w:r>
      <w:r>
        <w:rPr>
          <w:rFonts w:hint="eastAsia"/>
          <w:color w:val="000000" w:themeColor="text1"/>
          <w14:textFill>
            <w14:solidFill>
              <w14:schemeClr w14:val="tx1"/>
            </w14:solidFill>
          </w14:textFill>
        </w:rPr>
        <w:t>、合同</w:t>
      </w:r>
      <w:r>
        <w:rPr>
          <w:color w:val="000000" w:themeColor="text1"/>
          <w14:textFill>
            <w14:solidFill>
              <w14:schemeClr w14:val="tx1"/>
            </w14:solidFill>
          </w14:textFill>
        </w:rPr>
        <w:t>履约保证金</w:t>
      </w:r>
      <w:bookmarkEnd w:id="15"/>
    </w:p>
    <w:p>
      <w:pPr>
        <w:spacing w:line="48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9</w:t>
      </w:r>
      <w:r>
        <w:rPr>
          <w:rFonts w:hint="eastAsia" w:ascii="宋体" w:hAnsi="宋体" w:cs="宋体"/>
          <w:b/>
          <w:color w:val="000000" w:themeColor="text1"/>
          <w:sz w:val="24"/>
          <w14:textFill>
            <w14:solidFill>
              <w14:schemeClr w14:val="tx1"/>
            </w14:solidFill>
          </w14:textFill>
        </w:rPr>
        <w:t xml:space="preserve">.1. </w:t>
      </w:r>
      <w:r>
        <w:rPr>
          <w:rFonts w:hint="eastAsia" w:ascii="宋体" w:hAnsi="宋体" w:cs="宋体"/>
          <w:color w:val="000000" w:themeColor="text1"/>
          <w:sz w:val="24"/>
          <w14:textFill>
            <w14:solidFill>
              <w14:schemeClr w14:val="tx1"/>
            </w14:solidFill>
          </w14:textFill>
        </w:rPr>
        <w:t>中标单位在签订合同前</w:t>
      </w:r>
      <w:r>
        <w:rPr>
          <w:rFonts w:hint="eastAsia" w:ascii="宋体" w:hAnsi="宋体" w:cs="宋体"/>
          <w:color w:val="000000" w:themeColor="text1"/>
          <w:sz w:val="24"/>
          <w:lang w:eastAsia="zh-CN"/>
          <w14:textFill>
            <w14:solidFill>
              <w14:schemeClr w14:val="tx1"/>
            </w14:solidFill>
          </w14:textFill>
        </w:rPr>
        <w:t>缴纳</w:t>
      </w:r>
      <w:r>
        <w:rPr>
          <w:rFonts w:hint="eastAsia" w:ascii="宋体" w:hAnsi="宋体" w:cs="宋体"/>
          <w:color w:val="000000" w:themeColor="text1"/>
          <w:sz w:val="24"/>
          <w:lang w:val="en-US" w:eastAsia="zh-CN"/>
          <w14:textFill>
            <w14:solidFill>
              <w14:schemeClr w14:val="tx1"/>
            </w14:solidFill>
          </w14:textFill>
        </w:rPr>
        <w:t>5万元</w:t>
      </w:r>
      <w:r>
        <w:rPr>
          <w:rFonts w:hint="eastAsia" w:ascii="宋体" w:hAnsi="宋体" w:cs="宋体"/>
          <w:color w:val="000000" w:themeColor="text1"/>
          <w:sz w:val="24"/>
          <w14:textFill>
            <w14:solidFill>
              <w14:schemeClr w14:val="tx1"/>
            </w14:solidFill>
          </w14:textFill>
        </w:rPr>
        <w:t>作为履约保证金缴纳至招标人指定账户，在较好地履行供货服务合同并经纤检所抽检合格后，招标人无息退还其履约保证金。</w:t>
      </w:r>
    </w:p>
    <w:p>
      <w:pPr>
        <w:spacing w:line="480" w:lineRule="exact"/>
        <w:ind w:firstLine="482" w:firstLineChars="200"/>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9</w:t>
      </w:r>
      <w:r>
        <w:rPr>
          <w:rFonts w:hint="eastAsia" w:ascii="宋体" w:hAnsi="宋体" w:cs="宋体"/>
          <w:b/>
          <w:bCs/>
          <w:color w:val="000000" w:themeColor="text1"/>
          <w:sz w:val="24"/>
          <w14:textFill>
            <w14:solidFill>
              <w14:schemeClr w14:val="tx1"/>
            </w14:solidFill>
          </w14:textFill>
        </w:rPr>
        <w:t xml:space="preserve">.2. </w:t>
      </w:r>
      <w:r>
        <w:rPr>
          <w:rFonts w:hint="eastAsia" w:ascii="宋体" w:hAnsi="宋体" w:cs="宋体"/>
          <w:color w:val="000000" w:themeColor="text1"/>
          <w:sz w:val="24"/>
          <w14:textFill>
            <w14:solidFill>
              <w14:schemeClr w14:val="tx1"/>
            </w14:solidFill>
          </w14:textFill>
        </w:rPr>
        <w:t>如中标投标人未能履行投标时的相关承诺，或提供假冒伪劣产品，招标人有权从履约保证金中取得补偿，不予退还部分或全部履约保证金，并按相关法律规定处理。</w:t>
      </w:r>
    </w:p>
    <w:p>
      <w:pPr>
        <w:pStyle w:val="2"/>
        <w:ind w:left="0" w:leftChars="0" w:firstLine="0" w:firstLineChars="0"/>
      </w:pPr>
    </w:p>
    <w:p>
      <w:pPr>
        <w:spacing w:line="360" w:lineRule="auto"/>
        <w:ind w:firstLine="899" w:firstLineChars="200"/>
        <w:rPr>
          <w:rFonts w:ascii="宋体"/>
          <w:b/>
          <w:color w:val="000000" w:themeColor="text1"/>
          <w:spacing w:val="4"/>
          <w:sz w:val="44"/>
          <w:szCs w:val="44"/>
          <w14:textFill>
            <w14:solidFill>
              <w14:schemeClr w14:val="tx1"/>
            </w14:solidFill>
          </w14:textFill>
        </w:rPr>
      </w:pPr>
    </w:p>
    <w:p>
      <w:pPr>
        <w:rPr>
          <w:color w:val="000000" w:themeColor="text1"/>
          <w14:textFill>
            <w14:solidFill>
              <w14:schemeClr w14:val="tx1"/>
            </w14:solidFill>
          </w14:textFill>
        </w:rPr>
      </w:pP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pStyle w:val="3"/>
        <w:jc w:val="center"/>
        <w:rPr>
          <w:color w:val="000000" w:themeColor="text1"/>
          <w14:textFill>
            <w14:solidFill>
              <w14:schemeClr w14:val="tx1"/>
            </w14:solidFill>
          </w14:textFill>
        </w:rPr>
      </w:pPr>
      <w:bookmarkStart w:id="16" w:name="_Toc11783"/>
      <w:r>
        <w:rPr>
          <w:rFonts w:hint="eastAsia"/>
          <w:color w:val="000000" w:themeColor="text1"/>
          <w14:textFill>
            <w14:solidFill>
              <w14:schemeClr w14:val="tx1"/>
            </w14:solidFill>
          </w14:textFill>
        </w:rPr>
        <w:t>第三部分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招标货物要求及相关说明</w:t>
      </w:r>
      <w:bookmarkEnd w:id="16"/>
    </w:p>
    <w:p>
      <w:pPr>
        <w:rPr>
          <w:color w:val="000000" w:themeColor="text1"/>
          <w14:textFill>
            <w14:solidFill>
              <w14:schemeClr w14:val="tx1"/>
            </w14:solidFill>
          </w14:textFill>
        </w:rPr>
      </w:pPr>
    </w:p>
    <w:p>
      <w:pPr>
        <w:keepNext w:val="0"/>
        <w:keepLines w:val="0"/>
        <w:pageBreakBefore w:val="0"/>
        <w:widowControl w:val="0"/>
        <w:kinsoku/>
        <w:wordWrap/>
        <w:overflowPunct/>
        <w:topLinePunct w:val="0"/>
        <w:bidi w:val="0"/>
        <w:snapToGrid/>
        <w:spacing w:line="360" w:lineRule="auto"/>
        <w:ind w:firstLine="482" w:firstLineChars="200"/>
        <w:textAlignment w:val="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招标物品的品名、规格和质量：要求详见《南通大学202</w:t>
      </w:r>
      <w:r>
        <w:rPr>
          <w:rFonts w:hint="eastAsia" w:ascii="宋体" w:hAnsi="宋体" w:cs="宋体"/>
          <w:b/>
          <w:bCs/>
          <w:color w:val="000000" w:themeColor="text1"/>
          <w:sz w:val="24"/>
          <w:lang w:val="en-US" w:eastAsia="zh-CN"/>
          <w14:textFill>
            <w14:solidFill>
              <w14:schemeClr w14:val="tx1"/>
            </w14:solidFill>
          </w14:textFill>
        </w:rPr>
        <w:t>3</w:t>
      </w:r>
      <w:r>
        <w:rPr>
          <w:rFonts w:hint="eastAsia" w:ascii="宋体" w:hAnsi="宋体" w:cs="宋体"/>
          <w:b/>
          <w:bCs/>
          <w:color w:val="000000" w:themeColor="text1"/>
          <w:sz w:val="24"/>
          <w14:textFill>
            <w14:solidFill>
              <w14:schemeClr w14:val="tx1"/>
            </w14:solidFill>
          </w14:textFill>
        </w:rPr>
        <w:t>年学生公寓物品报价单》（附件2）中所列品名、规格和质量要求。</w:t>
      </w:r>
      <w:r>
        <w:rPr>
          <w:rFonts w:hint="eastAsia" w:ascii="宋体" w:hAnsi="宋体" w:cs="宋体"/>
          <w:color w:val="000000" w:themeColor="text1"/>
          <w:sz w:val="24"/>
          <w14:textFill>
            <w14:solidFill>
              <w14:schemeClr w14:val="tx1"/>
            </w14:solidFill>
          </w14:textFill>
        </w:rPr>
        <w:t>投标方应按本招标文件规定的各项要求和DB32/T525-2010《学生公寓用纺织品》、GB18401-2010《国家纺织产品基本安全技术规范》、GB/T22796-20</w:t>
      </w:r>
      <w:r>
        <w:rPr>
          <w:rFonts w:hint="eastAsia" w:ascii="宋体" w:hAnsi="宋体" w:cs="宋体"/>
          <w:color w:val="000000" w:themeColor="text1"/>
          <w:sz w:val="24"/>
          <w:lang w:val="en-US" w:eastAsia="zh-CN"/>
          <w14:textFill>
            <w14:solidFill>
              <w14:schemeClr w14:val="tx1"/>
            </w14:solidFill>
          </w14:textFill>
        </w:rPr>
        <w:t>21</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eastAsia="zh-CN"/>
          <w14:textFill>
            <w14:solidFill>
              <w14:schemeClr w14:val="tx1"/>
            </w14:solidFill>
          </w14:textFill>
        </w:rPr>
        <w:t>床上用品</w:t>
      </w:r>
      <w:r>
        <w:rPr>
          <w:rFonts w:hint="eastAsia" w:ascii="宋体" w:hAnsi="宋体" w:cs="宋体"/>
          <w:color w:val="000000" w:themeColor="text1"/>
          <w:sz w:val="24"/>
          <w14:textFill>
            <w14:solidFill>
              <w14:schemeClr w14:val="tx1"/>
            </w14:solidFill>
          </w14:textFill>
        </w:rPr>
        <w:t>》、GB18383-2007《絮用纤维通用技术要求》、DB32/T2128-2016《学生公寓用棉胎》等标准提供用品，同时必须符合相关安全标准。被套、床单、枕套、枕芯采用适合高校特点的颜色和简洁的花纹。</w:t>
      </w:r>
    </w:p>
    <w:p>
      <w:pPr>
        <w:pStyle w:val="54"/>
        <w:keepNext w:val="0"/>
        <w:keepLines w:val="0"/>
        <w:pageBreakBefore w:val="0"/>
        <w:widowControl w:val="0"/>
        <w:kinsoku/>
        <w:wordWrap/>
        <w:overflowPunct/>
        <w:topLinePunct w:val="0"/>
        <w:bidi w:val="0"/>
        <w:snapToGrid/>
        <w:spacing w:line="360" w:lineRule="auto"/>
        <w:ind w:firstLine="482" w:firstLineChars="200"/>
        <w:textAlignment w:val="auto"/>
        <w:rPr>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《南通大学202</w:t>
      </w:r>
      <w:r>
        <w:rPr>
          <w:rFonts w:hint="eastAsia" w:ascii="宋体" w:hAnsi="宋体" w:cs="宋体"/>
          <w:b/>
          <w:bCs/>
          <w:color w:val="000000" w:themeColor="text1"/>
          <w:lang w:val="en-US" w:eastAsia="zh-CN"/>
          <w14:textFill>
            <w14:solidFill>
              <w14:schemeClr w14:val="tx1"/>
            </w14:solidFill>
          </w14:textFill>
        </w:rPr>
        <w:t>3</w:t>
      </w:r>
      <w:r>
        <w:rPr>
          <w:rFonts w:hint="eastAsia" w:ascii="宋体" w:hAnsi="宋体" w:cs="宋体"/>
          <w:b/>
          <w:bCs/>
          <w:color w:val="000000" w:themeColor="text1"/>
          <w14:textFill>
            <w14:solidFill>
              <w14:schemeClr w14:val="tx1"/>
            </w14:solidFill>
          </w14:textFill>
        </w:rPr>
        <w:t>年学生公寓物品报价单》里面的物品均需提供样品，</w:t>
      </w:r>
      <w:r>
        <w:rPr>
          <w:rFonts w:hint="eastAsia"/>
          <w:b/>
          <w:bCs/>
          <w:color w:val="000000" w:themeColor="text1"/>
          <w14:textFill>
            <w14:solidFill>
              <w14:schemeClr w14:val="tx1"/>
            </w14:solidFill>
          </w14:textFill>
        </w:rPr>
        <w:t>请严格按规格、型号及备注说明的技术参数投送样品</w:t>
      </w:r>
      <w:r>
        <w:rPr>
          <w:rFonts w:hint="eastAsia"/>
          <w:color w:val="000000" w:themeColor="text1"/>
          <w14:textFill>
            <w14:solidFill>
              <w14:schemeClr w14:val="tx1"/>
            </w14:solidFill>
          </w14:textFill>
        </w:rPr>
        <w:t>，样品必须要符合物品的质量要求。同一单位所送样品不得超过一包</w:t>
      </w:r>
      <w:r>
        <w:rPr>
          <w:rFonts w:hint="eastAsia"/>
          <w:b/>
          <w:bCs/>
          <w:color w:val="000000" w:themeColor="text1"/>
          <w14:textFill>
            <w14:solidFill>
              <w14:schemeClr w14:val="tx1"/>
            </w14:solidFill>
          </w14:textFill>
        </w:rPr>
        <w:t>（每包为一整套）</w:t>
      </w:r>
      <w:r>
        <w:rPr>
          <w:rFonts w:hint="eastAsia"/>
          <w:color w:val="000000" w:themeColor="text1"/>
          <w14:textFill>
            <w14:solidFill>
              <w14:schemeClr w14:val="tx1"/>
            </w14:solidFill>
          </w14:textFill>
        </w:rPr>
        <w:t>。</w:t>
      </w:r>
    </w:p>
    <w:p>
      <w:pPr>
        <w:pStyle w:val="54"/>
        <w:keepNext w:val="0"/>
        <w:keepLines w:val="0"/>
        <w:pageBreakBefore w:val="0"/>
        <w:widowControl w:val="0"/>
        <w:kinsoku/>
        <w:wordWrap/>
        <w:overflowPunct/>
        <w:topLinePunct w:val="0"/>
        <w:bidi w:val="0"/>
        <w:snapToGrid/>
        <w:spacing w:line="360" w:lineRule="auto"/>
        <w:ind w:firstLine="480" w:firstLineChars="200"/>
        <w:textAlignment w:val="auto"/>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r>
        <w:rPr>
          <w:rFonts w:hint="eastAsia"/>
          <w:color w:val="000000" w:themeColor="text1"/>
          <w14:textFill>
            <w14:solidFill>
              <w14:schemeClr w14:val="tx1"/>
            </w14:solidFill>
          </w14:textFill>
        </w:rPr>
        <w:t>投标单位投标所送样品接受评标时的破坏性试验。</w:t>
      </w:r>
    </w:p>
    <w:p>
      <w:pPr>
        <w:pStyle w:val="3"/>
        <w:jc w:val="center"/>
        <w:rPr>
          <w:color w:val="000000" w:themeColor="text1"/>
          <w14:textFill>
            <w14:solidFill>
              <w14:schemeClr w14:val="tx1"/>
            </w14:solidFill>
          </w14:textFill>
        </w:rPr>
      </w:pPr>
      <w:bookmarkStart w:id="17" w:name="_Toc5474"/>
      <w:r>
        <w:rPr>
          <w:rFonts w:hint="eastAsia"/>
          <w:color w:val="000000" w:themeColor="text1"/>
          <w14:textFill>
            <w14:solidFill>
              <w14:schemeClr w14:val="tx1"/>
            </w14:solidFill>
          </w14:textFill>
        </w:rPr>
        <w:t>第四部分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合同主要条款</w:t>
      </w:r>
      <w:bookmarkEnd w:id="17"/>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一、供货时间等相关要求及付款方式</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1.招标方计划：约</w:t>
      </w:r>
      <w:r>
        <w:rPr>
          <w:rFonts w:hint="eastAsia" w:ascii="宋体" w:hAnsi="宋体" w:cs="宋体"/>
          <w:color w:val="000000" w:themeColor="text1"/>
          <w:sz w:val="24"/>
          <w:lang w:val="en-US" w:eastAsia="zh-CN"/>
          <w14:textFill>
            <w14:solidFill>
              <w14:schemeClr w14:val="tx1"/>
            </w14:solidFill>
          </w14:textFill>
        </w:rPr>
        <w:t>1900</w:t>
      </w:r>
      <w:r>
        <w:rPr>
          <w:rFonts w:hint="eastAsia" w:ascii="宋体" w:hAnsi="宋体" w:cs="宋体"/>
          <w:color w:val="000000" w:themeColor="text1"/>
          <w:sz w:val="24"/>
          <w14:textFill>
            <w14:solidFill>
              <w14:schemeClr w14:val="tx1"/>
            </w14:solidFill>
          </w14:textFill>
        </w:rPr>
        <w:t>套配套公寓物品，所有公寓物品由中标单位负责多退少补。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2.中标方交货时间：202</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年8月</w:t>
      </w:r>
      <w:r>
        <w:rPr>
          <w:rFonts w:hint="eastAsia" w:ascii="宋体" w:hAnsi="宋体" w:cs="宋体"/>
          <w:color w:val="000000" w:themeColor="text1"/>
          <w:sz w:val="24"/>
          <w:lang w:val="en-US" w:eastAsia="zh-CN"/>
          <w14:textFill>
            <w14:solidFill>
              <w14:schemeClr w14:val="tx1"/>
            </w14:solidFill>
          </w14:textFill>
        </w:rPr>
        <w:t>20</w:t>
      </w:r>
      <w:r>
        <w:rPr>
          <w:rFonts w:hint="eastAsia" w:ascii="宋体" w:hAnsi="宋体" w:cs="宋体"/>
          <w:color w:val="000000" w:themeColor="text1"/>
          <w:sz w:val="24"/>
          <w14:textFill>
            <w14:solidFill>
              <w14:schemeClr w14:val="tx1"/>
            </w14:solidFill>
          </w14:textFill>
        </w:rPr>
        <w:t>日至8月2</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日，具体时间根据实际情况而定（实际送货时间以通知为准）。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3.中标方交货地点：南通大学啬园校区</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中标方应按招标方规定时间、地点签订《南通大学学生公寓物品代购合同》，按订货金额的10%作为合同履约保证金。中标方按期交货后经南通市纤维检验所抽检合格，并在公寓物品发放给学生使用一个月内无质量问题，此款于12月31日前退还（不计息）。</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5.中标方应按招标方规定时间、地点将公寓物品发送至指定地点。如不按期交货，每推迟一天，按总额的1%进行赔偿。</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6.中标方送货时，经招标方开箱、开袋对照样品抽检，不合格者招标方有权退货，一切损失由中标方负责，并作为不按期交货进行赔偿。</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7.公寓物品的销售、搬运上床、回收等一切工作产生的费用由中标单位承担，按中标金额的6%计算（费用按实结算，多退少补）。</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8.在公寓物品发放过程中，招标方发现公寓物品损坏、短少，中标方须于2天内补充或更换，多余物品由各中标单位收回。</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9.中标方应及时补足因纤检所抽检而短缺的物品。</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10.在投标、供货及售后服务中发现有违规、违约行为者，将取消其今后参与南通大学公寓物品竞标活动的资格。</w:t>
      </w:r>
    </w:p>
    <w:p>
      <w:pPr>
        <w:spacing w:line="360" w:lineRule="auto"/>
        <w:ind w:firstLine="480" w:firstLineChars="200"/>
        <w:rPr>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11.合同期限：</w:t>
      </w:r>
      <w:r>
        <w:rPr>
          <w:rFonts w:hint="eastAsia" w:ascii="宋体" w:hAnsi="宋体" w:cs="宋体"/>
          <w:color w:val="000000" w:themeColor="text1"/>
          <w:kern w:val="0"/>
          <w:sz w:val="24"/>
          <w14:textFill>
            <w14:solidFill>
              <w14:schemeClr w14:val="tx1"/>
            </w14:solidFill>
          </w14:textFill>
        </w:rPr>
        <w:t>招标有效期一年，自合同签订起生效，中标单位在中标期内如不符合要求另行招标。</w:t>
      </w:r>
    </w:p>
    <w:p>
      <w:pPr>
        <w:spacing w:line="360" w:lineRule="auto"/>
        <w:ind w:right="-4" w:rightChars="-2" w:firstLine="413" w:firstLineChars="19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pStyle w:val="3"/>
        <w:jc w:val="center"/>
        <w:rPr>
          <w:rFonts w:ascii="宋体"/>
          <w:b w:val="0"/>
          <w:color w:val="000000" w:themeColor="text1"/>
          <w:spacing w:val="4"/>
          <w14:textFill>
            <w14:solidFill>
              <w14:schemeClr w14:val="tx1"/>
            </w14:solidFill>
          </w14:textFill>
        </w:rPr>
      </w:pPr>
      <w:bookmarkStart w:id="18" w:name="_Toc3155"/>
      <w:r>
        <w:rPr>
          <w:rFonts w:hint="eastAsia"/>
          <w:color w:val="000000" w:themeColor="text1"/>
          <w14:textFill>
            <w14:solidFill>
              <w14:schemeClr w14:val="tx1"/>
            </w14:solidFill>
          </w14:textFill>
        </w:rPr>
        <w:t>第五部分</w:t>
      </w:r>
      <w:r>
        <w:rPr>
          <w:rFonts w:hint="eastAsia"/>
          <w:color w:val="000000" w:themeColor="text1"/>
          <w:lang w:val="en-US" w:eastAsia="zh-CN"/>
          <w14:textFill>
            <w14:solidFill>
              <w14:schemeClr w14:val="tx1"/>
            </w14:solidFill>
          </w14:textFill>
        </w:rPr>
        <w:t xml:space="preserve"> </w:t>
      </w:r>
      <w:r>
        <w:rPr>
          <w:rFonts w:hint="eastAsia"/>
          <w:color w:val="000000" w:themeColor="text1"/>
          <w14:textFill>
            <w14:solidFill>
              <w14:schemeClr w14:val="tx1"/>
            </w14:solidFill>
          </w14:textFill>
        </w:rPr>
        <w:t>附件</w:t>
      </w:r>
      <w:bookmarkEnd w:id="18"/>
    </w:p>
    <w:p>
      <w:pPr>
        <w:spacing w:line="360" w:lineRule="auto"/>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hint="eastAsia" w:asciiTheme="minorEastAsia" w:hAnsiTheme="minorEastAsia" w:eastAsiaTheme="minorEastAsia" w:cstheme="minorEastAsia"/>
          <w:color w:val="000000" w:themeColor="text1"/>
          <w:spacing w:val="4"/>
          <w:sz w:val="24"/>
          <w14:textFill>
            <w14:solidFill>
              <w14:schemeClr w14:val="tx1"/>
            </w14:solidFill>
          </w14:textFill>
        </w:rPr>
      </w:pPr>
      <w:r>
        <w:rPr>
          <w:rFonts w:hint="eastAsia"/>
          <w:sz w:val="24"/>
        </w:rPr>
        <w:t>附件</w:t>
      </w:r>
      <w:r>
        <w:rPr>
          <w:rFonts w:hint="eastAsia" w:ascii="宋体" w:hAnsi="宋体"/>
          <w:sz w:val="24"/>
          <w:lang w:val="en-US" w:eastAsia="zh-CN"/>
        </w:rPr>
        <w:t>2</w:t>
      </w:r>
      <w:r>
        <w:rPr>
          <w:rFonts w:hint="eastAsia" w:ascii="宋体" w:hAnsi="宋体"/>
          <w:sz w:val="24"/>
        </w:rPr>
        <w:t>：</w:t>
      </w:r>
      <w:r>
        <w:rPr>
          <w:rFonts w:hint="eastAsia" w:asciiTheme="minorEastAsia" w:hAnsiTheme="minorEastAsia" w:eastAsiaTheme="minorEastAsia" w:cstheme="minorEastAsia"/>
          <w:color w:val="000000" w:themeColor="text1"/>
          <w:spacing w:val="4"/>
          <w:sz w:val="24"/>
          <w14:textFill>
            <w14:solidFill>
              <w14:schemeClr w14:val="tx1"/>
            </w14:solidFill>
          </w14:textFill>
        </w:rPr>
        <w:t>南通大学202</w:t>
      </w:r>
      <w:r>
        <w:rPr>
          <w:rFonts w:hint="eastAsia" w:asciiTheme="minorEastAsia" w:hAnsiTheme="minorEastAsia" w:eastAsiaTheme="minorEastAsia" w:cstheme="minorEastAsia"/>
          <w:color w:val="000000" w:themeColor="text1"/>
          <w:spacing w:val="4"/>
          <w:sz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pacing w:val="4"/>
          <w:sz w:val="24"/>
          <w14:textFill>
            <w14:solidFill>
              <w14:schemeClr w14:val="tx1"/>
            </w14:solidFill>
          </w14:textFill>
        </w:rPr>
        <w:t>年学生公寓物品报价单</w:t>
      </w:r>
    </w:p>
    <w:p>
      <w:pPr>
        <w:spacing w:line="360" w:lineRule="auto"/>
        <w:rPr>
          <w:rFonts w:hint="eastAsia" w:asciiTheme="minorEastAsia" w:hAnsiTheme="minorEastAsia" w:eastAsiaTheme="minorEastAsia" w:cstheme="minorEastAsia"/>
          <w:color w:val="000000" w:themeColor="text1"/>
          <w:spacing w:val="4"/>
          <w:sz w:val="24"/>
          <w14:textFill>
            <w14:solidFill>
              <w14:schemeClr w14:val="tx1"/>
            </w14:solidFill>
          </w14:textFill>
        </w:rPr>
      </w:pPr>
      <w:r>
        <w:rPr>
          <w:rFonts w:hint="eastAsia" w:asciiTheme="minorEastAsia" w:hAnsiTheme="minorEastAsia" w:eastAsiaTheme="minorEastAsia" w:cstheme="minorEastAsia"/>
          <w:color w:val="000000" w:themeColor="text1"/>
          <w:spacing w:val="4"/>
          <w:sz w:val="24"/>
          <w14:textFill>
            <w14:solidFill>
              <w14:schemeClr w14:val="tx1"/>
            </w14:solidFill>
          </w14:textFill>
        </w:rPr>
        <w:t>附件</w:t>
      </w:r>
      <w:r>
        <w:rPr>
          <w:rFonts w:hint="eastAsia" w:asciiTheme="minorEastAsia" w:hAnsiTheme="minorEastAsia" w:eastAsiaTheme="minorEastAsia" w:cstheme="minorEastAsia"/>
          <w:color w:val="000000" w:themeColor="text1"/>
          <w:spacing w:val="4"/>
          <w:sz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pacing w:val="4"/>
          <w:sz w:val="24"/>
          <w14:textFill>
            <w14:solidFill>
              <w14:schemeClr w14:val="tx1"/>
            </w14:solidFill>
          </w14:textFill>
        </w:rPr>
        <w:t>：产品质量承诺书</w:t>
      </w:r>
    </w:p>
    <w:p>
      <w:pPr>
        <w:spacing w:line="360" w:lineRule="auto"/>
        <w:rPr>
          <w:rFonts w:ascii="宋体" w:hAnsi="宋体"/>
          <w:sz w:val="24"/>
        </w:rPr>
      </w:pPr>
      <w:r>
        <w:rPr>
          <w:rFonts w:hint="eastAsia" w:ascii="宋体" w:hAnsi="宋体"/>
          <w:sz w:val="24"/>
        </w:rPr>
        <w:t>附件</w:t>
      </w:r>
      <w:r>
        <w:rPr>
          <w:rFonts w:hint="eastAsia" w:ascii="宋体" w:hAnsi="宋体"/>
          <w:sz w:val="24"/>
          <w:lang w:val="en-US" w:eastAsia="zh-CN"/>
        </w:rPr>
        <w:t>4</w:t>
      </w:r>
      <w:r>
        <w:rPr>
          <w:rFonts w:hint="eastAsia" w:ascii="宋体" w:hAnsi="宋体"/>
          <w:sz w:val="24"/>
        </w:rPr>
        <w:t>：法定代表人资格证明</w:t>
      </w:r>
    </w:p>
    <w:p>
      <w:pPr>
        <w:spacing w:line="360" w:lineRule="auto"/>
        <w:rPr>
          <w:rFonts w:ascii="宋体" w:hAnsi="宋体"/>
          <w:sz w:val="24"/>
        </w:rPr>
      </w:pPr>
      <w:r>
        <w:rPr>
          <w:rFonts w:hint="eastAsia" w:ascii="宋体" w:hAnsi="宋体"/>
          <w:sz w:val="24"/>
        </w:rPr>
        <w:t>附件</w:t>
      </w:r>
      <w:r>
        <w:rPr>
          <w:rFonts w:hint="eastAsia" w:ascii="宋体" w:hAnsi="宋体"/>
          <w:sz w:val="24"/>
          <w:lang w:val="en-US" w:eastAsia="zh-CN"/>
        </w:rPr>
        <w:t>5</w:t>
      </w:r>
      <w:r>
        <w:rPr>
          <w:rFonts w:hint="eastAsia" w:ascii="宋体" w:hAnsi="宋体"/>
          <w:sz w:val="24"/>
        </w:rPr>
        <w:t>：法定代表人授权书</w:t>
      </w:r>
    </w:p>
    <w:p>
      <w:pPr>
        <w:spacing w:line="360" w:lineRule="auto"/>
        <w:rPr>
          <w:rFonts w:ascii="宋体" w:hAnsi="宋体" w:cs="宋体"/>
          <w:sz w:val="24"/>
        </w:rPr>
      </w:pPr>
      <w:r>
        <w:rPr>
          <w:rFonts w:hint="eastAsia" w:ascii="宋体" w:hAnsi="宋体" w:cs="宋体"/>
          <w:sz w:val="24"/>
        </w:rPr>
        <w:t>附件</w:t>
      </w:r>
      <w:r>
        <w:rPr>
          <w:rFonts w:hint="eastAsia" w:ascii="宋体" w:hAnsi="宋体" w:cs="宋体"/>
          <w:sz w:val="24"/>
          <w:lang w:val="en-US" w:eastAsia="zh-CN"/>
        </w:rPr>
        <w:t>6</w:t>
      </w:r>
      <w:r>
        <w:rPr>
          <w:rFonts w:hint="eastAsia" w:ascii="宋体" w:hAnsi="宋体" w:cs="宋体"/>
          <w:sz w:val="24"/>
        </w:rPr>
        <w:t>：</w:t>
      </w:r>
      <w:r>
        <w:rPr>
          <w:rFonts w:hint="eastAsia" w:ascii="宋体" w:hAnsi="宋体" w:cs="宋体"/>
          <w:color w:val="000000" w:themeColor="text1"/>
          <w:sz w:val="24"/>
          <w14:textFill>
            <w14:solidFill>
              <w14:schemeClr w14:val="tx1"/>
            </w14:solidFill>
          </w14:textFill>
        </w:rPr>
        <w:t>无重大违法记录声明</w:t>
      </w:r>
    </w:p>
    <w:p>
      <w:pPr>
        <w:spacing w:line="360" w:lineRule="auto"/>
      </w:pPr>
      <w:r>
        <w:rPr>
          <w:rFonts w:hint="eastAsia" w:ascii="宋体" w:hAnsi="宋体" w:cs="宋体"/>
          <w:sz w:val="24"/>
        </w:rPr>
        <w:t>附件</w:t>
      </w:r>
      <w:r>
        <w:rPr>
          <w:rFonts w:hint="eastAsia" w:ascii="宋体" w:hAnsi="宋体" w:cs="宋体"/>
          <w:sz w:val="24"/>
          <w:lang w:val="en-US" w:eastAsia="zh-CN"/>
        </w:rPr>
        <w:t>7</w:t>
      </w:r>
      <w:r>
        <w:rPr>
          <w:rFonts w:hint="eastAsia" w:ascii="宋体" w:hAnsi="宋体" w:cs="宋体"/>
          <w:sz w:val="24"/>
        </w:rPr>
        <w:t>：</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9" w:name="_Toc7018"/>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：投标承诺函</w:t>
      </w:r>
      <w:bookmarkEnd w:id="19"/>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pStyle w:val="4"/>
        <w:rPr>
          <w:rFonts w:hint="eastAsia" w:asciiTheme="minorEastAsia" w:hAnsiTheme="minorEastAsia" w:eastAsiaTheme="minorEastAsia"/>
          <w:b w:val="0"/>
          <w:sz w:val="21"/>
          <w:szCs w:val="21"/>
        </w:rPr>
      </w:pPr>
      <w:bookmarkStart w:id="20" w:name="_Toc107915365"/>
      <w:bookmarkStart w:id="21" w:name="_Toc24982"/>
      <w:bookmarkStart w:id="22" w:name="_Toc24632184"/>
      <w:r>
        <w:rPr>
          <w:rFonts w:hint="eastAsia" w:asciiTheme="minorEastAsia" w:hAnsiTheme="minorEastAsia" w:eastAsiaTheme="minorEastAsia"/>
          <w:b w:val="0"/>
          <w:sz w:val="21"/>
          <w:szCs w:val="21"/>
        </w:rPr>
        <w:t>附件2：南通大学202</w:t>
      </w:r>
      <w:r>
        <w:rPr>
          <w:rFonts w:hint="eastAsia" w:asciiTheme="minorEastAsia" w:hAnsiTheme="minorEastAsia" w:eastAsiaTheme="minorEastAsia"/>
          <w:b w:val="0"/>
          <w:sz w:val="21"/>
          <w:szCs w:val="21"/>
          <w:lang w:val="en-US" w:eastAsia="zh-CN"/>
        </w:rPr>
        <w:t>3</w:t>
      </w:r>
      <w:r>
        <w:rPr>
          <w:rFonts w:hint="eastAsia" w:asciiTheme="minorEastAsia" w:hAnsiTheme="minorEastAsia" w:eastAsiaTheme="minorEastAsia"/>
          <w:b w:val="0"/>
          <w:sz w:val="21"/>
          <w:szCs w:val="21"/>
        </w:rPr>
        <w:t>年学生公寓物品报价单</w:t>
      </w:r>
      <w:bookmarkEnd w:id="20"/>
    </w:p>
    <w:p>
      <w:pPr>
        <w:spacing w:line="480" w:lineRule="auto"/>
        <w:jc w:val="center"/>
        <w:rPr>
          <w:color w:val="000000" w:themeColor="text1"/>
          <w:sz w:val="11"/>
          <w:szCs w:val="11"/>
          <w14:textFill>
            <w14:solidFill>
              <w14:schemeClr w14:val="tx1"/>
            </w14:solidFill>
          </w14:textFill>
        </w:rPr>
      </w:pPr>
      <w:r>
        <w:rPr>
          <w:rFonts w:hint="eastAsia" w:ascii="黑体" w:eastAsia="黑体"/>
          <w:color w:val="000000" w:themeColor="text1"/>
          <w:sz w:val="32"/>
          <w:szCs w:val="32"/>
          <w14:textFill>
            <w14:solidFill>
              <w14:schemeClr w14:val="tx1"/>
            </w14:solidFill>
          </w14:textFill>
        </w:rPr>
        <w:t>南通大学202</w:t>
      </w:r>
      <w:r>
        <w:rPr>
          <w:rFonts w:hint="eastAsia" w:ascii="黑体" w:eastAsia="黑体"/>
          <w:color w:val="000000" w:themeColor="text1"/>
          <w:sz w:val="32"/>
          <w:szCs w:val="32"/>
          <w:lang w:val="en-US" w:eastAsia="zh-CN"/>
          <w14:textFill>
            <w14:solidFill>
              <w14:schemeClr w14:val="tx1"/>
            </w14:solidFill>
          </w14:textFill>
        </w:rPr>
        <w:t>3</w:t>
      </w:r>
      <w:r>
        <w:rPr>
          <w:rFonts w:hint="eastAsia" w:ascii="黑体" w:eastAsia="黑体"/>
          <w:color w:val="000000" w:themeColor="text1"/>
          <w:sz w:val="32"/>
          <w:szCs w:val="32"/>
          <w14:textFill>
            <w14:solidFill>
              <w14:schemeClr w14:val="tx1"/>
            </w14:solidFill>
          </w14:textFill>
        </w:rPr>
        <w:t>年学生公寓物品报价单</w:t>
      </w:r>
    </w:p>
    <w:tbl>
      <w:tblPr>
        <w:tblStyle w:val="28"/>
        <w:tblW w:w="10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7"/>
        <w:gridCol w:w="1314"/>
        <w:gridCol w:w="2415"/>
        <w:gridCol w:w="690"/>
        <w:gridCol w:w="705"/>
        <w:gridCol w:w="1200"/>
        <w:gridCol w:w="2640"/>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45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序号</w:t>
            </w:r>
          </w:p>
        </w:tc>
        <w:tc>
          <w:tcPr>
            <w:tcW w:w="1314"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品名</w:t>
            </w:r>
          </w:p>
        </w:tc>
        <w:tc>
          <w:tcPr>
            <w:tcW w:w="2415" w:type="dxa"/>
            <w:vAlign w:val="center"/>
          </w:tcPr>
          <w:p>
            <w:pPr>
              <w:spacing w:line="280" w:lineRule="exact"/>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（平展）规格尺寸</w:t>
            </w:r>
            <w:r>
              <w:rPr>
                <w:color w:val="000000" w:themeColor="text1"/>
                <w:sz w:val="22"/>
                <w:szCs w:val="22"/>
                <w14:textFill>
                  <w14:solidFill>
                    <w14:schemeClr w14:val="tx1"/>
                  </w14:solidFill>
                </w14:textFill>
              </w:rPr>
              <w:t>( cm )</w:t>
            </w:r>
          </w:p>
        </w:tc>
        <w:tc>
          <w:tcPr>
            <w:tcW w:w="69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单位</w:t>
            </w:r>
          </w:p>
        </w:tc>
        <w:tc>
          <w:tcPr>
            <w:tcW w:w="705"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数量</w:t>
            </w:r>
          </w:p>
        </w:tc>
        <w:tc>
          <w:tcPr>
            <w:tcW w:w="120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报价：元</w:t>
            </w:r>
          </w:p>
        </w:tc>
        <w:tc>
          <w:tcPr>
            <w:tcW w:w="264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质量要求</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57" w:type="dxa"/>
            <w:vMerge w:val="restart"/>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c>
          <w:tcPr>
            <w:tcW w:w="1314"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全棉被套</w:t>
            </w:r>
            <w:r>
              <w:rPr>
                <w:color w:val="000000" w:themeColor="text1"/>
                <w:sz w:val="22"/>
                <w:szCs w:val="22"/>
                <w14:textFill>
                  <w14:solidFill>
                    <w14:schemeClr w14:val="tx1"/>
                  </w14:solidFill>
                </w14:textFill>
              </w:rPr>
              <w:t>1</w:t>
            </w:r>
          </w:p>
        </w:tc>
        <w:tc>
          <w:tcPr>
            <w:tcW w:w="241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w:t>
            </w:r>
            <w:r>
              <w:rPr>
                <w:rFonts w:hint="eastAsia"/>
                <w:color w:val="000000" w:themeColor="text1"/>
                <w:sz w:val="22"/>
                <w:szCs w:val="22"/>
                <w:lang w:val="en-US" w:eastAsia="zh-CN"/>
                <w14:textFill>
                  <w14:solidFill>
                    <w14:schemeClr w14:val="tx1"/>
                  </w14:solidFill>
                </w14:textFill>
              </w:rPr>
              <w:t>1</w:t>
            </w:r>
            <w:r>
              <w:rPr>
                <w:color w:val="000000" w:themeColor="text1"/>
                <w:sz w:val="22"/>
                <w:szCs w:val="22"/>
                <w14:textFill>
                  <w14:solidFill>
                    <w14:schemeClr w14:val="tx1"/>
                  </w14:solidFill>
                </w14:textFill>
              </w:rPr>
              <w:t>5</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155</w:t>
            </w:r>
          </w:p>
        </w:tc>
        <w:tc>
          <w:tcPr>
            <w:tcW w:w="690" w:type="dxa"/>
            <w:vMerge w:val="restart"/>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套</w:t>
            </w:r>
          </w:p>
        </w:tc>
        <w:tc>
          <w:tcPr>
            <w:tcW w:w="705" w:type="dxa"/>
            <w:vMerge w:val="restart"/>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c>
          <w:tcPr>
            <w:tcW w:w="1200" w:type="dxa"/>
            <w:vMerge w:val="restart"/>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30</w:t>
            </w:r>
            <w:r>
              <w:rPr>
                <w:rFonts w:hint="eastAsia"/>
                <w:color w:val="000000" w:themeColor="text1"/>
                <w:sz w:val="22"/>
                <w:szCs w:val="22"/>
                <w14:textFill>
                  <w14:solidFill>
                    <w14:schemeClr w14:val="tx1"/>
                  </w14:solidFill>
                </w14:textFill>
              </w:rPr>
              <w:t>支纱、经纬密度</w:t>
            </w:r>
            <w:r>
              <w:rPr>
                <w:color w:val="000000" w:themeColor="text1"/>
                <w:sz w:val="22"/>
                <w:szCs w:val="22"/>
                <w14:textFill>
                  <w14:solidFill>
                    <w14:schemeClr w14:val="tx1"/>
                  </w14:solidFill>
                </w14:textFill>
              </w:rPr>
              <w:t>6868</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平纹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57"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1314"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全棉床单</w:t>
            </w:r>
            <w:r>
              <w:rPr>
                <w:color w:val="000000" w:themeColor="text1"/>
                <w:sz w:val="22"/>
                <w:szCs w:val="22"/>
                <w14:textFill>
                  <w14:solidFill>
                    <w14:schemeClr w14:val="tx1"/>
                  </w14:solidFill>
                </w14:textFill>
              </w:rPr>
              <w:t>1</w:t>
            </w:r>
          </w:p>
        </w:tc>
        <w:tc>
          <w:tcPr>
            <w:tcW w:w="2415" w:type="dxa"/>
            <w:vAlign w:val="center"/>
          </w:tcPr>
          <w:p>
            <w:pPr>
              <w:spacing w:line="280" w:lineRule="exact"/>
              <w:jc w:val="center"/>
              <w:rPr>
                <w:rFonts w:hint="eastAsia" w:eastAsia="宋体"/>
                <w:color w:val="000000" w:themeColor="text1"/>
                <w:sz w:val="22"/>
                <w:szCs w:val="22"/>
                <w:lang w:eastAsia="zh-CN"/>
                <w14:textFill>
                  <w14:solidFill>
                    <w14:schemeClr w14:val="tx1"/>
                  </w14:solidFill>
                </w14:textFill>
              </w:rPr>
            </w:pPr>
            <w:r>
              <w:rPr>
                <w:color w:val="000000" w:themeColor="text1"/>
                <w:sz w:val="22"/>
                <w:szCs w:val="22"/>
                <w14:textFill>
                  <w14:solidFill>
                    <w14:schemeClr w14:val="tx1"/>
                  </w14:solidFill>
                </w14:textFill>
              </w:rPr>
              <w:t>220</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11</w:t>
            </w:r>
            <w:r>
              <w:rPr>
                <w:rFonts w:hint="eastAsia"/>
                <w:color w:val="000000" w:themeColor="text1"/>
                <w:sz w:val="22"/>
                <w:szCs w:val="22"/>
                <w:lang w:val="en-US" w:eastAsia="zh-CN"/>
                <w14:textFill>
                  <w14:solidFill>
                    <w14:schemeClr w14:val="tx1"/>
                  </w14:solidFill>
                </w14:textFill>
              </w:rPr>
              <w:t>5</w:t>
            </w:r>
          </w:p>
        </w:tc>
        <w:tc>
          <w:tcPr>
            <w:tcW w:w="690"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705"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1200"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21</w:t>
            </w:r>
            <w:r>
              <w:rPr>
                <w:rFonts w:hint="eastAsia"/>
                <w:color w:val="000000" w:themeColor="text1"/>
                <w:sz w:val="22"/>
                <w:szCs w:val="22"/>
                <w14:textFill>
                  <w14:solidFill>
                    <w14:schemeClr w14:val="tx1"/>
                  </w14:solidFill>
                </w14:textFill>
              </w:rPr>
              <w:t>支纱、经纬密度</w:t>
            </w:r>
            <w:r>
              <w:rPr>
                <w:color w:val="000000" w:themeColor="text1"/>
                <w:sz w:val="22"/>
                <w:szCs w:val="22"/>
                <w14:textFill>
                  <w14:solidFill>
                    <w14:schemeClr w14:val="tx1"/>
                  </w14:solidFill>
                </w14:textFill>
              </w:rPr>
              <w:t>10858</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斜纹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57"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1314"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全棉枕套</w:t>
            </w:r>
            <w:r>
              <w:rPr>
                <w:color w:val="000000" w:themeColor="text1"/>
                <w:sz w:val="22"/>
                <w:szCs w:val="22"/>
                <w14:textFill>
                  <w14:solidFill>
                    <w14:schemeClr w14:val="tx1"/>
                  </w14:solidFill>
                </w14:textFill>
              </w:rPr>
              <w:t>1</w:t>
            </w:r>
          </w:p>
        </w:tc>
        <w:tc>
          <w:tcPr>
            <w:tcW w:w="2415"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70</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45</w:t>
            </w:r>
          </w:p>
        </w:tc>
        <w:tc>
          <w:tcPr>
            <w:tcW w:w="690"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705"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1200"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jc w:val="center"/>
              <w:rPr>
                <w:color w:val="000000" w:themeColor="text1"/>
                <w:sz w:val="22"/>
                <w:szCs w:val="28"/>
                <w14:textFill>
                  <w14:solidFill>
                    <w14:schemeClr w14:val="tx1"/>
                  </w14:solidFill>
                </w14:textFill>
              </w:rPr>
            </w:pPr>
            <w:r>
              <w:rPr>
                <w:color w:val="000000" w:themeColor="text1"/>
                <w:sz w:val="22"/>
                <w:szCs w:val="22"/>
                <w14:textFill>
                  <w14:solidFill>
                    <w14:schemeClr w14:val="tx1"/>
                  </w14:solidFill>
                </w14:textFill>
              </w:rPr>
              <w:t>30</w:t>
            </w:r>
            <w:r>
              <w:rPr>
                <w:rFonts w:hint="eastAsia"/>
                <w:color w:val="000000" w:themeColor="text1"/>
                <w:sz w:val="22"/>
                <w:szCs w:val="22"/>
                <w14:textFill>
                  <w14:solidFill>
                    <w14:schemeClr w14:val="tx1"/>
                  </w14:solidFill>
                </w14:textFill>
              </w:rPr>
              <w:t>支纱、经纬密度</w:t>
            </w:r>
            <w:r>
              <w:rPr>
                <w:color w:val="000000" w:themeColor="text1"/>
                <w:sz w:val="22"/>
                <w:szCs w:val="22"/>
                <w14:textFill>
                  <w14:solidFill>
                    <w14:schemeClr w14:val="tx1"/>
                  </w14:solidFill>
                </w14:textFill>
              </w:rPr>
              <w:t>6868</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面料同被套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57" w:type="dxa"/>
            <w:vMerge w:val="restart"/>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w:t>
            </w:r>
          </w:p>
        </w:tc>
        <w:tc>
          <w:tcPr>
            <w:tcW w:w="1314"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全棉被套</w:t>
            </w:r>
            <w:r>
              <w:rPr>
                <w:color w:val="000000" w:themeColor="text1"/>
                <w:sz w:val="22"/>
                <w:szCs w:val="22"/>
                <w14:textFill>
                  <w14:solidFill>
                    <w14:schemeClr w14:val="tx1"/>
                  </w14:solidFill>
                </w14:textFill>
              </w:rPr>
              <w:t>2</w:t>
            </w:r>
          </w:p>
        </w:tc>
        <w:tc>
          <w:tcPr>
            <w:tcW w:w="241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w:t>
            </w:r>
            <w:r>
              <w:rPr>
                <w:rFonts w:hint="eastAsia"/>
                <w:color w:val="000000" w:themeColor="text1"/>
                <w:sz w:val="22"/>
                <w:szCs w:val="22"/>
                <w:lang w:val="en-US" w:eastAsia="zh-CN"/>
                <w14:textFill>
                  <w14:solidFill>
                    <w14:schemeClr w14:val="tx1"/>
                  </w14:solidFill>
                </w14:textFill>
              </w:rPr>
              <w:t>1</w:t>
            </w:r>
            <w:r>
              <w:rPr>
                <w:color w:val="000000" w:themeColor="text1"/>
                <w:sz w:val="22"/>
                <w:szCs w:val="22"/>
                <w14:textFill>
                  <w14:solidFill>
                    <w14:schemeClr w14:val="tx1"/>
                  </w14:solidFill>
                </w14:textFill>
              </w:rPr>
              <w:t>5</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155</w:t>
            </w:r>
          </w:p>
        </w:tc>
        <w:tc>
          <w:tcPr>
            <w:tcW w:w="690" w:type="dxa"/>
            <w:vMerge w:val="restart"/>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套</w:t>
            </w:r>
          </w:p>
        </w:tc>
        <w:tc>
          <w:tcPr>
            <w:tcW w:w="705" w:type="dxa"/>
            <w:vMerge w:val="restart"/>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c>
          <w:tcPr>
            <w:tcW w:w="1200" w:type="dxa"/>
            <w:vMerge w:val="restart"/>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30</w:t>
            </w:r>
            <w:r>
              <w:rPr>
                <w:rFonts w:hint="eastAsia"/>
                <w:color w:val="000000" w:themeColor="text1"/>
                <w:sz w:val="22"/>
                <w:szCs w:val="22"/>
                <w14:textFill>
                  <w14:solidFill>
                    <w14:schemeClr w14:val="tx1"/>
                  </w14:solidFill>
                </w14:textFill>
              </w:rPr>
              <w:t>支纱、经纬密度</w:t>
            </w:r>
            <w:r>
              <w:rPr>
                <w:color w:val="000000" w:themeColor="text1"/>
                <w:sz w:val="22"/>
                <w:szCs w:val="22"/>
                <w14:textFill>
                  <w14:solidFill>
                    <w14:schemeClr w14:val="tx1"/>
                  </w14:solidFill>
                </w14:textFill>
              </w:rPr>
              <w:t>6868</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平纹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57"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1314"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全棉床单</w:t>
            </w:r>
            <w:r>
              <w:rPr>
                <w:color w:val="000000" w:themeColor="text1"/>
                <w:sz w:val="22"/>
                <w:szCs w:val="22"/>
                <w14:textFill>
                  <w14:solidFill>
                    <w14:schemeClr w14:val="tx1"/>
                  </w14:solidFill>
                </w14:textFill>
              </w:rPr>
              <w:t>2</w:t>
            </w:r>
          </w:p>
        </w:tc>
        <w:tc>
          <w:tcPr>
            <w:tcW w:w="241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220</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11</w:t>
            </w:r>
            <w:r>
              <w:rPr>
                <w:rFonts w:hint="eastAsia"/>
                <w:color w:val="000000" w:themeColor="text1"/>
                <w:sz w:val="22"/>
                <w:szCs w:val="22"/>
                <w:lang w:val="en-US" w:eastAsia="zh-CN"/>
                <w14:textFill>
                  <w14:solidFill>
                    <w14:schemeClr w14:val="tx1"/>
                  </w14:solidFill>
                </w14:textFill>
              </w:rPr>
              <w:t>5</w:t>
            </w:r>
          </w:p>
        </w:tc>
        <w:tc>
          <w:tcPr>
            <w:tcW w:w="690"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705"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1200"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21</w:t>
            </w:r>
            <w:r>
              <w:rPr>
                <w:rFonts w:hint="eastAsia"/>
                <w:color w:val="000000" w:themeColor="text1"/>
                <w:sz w:val="22"/>
                <w:szCs w:val="22"/>
                <w14:textFill>
                  <w14:solidFill>
                    <w14:schemeClr w14:val="tx1"/>
                  </w14:solidFill>
                </w14:textFill>
              </w:rPr>
              <w:t>支纱、经纬密度</w:t>
            </w:r>
            <w:r>
              <w:rPr>
                <w:color w:val="000000" w:themeColor="text1"/>
                <w:sz w:val="22"/>
                <w:szCs w:val="22"/>
                <w14:textFill>
                  <w14:solidFill>
                    <w14:schemeClr w14:val="tx1"/>
                  </w14:solidFill>
                </w14:textFill>
              </w:rPr>
              <w:t>10858</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斜纹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57"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1314"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全棉枕套</w:t>
            </w:r>
            <w:r>
              <w:rPr>
                <w:color w:val="000000" w:themeColor="text1"/>
                <w:sz w:val="22"/>
                <w:szCs w:val="22"/>
                <w14:textFill>
                  <w14:solidFill>
                    <w14:schemeClr w14:val="tx1"/>
                  </w14:solidFill>
                </w14:textFill>
              </w:rPr>
              <w:t>2</w:t>
            </w:r>
          </w:p>
        </w:tc>
        <w:tc>
          <w:tcPr>
            <w:tcW w:w="2415"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70</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45</w:t>
            </w:r>
          </w:p>
        </w:tc>
        <w:tc>
          <w:tcPr>
            <w:tcW w:w="690"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705"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1200" w:type="dxa"/>
            <w:vMerge w:val="continue"/>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jc w:val="center"/>
              <w:rPr>
                <w:color w:val="000000" w:themeColor="text1"/>
                <w:sz w:val="22"/>
                <w:szCs w:val="28"/>
                <w14:textFill>
                  <w14:solidFill>
                    <w14:schemeClr w14:val="tx1"/>
                  </w14:solidFill>
                </w14:textFill>
              </w:rPr>
            </w:pPr>
            <w:r>
              <w:rPr>
                <w:color w:val="000000" w:themeColor="text1"/>
                <w:sz w:val="22"/>
                <w:szCs w:val="22"/>
                <w14:textFill>
                  <w14:solidFill>
                    <w14:schemeClr w14:val="tx1"/>
                  </w14:solidFill>
                </w14:textFill>
              </w:rPr>
              <w:t>30</w:t>
            </w:r>
            <w:r>
              <w:rPr>
                <w:rFonts w:hint="eastAsia"/>
                <w:color w:val="000000" w:themeColor="text1"/>
                <w:sz w:val="22"/>
                <w:szCs w:val="22"/>
                <w14:textFill>
                  <w14:solidFill>
                    <w14:schemeClr w14:val="tx1"/>
                  </w14:solidFill>
                </w14:textFill>
              </w:rPr>
              <w:t>支纱、经纬密度</w:t>
            </w:r>
            <w:r>
              <w:rPr>
                <w:color w:val="000000" w:themeColor="text1"/>
                <w:sz w:val="22"/>
                <w:szCs w:val="22"/>
                <w14:textFill>
                  <w14:solidFill>
                    <w14:schemeClr w14:val="tx1"/>
                  </w14:solidFill>
                </w14:textFill>
              </w:rPr>
              <w:t>6868</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面料同被套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457"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3</w:t>
            </w:r>
          </w:p>
        </w:tc>
        <w:tc>
          <w:tcPr>
            <w:tcW w:w="1314" w:type="dxa"/>
            <w:vAlign w:val="center"/>
          </w:tcPr>
          <w:p>
            <w:pPr>
              <w:spacing w:line="280" w:lineRule="exact"/>
              <w:jc w:val="both"/>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w:t>
            </w:r>
            <w:r>
              <w:rPr>
                <w:rFonts w:hint="eastAsia"/>
                <w:color w:val="000000" w:themeColor="text1"/>
                <w:sz w:val="22"/>
                <w:szCs w:val="22"/>
                <w:lang w:val="en-US" w:eastAsia="zh-CN"/>
                <w14:textFill>
                  <w14:solidFill>
                    <w14:schemeClr w14:val="tx1"/>
                  </w14:solidFill>
                </w14:textFill>
              </w:rPr>
              <w:t>k</w:t>
            </w:r>
            <w:r>
              <w:rPr>
                <w:color w:val="000000" w:themeColor="text1"/>
                <w:sz w:val="22"/>
                <w:szCs w:val="22"/>
                <w14:textFill>
                  <w14:solidFill>
                    <w14:schemeClr w14:val="tx1"/>
                  </w14:solidFill>
                </w14:textFill>
              </w:rPr>
              <w:t>g</w:t>
            </w:r>
            <w:r>
              <w:rPr>
                <w:rFonts w:hint="eastAsia"/>
                <w:color w:val="000000" w:themeColor="text1"/>
                <w:sz w:val="22"/>
                <w:szCs w:val="22"/>
                <w14:textFill>
                  <w14:solidFill>
                    <w14:schemeClr w14:val="tx1"/>
                  </w14:solidFill>
                </w14:textFill>
              </w:rPr>
              <w:t>纤维被</w:t>
            </w:r>
          </w:p>
        </w:tc>
        <w:tc>
          <w:tcPr>
            <w:tcW w:w="241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200</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150</w:t>
            </w:r>
          </w:p>
        </w:tc>
        <w:tc>
          <w:tcPr>
            <w:tcW w:w="69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条</w:t>
            </w:r>
          </w:p>
        </w:tc>
        <w:tc>
          <w:tcPr>
            <w:tcW w:w="70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c>
          <w:tcPr>
            <w:tcW w:w="1200" w:type="dxa"/>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保温率≥</w:t>
            </w:r>
            <w:r>
              <w:rPr>
                <w:color w:val="000000" w:themeColor="text1"/>
                <w:sz w:val="22"/>
                <w:szCs w:val="22"/>
                <w14:textFill>
                  <w14:solidFill>
                    <w14:schemeClr w14:val="tx1"/>
                  </w14:solidFill>
                </w14:textFill>
              </w:rPr>
              <w:t>60</w:t>
            </w:r>
          </w:p>
        </w:tc>
        <w:tc>
          <w:tcPr>
            <w:tcW w:w="1317" w:type="dxa"/>
            <w:vAlign w:val="center"/>
          </w:tcPr>
          <w:p>
            <w:pPr>
              <w:spacing w:line="280" w:lineRule="exact"/>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中空三维卷曲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457"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4</w:t>
            </w:r>
          </w:p>
        </w:tc>
        <w:tc>
          <w:tcPr>
            <w:tcW w:w="1314" w:type="dxa"/>
            <w:vAlign w:val="center"/>
          </w:tcPr>
          <w:p>
            <w:pPr>
              <w:spacing w:line="480" w:lineRule="exact"/>
              <w:jc w:val="both"/>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1.5</w:t>
            </w:r>
            <w:r>
              <w:rPr>
                <w:rFonts w:hint="eastAsia"/>
                <w:color w:val="000000" w:themeColor="text1"/>
                <w:sz w:val="22"/>
                <w:szCs w:val="22"/>
                <w:lang w:val="en-US" w:eastAsia="zh-CN"/>
                <w14:textFill>
                  <w14:solidFill>
                    <w14:schemeClr w14:val="tx1"/>
                  </w14:solidFill>
                </w14:textFill>
              </w:rPr>
              <w:t>k</w:t>
            </w:r>
            <w:r>
              <w:rPr>
                <w:color w:val="000000" w:themeColor="text1"/>
                <w:sz w:val="22"/>
                <w:szCs w:val="22"/>
                <w14:textFill>
                  <w14:solidFill>
                    <w14:schemeClr w14:val="tx1"/>
                  </w14:solidFill>
                </w14:textFill>
              </w:rPr>
              <w:t>g</w:t>
            </w:r>
            <w:r>
              <w:rPr>
                <w:rFonts w:hint="eastAsia"/>
                <w:color w:val="000000" w:themeColor="text1"/>
                <w:sz w:val="22"/>
                <w:szCs w:val="22"/>
                <w14:textFill>
                  <w14:solidFill>
                    <w14:schemeClr w14:val="tx1"/>
                  </w14:solidFill>
                </w14:textFill>
              </w:rPr>
              <w:t>盖胎</w:t>
            </w:r>
          </w:p>
        </w:tc>
        <w:tc>
          <w:tcPr>
            <w:tcW w:w="2415" w:type="dxa"/>
            <w:vAlign w:val="center"/>
          </w:tcPr>
          <w:p>
            <w:pPr>
              <w:spacing w:line="4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200</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150</w:t>
            </w:r>
          </w:p>
        </w:tc>
        <w:tc>
          <w:tcPr>
            <w:tcW w:w="690" w:type="dxa"/>
            <w:vAlign w:val="center"/>
          </w:tcPr>
          <w:p>
            <w:pPr>
              <w:spacing w:line="4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条</w:t>
            </w:r>
          </w:p>
        </w:tc>
        <w:tc>
          <w:tcPr>
            <w:tcW w:w="705" w:type="dxa"/>
            <w:vAlign w:val="center"/>
          </w:tcPr>
          <w:p>
            <w:pPr>
              <w:spacing w:line="4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c>
          <w:tcPr>
            <w:tcW w:w="1200" w:type="dxa"/>
            <w:vAlign w:val="center"/>
          </w:tcPr>
          <w:p>
            <w:pPr>
              <w:spacing w:line="480" w:lineRule="exact"/>
              <w:jc w:val="center"/>
              <w:rPr>
                <w:color w:val="000000" w:themeColor="text1"/>
                <w:sz w:val="22"/>
                <w:szCs w:val="22"/>
                <w14:textFill>
                  <w14:solidFill>
                    <w14:schemeClr w14:val="tx1"/>
                  </w14:solidFill>
                </w14:textFill>
              </w:rPr>
            </w:pPr>
          </w:p>
        </w:tc>
        <w:tc>
          <w:tcPr>
            <w:tcW w:w="264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一等品</w:t>
            </w:r>
          </w:p>
        </w:tc>
        <w:tc>
          <w:tcPr>
            <w:tcW w:w="1317" w:type="dxa"/>
            <w:vAlign w:val="center"/>
          </w:tcPr>
          <w:p>
            <w:pPr>
              <w:spacing w:line="280" w:lineRule="exact"/>
              <w:jc w:val="center"/>
              <w:rPr>
                <w:color w:val="000000" w:themeColor="text1"/>
                <w:sz w:val="22"/>
                <w:szCs w:val="22"/>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457"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5</w:t>
            </w:r>
          </w:p>
        </w:tc>
        <w:tc>
          <w:tcPr>
            <w:tcW w:w="1314" w:type="dxa"/>
            <w:vAlign w:val="center"/>
          </w:tcPr>
          <w:p>
            <w:pPr>
              <w:spacing w:line="480" w:lineRule="exact"/>
              <w:jc w:val="both"/>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2</w:t>
            </w:r>
            <w:r>
              <w:rPr>
                <w:rFonts w:hint="eastAsia"/>
                <w:color w:val="000000" w:themeColor="text1"/>
                <w:sz w:val="22"/>
                <w:szCs w:val="22"/>
                <w:lang w:val="en-US" w:eastAsia="zh-CN"/>
                <w14:textFill>
                  <w14:solidFill>
                    <w14:schemeClr w14:val="tx1"/>
                  </w14:solidFill>
                </w14:textFill>
              </w:rPr>
              <w:t>k</w:t>
            </w:r>
            <w:r>
              <w:rPr>
                <w:color w:val="000000" w:themeColor="text1"/>
                <w:sz w:val="22"/>
                <w:szCs w:val="22"/>
                <w14:textFill>
                  <w14:solidFill>
                    <w14:schemeClr w14:val="tx1"/>
                  </w14:solidFill>
                </w14:textFill>
              </w:rPr>
              <w:t>g</w:t>
            </w:r>
            <w:r>
              <w:rPr>
                <w:rFonts w:hint="eastAsia"/>
                <w:color w:val="000000" w:themeColor="text1"/>
                <w:sz w:val="22"/>
                <w:szCs w:val="22"/>
                <w14:textFill>
                  <w14:solidFill>
                    <w14:schemeClr w14:val="tx1"/>
                  </w14:solidFill>
                </w14:textFill>
              </w:rPr>
              <w:t>三合一床垫</w:t>
            </w:r>
          </w:p>
        </w:tc>
        <w:tc>
          <w:tcPr>
            <w:tcW w:w="2415" w:type="dxa"/>
            <w:vAlign w:val="center"/>
          </w:tcPr>
          <w:p>
            <w:pPr>
              <w:spacing w:line="4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195×</w:t>
            </w:r>
            <w:r>
              <w:rPr>
                <w:color w:val="000000" w:themeColor="text1"/>
                <w:sz w:val="22"/>
                <w:szCs w:val="22"/>
                <w14:textFill>
                  <w14:solidFill>
                    <w14:schemeClr w14:val="tx1"/>
                  </w14:solidFill>
                </w14:textFill>
              </w:rPr>
              <w:t>90</w:t>
            </w:r>
          </w:p>
        </w:tc>
        <w:tc>
          <w:tcPr>
            <w:tcW w:w="690" w:type="dxa"/>
            <w:vAlign w:val="center"/>
          </w:tcPr>
          <w:p>
            <w:pPr>
              <w:spacing w:line="4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条</w:t>
            </w:r>
          </w:p>
        </w:tc>
        <w:tc>
          <w:tcPr>
            <w:tcW w:w="705" w:type="dxa"/>
            <w:vAlign w:val="center"/>
          </w:tcPr>
          <w:p>
            <w:pPr>
              <w:spacing w:line="4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c>
          <w:tcPr>
            <w:tcW w:w="1200" w:type="dxa"/>
            <w:vAlign w:val="center"/>
          </w:tcPr>
          <w:p>
            <w:pPr>
              <w:spacing w:line="480" w:lineRule="exact"/>
              <w:jc w:val="center"/>
              <w:rPr>
                <w:color w:val="000000" w:themeColor="text1"/>
                <w:sz w:val="22"/>
                <w:szCs w:val="22"/>
                <w14:textFill>
                  <w14:solidFill>
                    <w14:schemeClr w14:val="tx1"/>
                  </w14:solidFill>
                </w14:textFill>
              </w:rPr>
            </w:pPr>
          </w:p>
        </w:tc>
        <w:tc>
          <w:tcPr>
            <w:tcW w:w="2640" w:type="dxa"/>
            <w:vAlign w:val="center"/>
          </w:tcPr>
          <w:p>
            <w:pPr>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填充料为</w:t>
            </w:r>
            <w:r>
              <w:rPr>
                <w:rFonts w:hint="eastAsia"/>
                <w:b/>
                <w:bCs/>
                <w:color w:val="000000" w:themeColor="text1"/>
                <w:sz w:val="22"/>
                <w:szCs w:val="22"/>
                <w14:textFill>
                  <w14:solidFill>
                    <w14:schemeClr w14:val="tx1"/>
                  </w14:solidFill>
                </w14:textFill>
              </w:rPr>
              <w:t>优质中空棉</w:t>
            </w:r>
            <w:r>
              <w:rPr>
                <w:rFonts w:hint="eastAsia"/>
                <w:color w:val="000000" w:themeColor="text1"/>
                <w:sz w:val="22"/>
                <w:szCs w:val="22"/>
                <w14:textFill>
                  <w14:solidFill>
                    <w14:schemeClr w14:val="tx1"/>
                  </w14:solidFill>
                </w14:textFill>
              </w:rPr>
              <w:t>、</w:t>
            </w:r>
            <w:r>
              <w:rPr>
                <w:rFonts w:hint="eastAsia"/>
                <w:b/>
                <w:bCs/>
                <w:color w:val="000000" w:themeColor="text1"/>
                <w:sz w:val="22"/>
                <w:szCs w:val="22"/>
                <w14:textFill>
                  <w14:solidFill>
                    <w14:schemeClr w14:val="tx1"/>
                  </w14:solidFill>
                </w14:textFill>
              </w:rPr>
              <w:t>海绵</w:t>
            </w:r>
            <w:r>
              <w:rPr>
                <w:rFonts w:hint="eastAsia"/>
                <w:color w:val="000000" w:themeColor="text1"/>
                <w:sz w:val="22"/>
                <w:szCs w:val="22"/>
                <w14:textFill>
                  <w14:solidFill>
                    <w14:schemeClr w14:val="tx1"/>
                  </w14:solidFill>
                </w14:textFill>
              </w:rPr>
              <w:t>，包边，面料为</w:t>
            </w:r>
            <w:r>
              <w:rPr>
                <w:rFonts w:hint="eastAsia"/>
                <w:b/>
                <w:bCs/>
                <w:color w:val="000000" w:themeColor="text1"/>
                <w:sz w:val="22"/>
                <w:szCs w:val="22"/>
                <w14:textFill>
                  <w14:solidFill>
                    <w14:schemeClr w14:val="tx1"/>
                  </w14:solidFill>
                </w14:textFill>
              </w:rPr>
              <w:t>涤棉</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中夹海绵厚≥2cm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457"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6</w:t>
            </w:r>
          </w:p>
        </w:tc>
        <w:tc>
          <w:tcPr>
            <w:tcW w:w="1314" w:type="dxa"/>
            <w:vAlign w:val="center"/>
          </w:tcPr>
          <w:p>
            <w:pPr>
              <w:spacing w:line="280" w:lineRule="exact"/>
              <w:jc w:val="both"/>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涤纶蚊帐</w:t>
            </w:r>
          </w:p>
        </w:tc>
        <w:tc>
          <w:tcPr>
            <w:tcW w:w="241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195</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95</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165</w:t>
            </w:r>
          </w:p>
        </w:tc>
        <w:tc>
          <w:tcPr>
            <w:tcW w:w="69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顶</w:t>
            </w:r>
          </w:p>
        </w:tc>
        <w:tc>
          <w:tcPr>
            <w:tcW w:w="70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c>
          <w:tcPr>
            <w:tcW w:w="1200" w:type="dxa"/>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spacing w:line="280" w:lineRule="exact"/>
              <w:jc w:val="center"/>
              <w:rPr>
                <w:rFonts w:ascii="宋体"/>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50D</w:t>
            </w:r>
            <w:r>
              <w:rPr>
                <w:rFonts w:hint="eastAsia"/>
                <w:color w:val="000000" w:themeColor="text1"/>
                <w:sz w:val="22"/>
                <w:szCs w:val="22"/>
                <w14:textFill>
                  <w14:solidFill>
                    <w14:schemeClr w14:val="tx1"/>
                  </w14:solidFill>
                </w14:textFill>
              </w:rPr>
              <w:t>双丝加密</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400g/</w:t>
            </w:r>
            <w:r>
              <w:rPr>
                <w:rFonts w:hint="eastAsia"/>
                <w:color w:val="000000" w:themeColor="text1"/>
                <w:sz w:val="22"/>
                <w:szCs w:val="22"/>
                <w14:textFill>
                  <w14:solidFill>
                    <w14:schemeClr w14:val="tx1"/>
                  </w14:solidFill>
                </w14:textFill>
              </w:rPr>
              <w:t>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457"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7</w:t>
            </w:r>
          </w:p>
        </w:tc>
        <w:tc>
          <w:tcPr>
            <w:tcW w:w="1314" w:type="dxa"/>
            <w:vAlign w:val="center"/>
          </w:tcPr>
          <w:p>
            <w:pPr>
              <w:spacing w:line="280" w:lineRule="exact"/>
              <w:jc w:val="both"/>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枕芯</w:t>
            </w:r>
          </w:p>
        </w:tc>
        <w:tc>
          <w:tcPr>
            <w:tcW w:w="241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60</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40</w:t>
            </w:r>
          </w:p>
          <w:p>
            <w:pPr>
              <w:spacing w:line="280" w:lineRule="exact"/>
              <w:jc w:val="center"/>
              <w:rPr>
                <w:color w:val="000000" w:themeColor="text1"/>
                <w:sz w:val="22"/>
                <w:szCs w:val="22"/>
                <w14:textFill>
                  <w14:solidFill>
                    <w14:schemeClr w14:val="tx1"/>
                  </w14:solidFill>
                </w14:textFill>
              </w:rPr>
            </w:pPr>
            <w:r>
              <w:rPr>
                <w:rFonts w:hint="eastAsia"/>
                <w:b/>
                <w:bCs/>
                <w:color w:val="000000" w:themeColor="text1"/>
                <w:sz w:val="22"/>
                <w:szCs w:val="22"/>
                <w14:textFill>
                  <w14:solidFill>
                    <w14:schemeClr w14:val="tx1"/>
                  </w14:solidFill>
                </w14:textFill>
              </w:rPr>
              <w:t>（充棉后的尺寸）</w:t>
            </w:r>
          </w:p>
        </w:tc>
        <w:tc>
          <w:tcPr>
            <w:tcW w:w="69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只</w:t>
            </w:r>
          </w:p>
        </w:tc>
        <w:tc>
          <w:tcPr>
            <w:tcW w:w="70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c>
          <w:tcPr>
            <w:tcW w:w="1200" w:type="dxa"/>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内充晴纶棉≥</w:t>
            </w:r>
            <w:r>
              <w:rPr>
                <w:color w:val="000000" w:themeColor="text1"/>
                <w:sz w:val="22"/>
                <w:szCs w:val="22"/>
                <w14:textFill>
                  <w14:solidFill>
                    <w14:schemeClr w14:val="tx1"/>
                  </w14:solidFill>
                </w14:textFill>
              </w:rPr>
              <w:t>480</w:t>
            </w:r>
            <w:r>
              <w:rPr>
                <w:rFonts w:hint="eastAsia"/>
                <w:color w:val="000000" w:themeColor="text1"/>
                <w:sz w:val="22"/>
                <w:szCs w:val="22"/>
                <w14:textFill>
                  <w14:solidFill>
                    <w14:schemeClr w14:val="tx1"/>
                  </w14:solidFill>
                </w14:textFill>
              </w:rPr>
              <w:t>克</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白色全棉外包布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457"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8</w:t>
            </w:r>
          </w:p>
        </w:tc>
        <w:tc>
          <w:tcPr>
            <w:tcW w:w="1314" w:type="dxa"/>
            <w:vAlign w:val="center"/>
          </w:tcPr>
          <w:p>
            <w:pPr>
              <w:spacing w:line="280" w:lineRule="exact"/>
              <w:jc w:val="both"/>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行李包</w:t>
            </w:r>
          </w:p>
        </w:tc>
        <w:tc>
          <w:tcPr>
            <w:tcW w:w="241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90</w:t>
            </w:r>
            <w:r>
              <w:rPr>
                <w:rFonts w:hint="eastAsia"/>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45</w:t>
            </w:r>
            <w:r>
              <w:rPr>
                <w:rFonts w:hint="eastAsia" w:ascii="宋体" w:hAnsi="宋体"/>
                <w:color w:val="000000" w:themeColor="text1"/>
                <w:sz w:val="22"/>
                <w:szCs w:val="22"/>
                <w14:textFill>
                  <w14:solidFill>
                    <w14:schemeClr w14:val="tx1"/>
                  </w14:solidFill>
                </w14:textFill>
              </w:rPr>
              <w:t>×</w:t>
            </w:r>
            <w:r>
              <w:rPr>
                <w:rFonts w:ascii="宋体" w:hAnsi="宋体"/>
                <w:color w:val="000000" w:themeColor="text1"/>
                <w:sz w:val="22"/>
                <w:szCs w:val="22"/>
                <w14:textFill>
                  <w14:solidFill>
                    <w14:schemeClr w14:val="tx1"/>
                  </w14:solidFill>
                </w14:textFill>
              </w:rPr>
              <w:t>45</w:t>
            </w:r>
          </w:p>
        </w:tc>
        <w:tc>
          <w:tcPr>
            <w:tcW w:w="69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只</w:t>
            </w:r>
          </w:p>
        </w:tc>
        <w:tc>
          <w:tcPr>
            <w:tcW w:w="705" w:type="dxa"/>
            <w:vAlign w:val="center"/>
          </w:tcPr>
          <w:p>
            <w:pPr>
              <w:spacing w:line="280" w:lineRule="exact"/>
              <w:jc w:val="center"/>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t>1</w:t>
            </w:r>
          </w:p>
        </w:tc>
        <w:tc>
          <w:tcPr>
            <w:tcW w:w="1200" w:type="dxa"/>
            <w:vAlign w:val="center"/>
          </w:tcPr>
          <w:p>
            <w:pPr>
              <w:spacing w:line="280" w:lineRule="exact"/>
              <w:jc w:val="center"/>
              <w:rPr>
                <w:color w:val="000000" w:themeColor="text1"/>
                <w:sz w:val="22"/>
                <w:szCs w:val="22"/>
                <w14:textFill>
                  <w14:solidFill>
                    <w14:schemeClr w14:val="tx1"/>
                  </w14:solidFill>
                </w14:textFill>
              </w:rPr>
            </w:pPr>
          </w:p>
        </w:tc>
        <w:tc>
          <w:tcPr>
            <w:tcW w:w="2640"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绿色牛筋防雨包，</w:t>
            </w:r>
            <w:r>
              <w:rPr>
                <w:color w:val="000000" w:themeColor="text1"/>
                <w:sz w:val="22"/>
                <w:szCs w:val="22"/>
                <w14:textFill>
                  <w14:solidFill>
                    <w14:schemeClr w14:val="tx1"/>
                  </w14:solidFill>
                </w14:textFill>
              </w:rPr>
              <w:t>600D</w:t>
            </w:r>
          </w:p>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厚度</w:t>
            </w:r>
            <w:r>
              <w:rPr>
                <w:color w:val="000000" w:themeColor="text1"/>
                <w:sz w:val="22"/>
                <w:szCs w:val="22"/>
                <w14:textFill>
                  <w14:solidFill>
                    <w14:schemeClr w14:val="tx1"/>
                  </w14:solidFill>
                </w14:textFill>
              </w:rPr>
              <w:t xml:space="preserve">0.46~0.48mm  330~340 </w:t>
            </w:r>
            <w:r>
              <w:rPr>
                <w:rFonts w:ascii="宋体" w:hAnsi="宋体"/>
                <w:color w:val="000000" w:themeColor="text1"/>
                <w:sz w:val="22"/>
                <w:szCs w:val="22"/>
                <w14:textFill>
                  <w14:solidFill>
                    <w14:schemeClr w14:val="tx1"/>
                  </w14:solidFill>
                </w14:textFill>
              </w:rPr>
              <w:t>g</w:t>
            </w:r>
            <w:r>
              <w:rPr>
                <w:rFonts w:hint="eastAsia" w:ascii="宋体" w:hAnsi="宋体"/>
                <w:color w:val="000000" w:themeColor="text1"/>
                <w:sz w:val="22"/>
                <w:szCs w:val="22"/>
                <w14:textFill>
                  <w14:solidFill>
                    <w14:schemeClr w14:val="tx1"/>
                  </w14:solidFill>
                </w14:textFill>
              </w:rPr>
              <w:t>／</w:t>
            </w:r>
            <w:r>
              <w:rPr>
                <w:color w:val="000000" w:themeColor="text1"/>
                <w:sz w:val="22"/>
                <w:szCs w:val="22"/>
                <w14:textFill>
                  <w14:solidFill>
                    <w14:schemeClr w14:val="tx1"/>
                  </w14:solidFill>
                </w14:textFill>
              </w:rPr>
              <w:t>m</w:t>
            </w:r>
            <w:r>
              <w:rPr>
                <w:color w:val="000000" w:themeColor="text1"/>
                <w:sz w:val="22"/>
                <w:szCs w:val="22"/>
                <w:vertAlign w:val="superscript"/>
                <w14:textFill>
                  <w14:solidFill>
                    <w14:schemeClr w14:val="tx1"/>
                  </w14:solidFill>
                </w14:textFill>
              </w:rPr>
              <w:t>2</w:t>
            </w:r>
          </w:p>
        </w:tc>
        <w:tc>
          <w:tcPr>
            <w:tcW w:w="1317" w:type="dxa"/>
            <w:vAlign w:val="center"/>
          </w:tcPr>
          <w:p>
            <w:pPr>
              <w:spacing w:line="280" w:lineRule="exact"/>
              <w:jc w:val="center"/>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手提式双头拉链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738" w:type="dxa"/>
            <w:gridSpan w:val="8"/>
            <w:vAlign w:val="center"/>
          </w:tcPr>
          <w:p>
            <w:pPr>
              <w:spacing w:line="400" w:lineRule="exact"/>
              <w:rPr>
                <w:color w:val="000000" w:themeColor="text1"/>
                <w:sz w:val="22"/>
                <w:szCs w:val="22"/>
                <w14:textFill>
                  <w14:solidFill>
                    <w14:schemeClr w14:val="tx1"/>
                  </w14:solidFill>
                </w14:textFill>
              </w:rPr>
            </w:pPr>
            <w:r>
              <w:rPr>
                <w:rFonts w:hint="eastAsia"/>
                <w:b/>
                <w:bCs/>
                <w:color w:val="000000" w:themeColor="text1"/>
                <w:sz w:val="22"/>
                <w:szCs w:val="22"/>
                <w14:textFill>
                  <w14:solidFill>
                    <w14:schemeClr w14:val="tx1"/>
                  </w14:solidFill>
                </w14:textFill>
              </w:rPr>
              <w:t>物品总报价：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0738" w:type="dxa"/>
            <w:gridSpan w:val="8"/>
            <w:vAlign w:val="center"/>
          </w:tcPr>
          <w:p>
            <w:pPr>
              <w:spacing w:line="400" w:lineRule="exact"/>
              <w:rPr>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报价单位（盖章）</w:t>
            </w:r>
            <w:r>
              <w:rPr>
                <w:color w:val="000000" w:themeColor="text1"/>
                <w:sz w:val="22"/>
                <w:szCs w:val="22"/>
                <w14:textFill>
                  <w14:solidFill>
                    <w14:schemeClr w14:val="tx1"/>
                  </w14:solidFill>
                </w14:textFill>
              </w:rPr>
              <w:t xml:space="preserve">:  </w:t>
            </w:r>
            <w:r>
              <w:rPr>
                <w:rFonts w:hint="eastAsia"/>
                <w:color w:val="000000" w:themeColor="text1"/>
                <w:sz w:val="22"/>
                <w:szCs w:val="22"/>
                <w14:textFill>
                  <w14:solidFill>
                    <w14:schemeClr w14:val="tx1"/>
                  </w14:solidFill>
                </w14:textFill>
              </w:rPr>
              <w:t xml:space="preserve">                      法定代表人或被委托代表人（签字或签章）：</w:t>
            </w:r>
          </w:p>
        </w:tc>
      </w:tr>
    </w:tbl>
    <w:p>
      <w:pPr>
        <w:spacing w:line="48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备注说明：</w:t>
      </w:r>
    </w:p>
    <w:p>
      <w:pPr>
        <w:spacing w:line="48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1、所有的学生生活用品执行质量标准见招标文件。</w:t>
      </w:r>
    </w:p>
    <w:p>
      <w:pPr>
        <w:spacing w:line="48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为了使报价有可比性，必须按照“报价表”上所规定的统一“质量要求”进行报价。所报单价含产品生产、运输力资、包装、税金、现场分装、派发至指定宿舍楼学生床铺、剩余物品回收，以及检测费等一切费用。</w:t>
      </w:r>
    </w:p>
    <w:p>
      <w:pPr>
        <w:spacing w:line="48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3、同一单位所送样品不得超过一包（每包为一整套）。</w:t>
      </w:r>
    </w:p>
    <w:p>
      <w:pPr>
        <w:spacing w:line="480" w:lineRule="exact"/>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、请严格按规格、型号及备注说明的技术参数投送样品，样品必须要符合物品的质量要求。</w:t>
      </w:r>
    </w:p>
    <w:p>
      <w:pPr>
        <w:pStyle w:val="54"/>
        <w:spacing w:line="480" w:lineRule="exact"/>
        <w:rPr>
          <w:rFonts w:ascii="Times New Roman" w:hAnsi="Times New Roman" w:cs="Times New Roman"/>
          <w:bCs/>
          <w:color w:val="000000" w:themeColor="text1"/>
          <w:kern w:val="2"/>
          <w14:textFill>
            <w14:solidFill>
              <w14:schemeClr w14:val="tx1"/>
            </w14:solidFill>
          </w14:textFill>
        </w:rPr>
      </w:pPr>
      <w:r>
        <w:rPr>
          <w:rFonts w:hint="eastAsia" w:ascii="Times New Roman" w:hAnsi="Times New Roman" w:cs="Times New Roman"/>
          <w:bCs/>
          <w:color w:val="000000" w:themeColor="text1"/>
          <w:kern w:val="2"/>
          <w14:textFill>
            <w14:solidFill>
              <w14:schemeClr w14:val="tx1"/>
            </w14:solidFill>
          </w14:textFill>
        </w:rPr>
        <w:t>5、投标单位投标所送样品接受评标时的破坏性试验。</w:t>
      </w:r>
    </w:p>
    <w:p>
      <w:pPr>
        <w:rPr>
          <w:rFonts w:hint="eastAsia"/>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br w:type="page"/>
      </w:r>
    </w:p>
    <w:p>
      <w:pPr>
        <w:pStyle w:val="4"/>
        <w:rPr>
          <w:rFonts w:hint="eastAsia" w:asciiTheme="minorEastAsia" w:hAnsiTheme="minorEastAsia" w:eastAsiaTheme="minorEastAsia" w:cstheme="minorEastAsia"/>
          <w:color w:val="000000" w:themeColor="text1"/>
          <w:spacing w:val="60"/>
          <w:sz w:val="36"/>
          <w:szCs w:val="36"/>
          <w14:textFill>
            <w14:solidFill>
              <w14:schemeClr w14:val="tx1"/>
            </w14:solidFill>
          </w14:textFill>
        </w:rPr>
      </w:pPr>
      <w:bookmarkStart w:id="23" w:name="_Toc107915366"/>
      <w:r>
        <w:rPr>
          <w:rFonts w:hint="eastAsia" w:asciiTheme="minorEastAsia" w:hAnsiTheme="minorEastAsia" w:eastAsiaTheme="minorEastAsia"/>
          <w:b w:val="0"/>
          <w:sz w:val="21"/>
          <w:szCs w:val="21"/>
        </w:rPr>
        <w:t>附件3：产品质量承诺书</w:t>
      </w:r>
      <w:bookmarkEnd w:id="23"/>
    </w:p>
    <w:p>
      <w:pPr>
        <w:spacing w:before="156" w:beforeLines="50" w:after="156" w:afterLines="50" w:line="600" w:lineRule="exact"/>
        <w:jc w:val="center"/>
        <w:rPr>
          <w:rFonts w:asciiTheme="minorEastAsia" w:hAnsiTheme="minorEastAsia" w:eastAsiaTheme="minorEastAsia" w:cstheme="minorEastAsia"/>
          <w:b/>
          <w:color w:val="000000" w:themeColor="text1"/>
          <w:spacing w:val="60"/>
          <w:sz w:val="36"/>
          <w:szCs w:val="36"/>
          <w14:textFill>
            <w14:solidFill>
              <w14:schemeClr w14:val="tx1"/>
            </w14:solidFill>
          </w14:textFill>
        </w:rPr>
      </w:pPr>
      <w:r>
        <w:rPr>
          <w:rFonts w:hint="eastAsia" w:asciiTheme="minorEastAsia" w:hAnsiTheme="minorEastAsia" w:eastAsiaTheme="minorEastAsia" w:cstheme="minorEastAsia"/>
          <w:b/>
          <w:bCs/>
          <w:color w:val="000000" w:themeColor="text1"/>
          <w:spacing w:val="60"/>
          <w:sz w:val="36"/>
          <w:szCs w:val="36"/>
          <w14:textFill>
            <w14:solidFill>
              <w14:schemeClr w14:val="tx1"/>
            </w14:solidFill>
          </w14:textFill>
        </w:rPr>
        <w:t>产品质量承诺书</w:t>
      </w:r>
    </w:p>
    <w:p>
      <w:pPr>
        <w:spacing w:line="720" w:lineRule="exact"/>
        <w:ind w:firstLine="540" w:firstLineChars="225"/>
        <w:rPr>
          <w:rFonts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为了确保南通大学202</w:t>
      </w:r>
      <w:r>
        <w:rPr>
          <w:rFonts w:hint="eastAsia" w:ascii="宋体" w:hAnsi="宋体" w:cstheme="minorEastAsia"/>
          <w:color w:val="000000" w:themeColor="text1"/>
          <w:sz w:val="24"/>
          <w:lang w:val="en-US" w:eastAsia="zh-CN"/>
          <w14:textFill>
            <w14:solidFill>
              <w14:schemeClr w14:val="tx1"/>
            </w14:solidFill>
          </w14:textFill>
        </w:rPr>
        <w:t>3</w:t>
      </w:r>
      <w:r>
        <w:rPr>
          <w:rFonts w:hint="eastAsia" w:ascii="宋体" w:hAnsi="宋体" w:cstheme="minorEastAsia"/>
          <w:color w:val="000000" w:themeColor="text1"/>
          <w:sz w:val="24"/>
          <w14:textFill>
            <w14:solidFill>
              <w14:schemeClr w14:val="tx1"/>
            </w14:solidFill>
          </w14:textFill>
        </w:rPr>
        <w:t>年学生公寓物品的质量，切实维护广大学生的利益，现对产品质量作如下承诺：</w:t>
      </w:r>
    </w:p>
    <w:p>
      <w:pPr>
        <w:numPr>
          <w:ilvl w:val="0"/>
          <w:numId w:val="2"/>
        </w:numPr>
        <w:spacing w:line="720" w:lineRule="exact"/>
        <w:ind w:firstLine="600" w:firstLineChars="250"/>
        <w:rPr>
          <w:rFonts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严格按照相关标准（规格尺寸、质量要求等）组织南通大学2021年学生公寓物品的生产，保质保量，如期交货。</w:t>
      </w:r>
    </w:p>
    <w:p>
      <w:pPr>
        <w:spacing w:line="720" w:lineRule="exact"/>
        <w:ind w:firstLine="600" w:firstLineChars="250"/>
        <w:rPr>
          <w:rFonts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二、本单位所供应的学生公寓物品包用四年，四年内如发生质量问题，保证一周内退换。</w:t>
      </w:r>
    </w:p>
    <w:p>
      <w:pPr>
        <w:spacing w:line="720" w:lineRule="exact"/>
        <w:ind w:firstLine="600" w:firstLineChars="250"/>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三、在公寓物品生产全过程中，严格遵守相关法规法律和技术要求，守法经营，接受校方和质检部门的监督和检查。</w:t>
      </w:r>
    </w:p>
    <w:p>
      <w:pPr>
        <w:spacing w:line="720" w:lineRule="exact"/>
        <w:ind w:firstLine="600" w:firstLineChars="250"/>
        <w:rPr>
          <w:rFonts w:hint="eastAsia"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四、本《产品质量承诺书》作为学生公寓物品定购合同的附件，具有同等效力。</w:t>
      </w:r>
    </w:p>
    <w:p>
      <w:pPr>
        <w:spacing w:line="720" w:lineRule="exact"/>
        <w:ind w:firstLine="628" w:firstLineChars="262"/>
        <w:rPr>
          <w:rFonts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特此保证</w:t>
      </w:r>
    </w:p>
    <w:p>
      <w:pPr>
        <w:spacing w:line="600" w:lineRule="exact"/>
        <w:rPr>
          <w:rFonts w:ascii="宋体" w:hAnsi="宋体" w:cstheme="minorEastAsia"/>
          <w:color w:val="000000" w:themeColor="text1"/>
          <w:sz w:val="24"/>
          <w14:textFill>
            <w14:solidFill>
              <w14:schemeClr w14:val="tx1"/>
            </w14:solidFill>
          </w14:textFill>
        </w:rPr>
      </w:pPr>
    </w:p>
    <w:p>
      <w:pPr>
        <w:spacing w:line="600" w:lineRule="exact"/>
        <w:ind w:firstLine="4200" w:firstLineChars="1750"/>
        <w:rPr>
          <w:rFonts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投标人（公章）：</w:t>
      </w:r>
    </w:p>
    <w:p>
      <w:pPr>
        <w:spacing w:line="600" w:lineRule="exact"/>
        <w:ind w:firstLine="4200" w:firstLineChars="1750"/>
        <w:rPr>
          <w:rFonts w:ascii="宋体" w:hAnsi="宋体" w:cstheme="minorEastAsia"/>
          <w:color w:val="000000" w:themeColor="text1"/>
          <w:sz w:val="24"/>
          <w14:textFill>
            <w14:solidFill>
              <w14:schemeClr w14:val="tx1"/>
            </w14:solidFill>
          </w14:textFill>
        </w:rPr>
      </w:pPr>
    </w:p>
    <w:p>
      <w:pPr>
        <w:spacing w:line="600" w:lineRule="exact"/>
        <w:rPr>
          <w:rFonts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法定代表人或被委托代表人（签字或签章）：</w:t>
      </w:r>
      <w:r>
        <w:rPr>
          <w:rFonts w:hint="eastAsia" w:ascii="宋体" w:hAnsi="宋体" w:cstheme="minorEastAsia"/>
          <w:color w:val="000000" w:themeColor="text1"/>
          <w:sz w:val="24"/>
          <w14:textFill>
            <w14:solidFill>
              <w14:schemeClr w14:val="tx1"/>
            </w14:solidFill>
          </w14:textFill>
        </w:rPr>
        <w:t xml:space="preserve"> </w:t>
      </w:r>
    </w:p>
    <w:p>
      <w:pPr>
        <w:spacing w:line="600" w:lineRule="exact"/>
        <w:jc w:val="center"/>
        <w:rPr>
          <w:rFonts w:ascii="宋体" w:hAnsi="宋体" w:cstheme="minorEastAsia"/>
          <w:color w:val="000000" w:themeColor="text1"/>
          <w:sz w:val="24"/>
          <w14:textFill>
            <w14:solidFill>
              <w14:schemeClr w14:val="tx1"/>
            </w14:solidFill>
          </w14:textFill>
        </w:rPr>
      </w:pPr>
    </w:p>
    <w:p>
      <w:pPr>
        <w:spacing w:line="600" w:lineRule="exact"/>
        <w:jc w:val="center"/>
        <w:rPr>
          <w:rFonts w:ascii="宋体" w:hAnsi="宋体" w:cstheme="minorEastAsia"/>
          <w:color w:val="000000" w:themeColor="text1"/>
          <w:sz w:val="24"/>
          <w14:textFill>
            <w14:solidFill>
              <w14:schemeClr w14:val="tx1"/>
            </w14:solidFill>
          </w14:textFill>
        </w:rPr>
      </w:pPr>
      <w:r>
        <w:rPr>
          <w:rFonts w:hint="eastAsia" w:ascii="宋体" w:hAnsi="宋体" w:cstheme="minorEastAsia"/>
          <w:color w:val="000000" w:themeColor="text1"/>
          <w:sz w:val="24"/>
          <w14:textFill>
            <w14:solidFill>
              <w14:schemeClr w14:val="tx1"/>
            </w14:solidFill>
          </w14:textFill>
        </w:rPr>
        <w:t xml:space="preserve">                                               年    月    日</w:t>
      </w:r>
    </w:p>
    <w:p>
      <w:pPr>
        <w:rPr>
          <w:rFonts w:hint="eastAsia"/>
          <w:b w:val="0"/>
          <w:color w:val="000000" w:themeColor="text1"/>
          <w:sz w:val="21"/>
          <w:szCs w:val="21"/>
          <w14:textFill>
            <w14:solidFill>
              <w14:schemeClr w14:val="tx1"/>
            </w14:solidFill>
          </w14:textFill>
        </w:rPr>
      </w:pPr>
      <w:r>
        <w:rPr>
          <w:rFonts w:ascii="宋体" w:hAnsi="宋体" w:cstheme="minorEastAsia"/>
          <w:color w:val="000000" w:themeColor="text1"/>
          <w:spacing w:val="4"/>
          <w:sz w:val="24"/>
          <w14:textFill>
            <w14:solidFill>
              <w14:schemeClr w14:val="tx1"/>
            </w14:solidFill>
          </w14:textFill>
        </w:rPr>
        <w:br w:type="page"/>
      </w: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4</w:t>
      </w:r>
      <w:r>
        <w:rPr>
          <w:rFonts w:hint="eastAsia"/>
          <w:b w:val="0"/>
          <w:color w:val="000000" w:themeColor="text1"/>
          <w:sz w:val="21"/>
          <w:szCs w:val="21"/>
          <w14:textFill>
            <w14:solidFill>
              <w14:schemeClr w14:val="tx1"/>
            </w14:solidFill>
          </w14:textFill>
        </w:rPr>
        <w:t>：法定代表人资格证明</w:t>
      </w:r>
      <w:bookmarkEnd w:id="21"/>
      <w:bookmarkEnd w:id="22"/>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24" w:name="_Toc24632185"/>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664384;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yz+w2U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663360;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NDyyf2AAAAAgBAAAPAAAAAAAAAAEA&#10;IAAAACIAAABkcnMvZG93bnJldi54bWxQSwECFAAUAAAACACHTuJASlWJc0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tabs>
          <w:tab w:val="left" w:pos="1390"/>
        </w:tabs>
        <w:rPr>
          <w:color w:val="000000" w:themeColor="text1"/>
          <w14:textFill>
            <w14:solidFill>
              <w14:schemeClr w14:val="tx1"/>
            </w14:solidFill>
          </w14:textFill>
        </w:rPr>
      </w:pPr>
    </w:p>
    <w:p>
      <w:pPr>
        <w:pStyle w:val="5"/>
        <w:rPr>
          <w:color w:val="000000" w:themeColor="text1"/>
          <w14:textFill>
            <w14:solidFill>
              <w14:schemeClr w14:val="tx1"/>
            </w14:solidFill>
          </w14:textFill>
        </w:rPr>
      </w:pPr>
    </w:p>
    <w:p/>
    <w:p>
      <w:pPr>
        <w:pStyle w:val="4"/>
        <w:rPr>
          <w:b w:val="0"/>
          <w:color w:val="000000" w:themeColor="text1"/>
          <w:sz w:val="21"/>
          <w:szCs w:val="21"/>
          <w14:textFill>
            <w14:solidFill>
              <w14:schemeClr w14:val="tx1"/>
            </w14:solidFill>
          </w14:textFill>
        </w:rPr>
      </w:pPr>
      <w:bookmarkStart w:id="25" w:name="_Toc1835"/>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5</w:t>
      </w:r>
      <w:r>
        <w:rPr>
          <w:rFonts w:hint="eastAsia"/>
          <w:b w:val="0"/>
          <w:color w:val="000000" w:themeColor="text1"/>
          <w:sz w:val="21"/>
          <w:szCs w:val="21"/>
          <w14:textFill>
            <w14:solidFill>
              <w14:schemeClr w14:val="tx1"/>
            </w14:solidFill>
          </w14:textFill>
        </w:rPr>
        <w:t>：法定代表人授权书</w:t>
      </w:r>
      <w:bookmarkEnd w:id="24"/>
      <w:bookmarkEnd w:id="25"/>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法定代表人签字或签章：</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被授权人签字或签章：</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7"/>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6" w:name="_Toc30413"/>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6</w:t>
      </w:r>
      <w:r>
        <w:rPr>
          <w:rFonts w:hint="eastAsia"/>
          <w:b w:val="0"/>
          <w:color w:val="000000" w:themeColor="text1"/>
          <w:sz w:val="21"/>
          <w:szCs w:val="21"/>
          <w14:textFill>
            <w14:solidFill>
              <w14:schemeClr w14:val="tx1"/>
            </w14:solidFill>
          </w14:textFill>
        </w:rPr>
        <w:t>：无重大违法记录声明</w:t>
      </w:r>
      <w:bookmarkEnd w:id="26"/>
    </w:p>
    <w:p>
      <w:pPr>
        <w:pStyle w:val="54"/>
        <w:rPr>
          <w:b/>
          <w:color w:val="000000" w:themeColor="text1"/>
          <w:sz w:val="30"/>
          <w:szCs w:val="30"/>
          <w14:textFill>
            <w14:solidFill>
              <w14:schemeClr w14:val="tx1"/>
            </w14:solidFill>
          </w14:textFill>
        </w:rPr>
      </w:pPr>
    </w:p>
    <w:p>
      <w:pPr>
        <w:pStyle w:val="54"/>
        <w:rPr>
          <w:b/>
          <w:color w:val="000000" w:themeColor="text1"/>
          <w:sz w:val="30"/>
          <w:szCs w:val="30"/>
          <w14:textFill>
            <w14:solidFill>
              <w14:schemeClr w14:val="tx1"/>
            </w14:solidFill>
          </w14:textFill>
        </w:rPr>
      </w:pPr>
    </w:p>
    <w:p>
      <w:pPr>
        <w:pStyle w:val="54"/>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4"/>
        <w:rPr>
          <w:b/>
          <w:color w:val="000000" w:themeColor="text1"/>
          <w:sz w:val="30"/>
          <w:szCs w:val="30"/>
          <w14:textFill>
            <w14:solidFill>
              <w14:schemeClr w14:val="tx1"/>
            </w14:solidFill>
          </w14:textFill>
        </w:rPr>
      </w:pPr>
    </w:p>
    <w:p>
      <w:pPr>
        <w:pStyle w:val="54"/>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4"/>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4"/>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4"/>
        <w:spacing w:line="360" w:lineRule="auto"/>
        <w:ind w:firstLine="540"/>
        <w:rPr>
          <w:color w:val="000000" w:themeColor="text1"/>
          <w:sz w:val="28"/>
          <w:szCs w:val="28"/>
          <w14:textFill>
            <w14:solidFill>
              <w14:schemeClr w14:val="tx1"/>
            </w14:solidFill>
          </w14:textFill>
        </w:rPr>
      </w:pPr>
    </w:p>
    <w:p>
      <w:pPr>
        <w:pStyle w:val="54"/>
        <w:spacing w:line="360" w:lineRule="auto"/>
        <w:ind w:firstLine="540"/>
        <w:rPr>
          <w:color w:val="000000" w:themeColor="text1"/>
          <w:sz w:val="28"/>
          <w:szCs w:val="28"/>
          <w14:textFill>
            <w14:solidFill>
              <w14:schemeClr w14:val="tx1"/>
            </w14:solidFill>
          </w14:textFill>
        </w:rPr>
      </w:pPr>
    </w:p>
    <w:p>
      <w:pPr>
        <w:pStyle w:val="54"/>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4"/>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4"/>
        <w:ind w:firstLine="540"/>
        <w:rPr>
          <w:color w:val="000000" w:themeColor="text1"/>
          <w:sz w:val="28"/>
          <w:szCs w:val="28"/>
          <w14:textFill>
            <w14:solidFill>
              <w14:schemeClr w14:val="tx1"/>
            </w14:solidFill>
          </w14:textFill>
        </w:rPr>
      </w:pPr>
    </w:p>
    <w:p>
      <w:pPr>
        <w:pStyle w:val="54"/>
        <w:ind w:firstLine="540"/>
        <w:rPr>
          <w:color w:val="000000" w:themeColor="text1"/>
          <w:sz w:val="28"/>
          <w:szCs w:val="28"/>
          <w14:textFill>
            <w14:solidFill>
              <w14:schemeClr w14:val="tx1"/>
            </w14:solidFill>
          </w14:textFill>
        </w:rPr>
      </w:pPr>
    </w:p>
    <w:p>
      <w:pPr>
        <w:pStyle w:val="54"/>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7" w:name="_Toc51598429"/>
      <w:bookmarkStart w:id="28" w:name="_Toc50642505"/>
      <w:bookmarkStart w:id="29" w:name="_Toc52798262"/>
      <w:bookmarkStart w:id="30" w:name="_Toc49847306"/>
      <w:bookmarkStart w:id="31" w:name="_Toc53153324"/>
      <w:bookmarkStart w:id="32" w:name="_Toc50645819"/>
      <w:bookmarkStart w:id="33" w:name="_Toc27828"/>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7</w:t>
      </w:r>
      <w:r>
        <w:rPr>
          <w:rFonts w:hint="eastAsia"/>
          <w:b w:val="0"/>
          <w:color w:val="000000" w:themeColor="text1"/>
          <w:sz w:val="21"/>
          <w:szCs w:val="21"/>
          <w14:textFill>
            <w14:solidFill>
              <w14:schemeClr w14:val="tx1"/>
            </w14:solidFill>
          </w14:textFill>
        </w:rPr>
        <w:t>：诚信承诺书</w:t>
      </w:r>
      <w:bookmarkEnd w:id="27"/>
      <w:bookmarkEnd w:id="28"/>
      <w:bookmarkEnd w:id="29"/>
      <w:bookmarkEnd w:id="30"/>
      <w:bookmarkEnd w:id="31"/>
      <w:bookmarkEnd w:id="32"/>
      <w:bookmarkEnd w:id="33"/>
    </w:p>
    <w:p>
      <w:pPr>
        <w:pStyle w:val="54"/>
        <w:jc w:val="center"/>
        <w:rPr>
          <w:b/>
          <w:color w:val="000000" w:themeColor="text1"/>
          <w:sz w:val="44"/>
          <w:szCs w:val="44"/>
          <w14:textFill>
            <w14:solidFill>
              <w14:schemeClr w14:val="tx1"/>
            </w14:solidFill>
          </w14:textFill>
        </w:rPr>
      </w:pPr>
    </w:p>
    <w:p>
      <w:pPr>
        <w:pStyle w:val="54"/>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4"/>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4"/>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4"/>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4"/>
        <w:spacing w:line="360" w:lineRule="auto"/>
        <w:ind w:firstLine="540"/>
        <w:rPr>
          <w:color w:val="000000" w:themeColor="text1"/>
          <w:sz w:val="28"/>
          <w:szCs w:val="28"/>
          <w14:textFill>
            <w14:solidFill>
              <w14:schemeClr w14:val="tx1"/>
            </w14:solidFill>
          </w14:textFill>
        </w:rPr>
      </w:pPr>
    </w:p>
    <w:p>
      <w:pPr>
        <w:pStyle w:val="54"/>
        <w:spacing w:line="360" w:lineRule="auto"/>
        <w:ind w:firstLine="540"/>
        <w:rPr>
          <w:color w:val="000000" w:themeColor="text1"/>
          <w:sz w:val="28"/>
          <w:szCs w:val="28"/>
          <w14:textFill>
            <w14:solidFill>
              <w14:schemeClr w14:val="tx1"/>
            </w14:solidFill>
          </w14:textFill>
        </w:rPr>
      </w:pPr>
    </w:p>
    <w:p>
      <w:pPr>
        <w:pStyle w:val="54"/>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4"/>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法定代表人或被授权代表人（签字或签章）：</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4"/>
        <w:spacing w:line="360" w:lineRule="auto"/>
        <w:ind w:firstLine="540"/>
        <w:rPr>
          <w:color w:val="000000" w:themeColor="text1"/>
          <w:sz w:val="28"/>
          <w:szCs w:val="28"/>
          <w14:textFill>
            <w14:solidFill>
              <w14:schemeClr w14:val="tx1"/>
            </w14:solidFill>
          </w14:textFill>
        </w:rPr>
      </w:pPr>
    </w:p>
    <w:p>
      <w:pPr>
        <w:pStyle w:val="54"/>
        <w:spacing w:line="360" w:lineRule="auto"/>
        <w:ind w:firstLine="540"/>
        <w:rPr>
          <w:color w:val="000000" w:themeColor="text1"/>
          <w:sz w:val="28"/>
          <w:szCs w:val="28"/>
          <w14:textFill>
            <w14:solidFill>
              <w14:schemeClr w14:val="tx1"/>
            </w14:solidFill>
          </w14:textFill>
        </w:rPr>
      </w:pPr>
    </w:p>
    <w:p>
      <w:pPr>
        <w:pStyle w:val="54"/>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9" w:usb3="00000000" w:csb0="000001FF" w:csb1="00000000"/>
  </w:font>
  <w:font w:name="Verdana">
    <w:panose1 w:val="020B0604030504040204"/>
    <w:charset w:val="00"/>
    <w:family w:val="swiss"/>
    <w:pitch w:val="default"/>
    <w:sig w:usb0="A1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2"/>
      </w:rPr>
    </w:pPr>
    <w:r>
      <w:rPr>
        <w:rStyle w:val="32"/>
      </w:rPr>
      <w:fldChar w:fldCharType="begin"/>
    </w:r>
    <w:r>
      <w:rPr>
        <w:rStyle w:val="32"/>
      </w:rPr>
      <w:instrText xml:space="preserve">PAGE  </w:instrText>
    </w:r>
    <w:r>
      <w:rPr>
        <w:rStyle w:val="32"/>
      </w:rPr>
      <w:fldChar w:fldCharType="separate"/>
    </w:r>
    <w:r>
      <w:rPr>
        <w:rStyle w:val="32"/>
      </w:rPr>
      <w:t>1</w:t>
    </w:r>
    <w:r>
      <w:rPr>
        <w:rStyle w:val="32"/>
      </w:rP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ED4CE8"/>
    <w:multiLevelType w:val="singleLevel"/>
    <w:tmpl w:val="C5ED4CE8"/>
    <w:lvl w:ilvl="0" w:tentative="0">
      <w:start w:val="1"/>
      <w:numFmt w:val="chineseCounting"/>
      <w:suff w:val="nothing"/>
      <w:lvlText w:val="%1、"/>
      <w:lvlJc w:val="left"/>
      <w:rPr>
        <w:rFonts w:hint="eastAsia"/>
      </w:rPr>
    </w:lvl>
  </w:abstractNum>
  <w:abstractNum w:abstractNumId="1">
    <w:nsid w:val="099FA44C"/>
    <w:multiLevelType w:val="singleLevel"/>
    <w:tmpl w:val="099FA44C"/>
    <w:lvl w:ilvl="0" w:tentative="0">
      <w:start w:val="10"/>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U2OWQxNDRmN2RlYThjODU1MTMyN2FlZjFkMThkNTYifQ=="/>
  </w:docVars>
  <w:rsids>
    <w:rsidRoot w:val="007321A8"/>
    <w:rsid w:val="000004F9"/>
    <w:rsid w:val="00000501"/>
    <w:rsid w:val="00001867"/>
    <w:rsid w:val="000024F1"/>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4171"/>
    <w:rsid w:val="00116DDF"/>
    <w:rsid w:val="001210ED"/>
    <w:rsid w:val="00121C03"/>
    <w:rsid w:val="001225CF"/>
    <w:rsid w:val="00124F7D"/>
    <w:rsid w:val="001260E1"/>
    <w:rsid w:val="00126F6D"/>
    <w:rsid w:val="00126F73"/>
    <w:rsid w:val="0013026B"/>
    <w:rsid w:val="001310C3"/>
    <w:rsid w:val="00131377"/>
    <w:rsid w:val="00133398"/>
    <w:rsid w:val="0013373D"/>
    <w:rsid w:val="00133EAA"/>
    <w:rsid w:val="001348D7"/>
    <w:rsid w:val="00135900"/>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14C2"/>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04F6"/>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87"/>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DDE"/>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3E7"/>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97B14"/>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6613"/>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5710"/>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594D"/>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03B1"/>
    <w:rsid w:val="00532285"/>
    <w:rsid w:val="00532712"/>
    <w:rsid w:val="00532C73"/>
    <w:rsid w:val="00534DA3"/>
    <w:rsid w:val="00535274"/>
    <w:rsid w:val="005359C9"/>
    <w:rsid w:val="00537EBC"/>
    <w:rsid w:val="00540564"/>
    <w:rsid w:val="00542383"/>
    <w:rsid w:val="0054323E"/>
    <w:rsid w:val="0055141A"/>
    <w:rsid w:val="00552C6E"/>
    <w:rsid w:val="005560F8"/>
    <w:rsid w:val="00557C8F"/>
    <w:rsid w:val="00562202"/>
    <w:rsid w:val="00563159"/>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234"/>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418"/>
    <w:rsid w:val="00621537"/>
    <w:rsid w:val="006218B7"/>
    <w:rsid w:val="00621A02"/>
    <w:rsid w:val="00623611"/>
    <w:rsid w:val="00623E3B"/>
    <w:rsid w:val="0062418C"/>
    <w:rsid w:val="006243C1"/>
    <w:rsid w:val="00624F44"/>
    <w:rsid w:val="0062570E"/>
    <w:rsid w:val="006258FC"/>
    <w:rsid w:val="00627E6B"/>
    <w:rsid w:val="0063185C"/>
    <w:rsid w:val="00633DDA"/>
    <w:rsid w:val="00636683"/>
    <w:rsid w:val="006377D2"/>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6984"/>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0C2B"/>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41D"/>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598D"/>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47DB"/>
    <w:rsid w:val="008C580E"/>
    <w:rsid w:val="008C7FD8"/>
    <w:rsid w:val="008D2CE1"/>
    <w:rsid w:val="008D3054"/>
    <w:rsid w:val="008D30B7"/>
    <w:rsid w:val="008D313A"/>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17C47"/>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10AA"/>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4C02"/>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730"/>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C65CC"/>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E75FD"/>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7DC"/>
    <w:rsid w:val="00B06C74"/>
    <w:rsid w:val="00B10D60"/>
    <w:rsid w:val="00B1384A"/>
    <w:rsid w:val="00B13A8C"/>
    <w:rsid w:val="00B15C19"/>
    <w:rsid w:val="00B169B3"/>
    <w:rsid w:val="00B16FED"/>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475"/>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7E4"/>
    <w:rsid w:val="00BD5A84"/>
    <w:rsid w:val="00BD5DAC"/>
    <w:rsid w:val="00BD63DE"/>
    <w:rsid w:val="00BD669D"/>
    <w:rsid w:val="00BE06AB"/>
    <w:rsid w:val="00BE32F3"/>
    <w:rsid w:val="00BE6FF0"/>
    <w:rsid w:val="00BE7678"/>
    <w:rsid w:val="00BF160B"/>
    <w:rsid w:val="00BF2659"/>
    <w:rsid w:val="00BF3A9B"/>
    <w:rsid w:val="00BF43C1"/>
    <w:rsid w:val="00BF5651"/>
    <w:rsid w:val="00BF59AF"/>
    <w:rsid w:val="00BF5D70"/>
    <w:rsid w:val="00BF6F5D"/>
    <w:rsid w:val="00BF799C"/>
    <w:rsid w:val="00C00A54"/>
    <w:rsid w:val="00C01161"/>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256"/>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73A"/>
    <w:rsid w:val="00C57F0E"/>
    <w:rsid w:val="00C602FF"/>
    <w:rsid w:val="00C60397"/>
    <w:rsid w:val="00C60A78"/>
    <w:rsid w:val="00C61790"/>
    <w:rsid w:val="00C62B64"/>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69C5"/>
    <w:rsid w:val="00CA7E69"/>
    <w:rsid w:val="00CA7EA1"/>
    <w:rsid w:val="00CB01B5"/>
    <w:rsid w:val="00CB04F4"/>
    <w:rsid w:val="00CB2152"/>
    <w:rsid w:val="00CB2FCD"/>
    <w:rsid w:val="00CB3D10"/>
    <w:rsid w:val="00CB4E1D"/>
    <w:rsid w:val="00CB4E7B"/>
    <w:rsid w:val="00CB5F7F"/>
    <w:rsid w:val="00CB6395"/>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1C4"/>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34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97DA4"/>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3EC4"/>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76"/>
    <w:rsid w:val="00F839B1"/>
    <w:rsid w:val="00F84BAB"/>
    <w:rsid w:val="00F8540C"/>
    <w:rsid w:val="00F85566"/>
    <w:rsid w:val="00F856E7"/>
    <w:rsid w:val="00F857A5"/>
    <w:rsid w:val="00F85DA4"/>
    <w:rsid w:val="00F86140"/>
    <w:rsid w:val="00F86457"/>
    <w:rsid w:val="00F87180"/>
    <w:rsid w:val="00F906DD"/>
    <w:rsid w:val="00F93789"/>
    <w:rsid w:val="00F944C2"/>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13C246A"/>
    <w:rsid w:val="01635C49"/>
    <w:rsid w:val="01AF5332"/>
    <w:rsid w:val="01CF7782"/>
    <w:rsid w:val="021A09FD"/>
    <w:rsid w:val="0225246E"/>
    <w:rsid w:val="02355837"/>
    <w:rsid w:val="024E4B4B"/>
    <w:rsid w:val="02783D4A"/>
    <w:rsid w:val="02906F11"/>
    <w:rsid w:val="02F474A0"/>
    <w:rsid w:val="03393105"/>
    <w:rsid w:val="035A009C"/>
    <w:rsid w:val="035E700F"/>
    <w:rsid w:val="03622591"/>
    <w:rsid w:val="0370464D"/>
    <w:rsid w:val="037B371D"/>
    <w:rsid w:val="03A2514E"/>
    <w:rsid w:val="03B94246"/>
    <w:rsid w:val="03FA6D38"/>
    <w:rsid w:val="04212517"/>
    <w:rsid w:val="04333FF8"/>
    <w:rsid w:val="044A30F0"/>
    <w:rsid w:val="04531FA4"/>
    <w:rsid w:val="04714B20"/>
    <w:rsid w:val="047A5D8D"/>
    <w:rsid w:val="047F65B0"/>
    <w:rsid w:val="04C609C8"/>
    <w:rsid w:val="05017C52"/>
    <w:rsid w:val="050B0AD1"/>
    <w:rsid w:val="054162A1"/>
    <w:rsid w:val="054B711F"/>
    <w:rsid w:val="05575AC4"/>
    <w:rsid w:val="057F1595"/>
    <w:rsid w:val="05872D64"/>
    <w:rsid w:val="05C018A2"/>
    <w:rsid w:val="05FB0B46"/>
    <w:rsid w:val="0616772D"/>
    <w:rsid w:val="06500E91"/>
    <w:rsid w:val="065823F0"/>
    <w:rsid w:val="069F7723"/>
    <w:rsid w:val="06A765D7"/>
    <w:rsid w:val="06F15AA5"/>
    <w:rsid w:val="070D6D82"/>
    <w:rsid w:val="07487BB5"/>
    <w:rsid w:val="075A189C"/>
    <w:rsid w:val="07F7533D"/>
    <w:rsid w:val="07FE491D"/>
    <w:rsid w:val="081B727D"/>
    <w:rsid w:val="08404F36"/>
    <w:rsid w:val="08534C69"/>
    <w:rsid w:val="08B35707"/>
    <w:rsid w:val="08F655F4"/>
    <w:rsid w:val="08F8136C"/>
    <w:rsid w:val="09594501"/>
    <w:rsid w:val="095D58FD"/>
    <w:rsid w:val="09622616"/>
    <w:rsid w:val="09910E44"/>
    <w:rsid w:val="09DE67B4"/>
    <w:rsid w:val="0A026BD8"/>
    <w:rsid w:val="0A08430D"/>
    <w:rsid w:val="0A11626D"/>
    <w:rsid w:val="0A2A36E7"/>
    <w:rsid w:val="0A4B1FCC"/>
    <w:rsid w:val="0A5627EE"/>
    <w:rsid w:val="0A805ABD"/>
    <w:rsid w:val="0AAE6186"/>
    <w:rsid w:val="0AC05EBA"/>
    <w:rsid w:val="0AC27E84"/>
    <w:rsid w:val="0AD45BA8"/>
    <w:rsid w:val="0AFB3396"/>
    <w:rsid w:val="0B13248D"/>
    <w:rsid w:val="0B3348DE"/>
    <w:rsid w:val="0B5807E8"/>
    <w:rsid w:val="0B6702EE"/>
    <w:rsid w:val="0BBD34B1"/>
    <w:rsid w:val="0BC814CA"/>
    <w:rsid w:val="0BE45BD8"/>
    <w:rsid w:val="0C4A0131"/>
    <w:rsid w:val="0C4A1EDF"/>
    <w:rsid w:val="0C7D22B4"/>
    <w:rsid w:val="0D1C7D1F"/>
    <w:rsid w:val="0D731909"/>
    <w:rsid w:val="0D904269"/>
    <w:rsid w:val="0D9F625A"/>
    <w:rsid w:val="0DA9532B"/>
    <w:rsid w:val="0E2055ED"/>
    <w:rsid w:val="0E252E98"/>
    <w:rsid w:val="0E924011"/>
    <w:rsid w:val="0E975183"/>
    <w:rsid w:val="0EA16A38"/>
    <w:rsid w:val="0EF929D9"/>
    <w:rsid w:val="0EFA0BCA"/>
    <w:rsid w:val="0F0D5446"/>
    <w:rsid w:val="0F111E5D"/>
    <w:rsid w:val="0F202E96"/>
    <w:rsid w:val="0F6B3856"/>
    <w:rsid w:val="0FA4224E"/>
    <w:rsid w:val="0FD04DF1"/>
    <w:rsid w:val="0FF87EA4"/>
    <w:rsid w:val="106875CB"/>
    <w:rsid w:val="109B53FF"/>
    <w:rsid w:val="10A1053B"/>
    <w:rsid w:val="110D6392"/>
    <w:rsid w:val="116E041E"/>
    <w:rsid w:val="11A46535"/>
    <w:rsid w:val="11B76424"/>
    <w:rsid w:val="11E84674"/>
    <w:rsid w:val="126E6EDF"/>
    <w:rsid w:val="12746007"/>
    <w:rsid w:val="12850115"/>
    <w:rsid w:val="129465AA"/>
    <w:rsid w:val="12C168E2"/>
    <w:rsid w:val="130628D8"/>
    <w:rsid w:val="1319260B"/>
    <w:rsid w:val="13337B71"/>
    <w:rsid w:val="13541895"/>
    <w:rsid w:val="13B2557C"/>
    <w:rsid w:val="140B289C"/>
    <w:rsid w:val="14935AF0"/>
    <w:rsid w:val="14AF1479"/>
    <w:rsid w:val="150F0169"/>
    <w:rsid w:val="157E0E4B"/>
    <w:rsid w:val="159D5775"/>
    <w:rsid w:val="15AD47C5"/>
    <w:rsid w:val="15D1541F"/>
    <w:rsid w:val="16133C89"/>
    <w:rsid w:val="16D8458B"/>
    <w:rsid w:val="16E82A20"/>
    <w:rsid w:val="16F47617"/>
    <w:rsid w:val="1720040C"/>
    <w:rsid w:val="172F4AF3"/>
    <w:rsid w:val="17B374D2"/>
    <w:rsid w:val="17C76AD9"/>
    <w:rsid w:val="18622CA6"/>
    <w:rsid w:val="18635AD1"/>
    <w:rsid w:val="18CD45C3"/>
    <w:rsid w:val="18CD6371"/>
    <w:rsid w:val="18F03E0E"/>
    <w:rsid w:val="18FA4C8D"/>
    <w:rsid w:val="18FF4051"/>
    <w:rsid w:val="190C1487"/>
    <w:rsid w:val="19406B43"/>
    <w:rsid w:val="19410B0E"/>
    <w:rsid w:val="194523AC"/>
    <w:rsid w:val="19616ABA"/>
    <w:rsid w:val="19943DB4"/>
    <w:rsid w:val="19C332D1"/>
    <w:rsid w:val="1A400DC5"/>
    <w:rsid w:val="1A6C3968"/>
    <w:rsid w:val="1A7A033C"/>
    <w:rsid w:val="1A903AFB"/>
    <w:rsid w:val="1AD61CF2"/>
    <w:rsid w:val="1AE654C9"/>
    <w:rsid w:val="1AEB0D31"/>
    <w:rsid w:val="1B0818E3"/>
    <w:rsid w:val="1B1F6C2C"/>
    <w:rsid w:val="1B3609F4"/>
    <w:rsid w:val="1B4B5C73"/>
    <w:rsid w:val="1B4D4BD7"/>
    <w:rsid w:val="1B4D72F6"/>
    <w:rsid w:val="1B6D7998"/>
    <w:rsid w:val="1B8A054A"/>
    <w:rsid w:val="1B8A0A6B"/>
    <w:rsid w:val="1B9A62B3"/>
    <w:rsid w:val="1BAB04C0"/>
    <w:rsid w:val="1BC51582"/>
    <w:rsid w:val="1BCC2910"/>
    <w:rsid w:val="1BFC2ACA"/>
    <w:rsid w:val="1C1147C7"/>
    <w:rsid w:val="1C2E5379"/>
    <w:rsid w:val="1CB9293D"/>
    <w:rsid w:val="1CBA6C0D"/>
    <w:rsid w:val="1CBF5FD1"/>
    <w:rsid w:val="1CE017E9"/>
    <w:rsid w:val="1D036806"/>
    <w:rsid w:val="1D0600A4"/>
    <w:rsid w:val="1D305121"/>
    <w:rsid w:val="1D344C11"/>
    <w:rsid w:val="1D4F473B"/>
    <w:rsid w:val="1D570900"/>
    <w:rsid w:val="1D6D3C7F"/>
    <w:rsid w:val="1D720134"/>
    <w:rsid w:val="1D756FD8"/>
    <w:rsid w:val="1DA25220"/>
    <w:rsid w:val="1DD20CE6"/>
    <w:rsid w:val="1E004AF3"/>
    <w:rsid w:val="1E805C34"/>
    <w:rsid w:val="1EB31B66"/>
    <w:rsid w:val="1EBC3110"/>
    <w:rsid w:val="1EC57AEB"/>
    <w:rsid w:val="1F1926EB"/>
    <w:rsid w:val="1FC009DE"/>
    <w:rsid w:val="1FCD6C57"/>
    <w:rsid w:val="1FF70178"/>
    <w:rsid w:val="204333BD"/>
    <w:rsid w:val="205D1EAD"/>
    <w:rsid w:val="206375BB"/>
    <w:rsid w:val="20D109C9"/>
    <w:rsid w:val="20E35EB0"/>
    <w:rsid w:val="2129610F"/>
    <w:rsid w:val="2181419D"/>
    <w:rsid w:val="22405E06"/>
    <w:rsid w:val="22813D29"/>
    <w:rsid w:val="22A243CB"/>
    <w:rsid w:val="22F17100"/>
    <w:rsid w:val="22FD7853"/>
    <w:rsid w:val="23244DE0"/>
    <w:rsid w:val="237613B4"/>
    <w:rsid w:val="239F10A8"/>
    <w:rsid w:val="24264B88"/>
    <w:rsid w:val="244A4D1A"/>
    <w:rsid w:val="244A6AC8"/>
    <w:rsid w:val="24704055"/>
    <w:rsid w:val="247C6E9E"/>
    <w:rsid w:val="24E46F1D"/>
    <w:rsid w:val="255676EF"/>
    <w:rsid w:val="25627E42"/>
    <w:rsid w:val="256F255E"/>
    <w:rsid w:val="263C68E5"/>
    <w:rsid w:val="26460F47"/>
    <w:rsid w:val="26617E4F"/>
    <w:rsid w:val="268E706A"/>
    <w:rsid w:val="26B55F24"/>
    <w:rsid w:val="26CF1507"/>
    <w:rsid w:val="27206206"/>
    <w:rsid w:val="27391190"/>
    <w:rsid w:val="277E259E"/>
    <w:rsid w:val="27814EF7"/>
    <w:rsid w:val="27C052F3"/>
    <w:rsid w:val="27E45486"/>
    <w:rsid w:val="27EB411E"/>
    <w:rsid w:val="284952E9"/>
    <w:rsid w:val="285048C9"/>
    <w:rsid w:val="286624F8"/>
    <w:rsid w:val="288F719F"/>
    <w:rsid w:val="28A075FF"/>
    <w:rsid w:val="28A80261"/>
    <w:rsid w:val="28CD1A76"/>
    <w:rsid w:val="28E374EB"/>
    <w:rsid w:val="28E868B0"/>
    <w:rsid w:val="28EE2ACB"/>
    <w:rsid w:val="29543F45"/>
    <w:rsid w:val="299F38FC"/>
    <w:rsid w:val="29A924E3"/>
    <w:rsid w:val="29AA0D95"/>
    <w:rsid w:val="29B54054"/>
    <w:rsid w:val="29DD03DE"/>
    <w:rsid w:val="29EA6657"/>
    <w:rsid w:val="2A32072A"/>
    <w:rsid w:val="2A750617"/>
    <w:rsid w:val="2A834AE2"/>
    <w:rsid w:val="2A9E7B6E"/>
    <w:rsid w:val="2AA809EC"/>
    <w:rsid w:val="2AB47391"/>
    <w:rsid w:val="2B204A27"/>
    <w:rsid w:val="2B3109E2"/>
    <w:rsid w:val="2B882648"/>
    <w:rsid w:val="2B97636B"/>
    <w:rsid w:val="2BA72A52"/>
    <w:rsid w:val="2BD860BB"/>
    <w:rsid w:val="2BDB7608"/>
    <w:rsid w:val="2BF67536"/>
    <w:rsid w:val="2BFA0DD4"/>
    <w:rsid w:val="2C3B13EC"/>
    <w:rsid w:val="2C7C7A3B"/>
    <w:rsid w:val="2CD73D1C"/>
    <w:rsid w:val="2D0D0136"/>
    <w:rsid w:val="2D621909"/>
    <w:rsid w:val="2D83129D"/>
    <w:rsid w:val="2DA03BFD"/>
    <w:rsid w:val="2DA915AF"/>
    <w:rsid w:val="2E053A60"/>
    <w:rsid w:val="2E0A72C8"/>
    <w:rsid w:val="2E8E077D"/>
    <w:rsid w:val="2E9574DA"/>
    <w:rsid w:val="2EB155A5"/>
    <w:rsid w:val="2ECA4C10"/>
    <w:rsid w:val="2EE261A8"/>
    <w:rsid w:val="2EE62F88"/>
    <w:rsid w:val="2EEA5A4A"/>
    <w:rsid w:val="2F1F6DA3"/>
    <w:rsid w:val="2F5E5B1E"/>
    <w:rsid w:val="2F6F7D2B"/>
    <w:rsid w:val="30006BD5"/>
    <w:rsid w:val="300761B5"/>
    <w:rsid w:val="302723B3"/>
    <w:rsid w:val="30336FAA"/>
    <w:rsid w:val="30A12166"/>
    <w:rsid w:val="30C419B0"/>
    <w:rsid w:val="30E20088"/>
    <w:rsid w:val="30F524B2"/>
    <w:rsid w:val="3103697D"/>
    <w:rsid w:val="31086F3E"/>
    <w:rsid w:val="31451D82"/>
    <w:rsid w:val="314D19A6"/>
    <w:rsid w:val="31820BD9"/>
    <w:rsid w:val="319C0B7F"/>
    <w:rsid w:val="31A32B92"/>
    <w:rsid w:val="31FD0A57"/>
    <w:rsid w:val="322A4CAB"/>
    <w:rsid w:val="324101E2"/>
    <w:rsid w:val="330B1B18"/>
    <w:rsid w:val="33527747"/>
    <w:rsid w:val="33773460"/>
    <w:rsid w:val="33792F26"/>
    <w:rsid w:val="33A269EC"/>
    <w:rsid w:val="33B0446E"/>
    <w:rsid w:val="33E02FA5"/>
    <w:rsid w:val="33F21165"/>
    <w:rsid w:val="34362BC5"/>
    <w:rsid w:val="343B01DB"/>
    <w:rsid w:val="34433534"/>
    <w:rsid w:val="3465038D"/>
    <w:rsid w:val="3491629A"/>
    <w:rsid w:val="34A246FE"/>
    <w:rsid w:val="34DF500B"/>
    <w:rsid w:val="35101668"/>
    <w:rsid w:val="35243365"/>
    <w:rsid w:val="35335357"/>
    <w:rsid w:val="35337105"/>
    <w:rsid w:val="355A2586"/>
    <w:rsid w:val="35613C72"/>
    <w:rsid w:val="356E2833"/>
    <w:rsid w:val="359D0A22"/>
    <w:rsid w:val="35F40F8A"/>
    <w:rsid w:val="36174C78"/>
    <w:rsid w:val="361C5DEB"/>
    <w:rsid w:val="363E0457"/>
    <w:rsid w:val="363F2D69"/>
    <w:rsid w:val="36601E8F"/>
    <w:rsid w:val="3676374D"/>
    <w:rsid w:val="36767BF1"/>
    <w:rsid w:val="367E6AA5"/>
    <w:rsid w:val="36B44275"/>
    <w:rsid w:val="36B64491"/>
    <w:rsid w:val="36C82C47"/>
    <w:rsid w:val="36D84407"/>
    <w:rsid w:val="37074CED"/>
    <w:rsid w:val="37BC5AD7"/>
    <w:rsid w:val="37E8067A"/>
    <w:rsid w:val="37F76B0F"/>
    <w:rsid w:val="38206066"/>
    <w:rsid w:val="38367638"/>
    <w:rsid w:val="38392C84"/>
    <w:rsid w:val="38710670"/>
    <w:rsid w:val="3885411B"/>
    <w:rsid w:val="38A04AB1"/>
    <w:rsid w:val="38A565E1"/>
    <w:rsid w:val="38DD5D05"/>
    <w:rsid w:val="39302086"/>
    <w:rsid w:val="39445D84"/>
    <w:rsid w:val="39565AB7"/>
    <w:rsid w:val="398A07E0"/>
    <w:rsid w:val="39C72511"/>
    <w:rsid w:val="39D272EA"/>
    <w:rsid w:val="39E62997"/>
    <w:rsid w:val="3A1C0AAF"/>
    <w:rsid w:val="3A2C5F89"/>
    <w:rsid w:val="3A39500F"/>
    <w:rsid w:val="3A69012D"/>
    <w:rsid w:val="3A7C5E4C"/>
    <w:rsid w:val="3A8A5A19"/>
    <w:rsid w:val="3AE55345"/>
    <w:rsid w:val="3AE64B0F"/>
    <w:rsid w:val="3AFE01B5"/>
    <w:rsid w:val="3B07350D"/>
    <w:rsid w:val="3B0B2274"/>
    <w:rsid w:val="3B1479D8"/>
    <w:rsid w:val="3B273268"/>
    <w:rsid w:val="3B334302"/>
    <w:rsid w:val="3B767F00"/>
    <w:rsid w:val="3B985F13"/>
    <w:rsid w:val="3BAA5C47"/>
    <w:rsid w:val="3BAC5E63"/>
    <w:rsid w:val="3BB04B88"/>
    <w:rsid w:val="3BCD475F"/>
    <w:rsid w:val="3BCF12B5"/>
    <w:rsid w:val="3C3A521C"/>
    <w:rsid w:val="3C53008C"/>
    <w:rsid w:val="3C556C69"/>
    <w:rsid w:val="3C5C33E5"/>
    <w:rsid w:val="3C706E90"/>
    <w:rsid w:val="3C7137CF"/>
    <w:rsid w:val="3C8446EA"/>
    <w:rsid w:val="3CB11983"/>
    <w:rsid w:val="3CE55B38"/>
    <w:rsid w:val="3D2959BD"/>
    <w:rsid w:val="3D45190F"/>
    <w:rsid w:val="3D762284"/>
    <w:rsid w:val="3DBB238D"/>
    <w:rsid w:val="3E29379B"/>
    <w:rsid w:val="3EA80B63"/>
    <w:rsid w:val="3EB017C6"/>
    <w:rsid w:val="3EEA1BF7"/>
    <w:rsid w:val="3F0071D7"/>
    <w:rsid w:val="3F7E3672"/>
    <w:rsid w:val="3FC96FE3"/>
    <w:rsid w:val="3FE0432D"/>
    <w:rsid w:val="40880C4C"/>
    <w:rsid w:val="40F005A0"/>
    <w:rsid w:val="41320BB8"/>
    <w:rsid w:val="41780CC1"/>
    <w:rsid w:val="41B65A6E"/>
    <w:rsid w:val="41B82E6B"/>
    <w:rsid w:val="41D34149"/>
    <w:rsid w:val="41F30347"/>
    <w:rsid w:val="42024A2E"/>
    <w:rsid w:val="42092232"/>
    <w:rsid w:val="4278205E"/>
    <w:rsid w:val="42CB4E20"/>
    <w:rsid w:val="42D55C9F"/>
    <w:rsid w:val="42E859D2"/>
    <w:rsid w:val="43014CE6"/>
    <w:rsid w:val="432D7889"/>
    <w:rsid w:val="43317379"/>
    <w:rsid w:val="433724B6"/>
    <w:rsid w:val="43616781"/>
    <w:rsid w:val="436B215F"/>
    <w:rsid w:val="43A51B15"/>
    <w:rsid w:val="43FD54AD"/>
    <w:rsid w:val="44300615"/>
    <w:rsid w:val="44705C7F"/>
    <w:rsid w:val="44814510"/>
    <w:rsid w:val="450B3BFA"/>
    <w:rsid w:val="4517057D"/>
    <w:rsid w:val="453A2DD0"/>
    <w:rsid w:val="455235D7"/>
    <w:rsid w:val="45566478"/>
    <w:rsid w:val="45653163"/>
    <w:rsid w:val="458539AC"/>
    <w:rsid w:val="45C66887"/>
    <w:rsid w:val="45D95AA6"/>
    <w:rsid w:val="46B71249"/>
    <w:rsid w:val="46B9152B"/>
    <w:rsid w:val="46C73B51"/>
    <w:rsid w:val="47204757"/>
    <w:rsid w:val="474140DE"/>
    <w:rsid w:val="47482EE3"/>
    <w:rsid w:val="47655843"/>
    <w:rsid w:val="478163F5"/>
    <w:rsid w:val="47887AAC"/>
    <w:rsid w:val="47A81BD4"/>
    <w:rsid w:val="48164D90"/>
    <w:rsid w:val="481C1C7A"/>
    <w:rsid w:val="486A27A6"/>
    <w:rsid w:val="48C22822"/>
    <w:rsid w:val="48D94B62"/>
    <w:rsid w:val="48DA4F01"/>
    <w:rsid w:val="48FD5F50"/>
    <w:rsid w:val="492D6B95"/>
    <w:rsid w:val="49B74350"/>
    <w:rsid w:val="49C26560"/>
    <w:rsid w:val="4A050C18"/>
    <w:rsid w:val="4A987CDE"/>
    <w:rsid w:val="4A9F72BE"/>
    <w:rsid w:val="4AD917DF"/>
    <w:rsid w:val="4B2B6DA4"/>
    <w:rsid w:val="4B6E6C91"/>
    <w:rsid w:val="4B814C16"/>
    <w:rsid w:val="4B8B7905"/>
    <w:rsid w:val="4BB943B0"/>
    <w:rsid w:val="4BCA036B"/>
    <w:rsid w:val="4BF70A34"/>
    <w:rsid w:val="4C080E93"/>
    <w:rsid w:val="4C5440D8"/>
    <w:rsid w:val="4C63256E"/>
    <w:rsid w:val="4C653F38"/>
    <w:rsid w:val="4C76404F"/>
    <w:rsid w:val="4CA32DED"/>
    <w:rsid w:val="4CA54934"/>
    <w:rsid w:val="4CD86AB8"/>
    <w:rsid w:val="4D090A1F"/>
    <w:rsid w:val="4D2C6E03"/>
    <w:rsid w:val="4D36558C"/>
    <w:rsid w:val="4D3A1520"/>
    <w:rsid w:val="4D693BB4"/>
    <w:rsid w:val="4D695962"/>
    <w:rsid w:val="4D785BA5"/>
    <w:rsid w:val="4D7E765F"/>
    <w:rsid w:val="4DE63590"/>
    <w:rsid w:val="4E01203E"/>
    <w:rsid w:val="4E1F4272"/>
    <w:rsid w:val="4E23287D"/>
    <w:rsid w:val="4E475E18"/>
    <w:rsid w:val="4F1C7662"/>
    <w:rsid w:val="4F7C5E20"/>
    <w:rsid w:val="4FAB2E5B"/>
    <w:rsid w:val="4FB01626"/>
    <w:rsid w:val="4FC65588"/>
    <w:rsid w:val="4FD60B72"/>
    <w:rsid w:val="4FDA2B47"/>
    <w:rsid w:val="50242014"/>
    <w:rsid w:val="50591203"/>
    <w:rsid w:val="508F088B"/>
    <w:rsid w:val="50D70E34"/>
    <w:rsid w:val="50FB4B23"/>
    <w:rsid w:val="51051E45"/>
    <w:rsid w:val="51340035"/>
    <w:rsid w:val="514A5AAA"/>
    <w:rsid w:val="516528E4"/>
    <w:rsid w:val="51B178D7"/>
    <w:rsid w:val="51CE3B85"/>
    <w:rsid w:val="51D04201"/>
    <w:rsid w:val="51DD06CC"/>
    <w:rsid w:val="51E63A25"/>
    <w:rsid w:val="51EB4B97"/>
    <w:rsid w:val="520E6AD8"/>
    <w:rsid w:val="52320A18"/>
    <w:rsid w:val="5245699D"/>
    <w:rsid w:val="5246001F"/>
    <w:rsid w:val="525070F0"/>
    <w:rsid w:val="526A01B2"/>
    <w:rsid w:val="526B5CD8"/>
    <w:rsid w:val="526D6413"/>
    <w:rsid w:val="52B753C1"/>
    <w:rsid w:val="52CF4918"/>
    <w:rsid w:val="52D10231"/>
    <w:rsid w:val="52D47D21"/>
    <w:rsid w:val="52EF4B5B"/>
    <w:rsid w:val="5354676C"/>
    <w:rsid w:val="53C80178"/>
    <w:rsid w:val="54063F0A"/>
    <w:rsid w:val="54386EA6"/>
    <w:rsid w:val="54446C56"/>
    <w:rsid w:val="54474CB9"/>
    <w:rsid w:val="54A159E1"/>
    <w:rsid w:val="54E7132C"/>
    <w:rsid w:val="55517407"/>
    <w:rsid w:val="55AC0AE1"/>
    <w:rsid w:val="55C307C1"/>
    <w:rsid w:val="55D33A7D"/>
    <w:rsid w:val="55DC4864"/>
    <w:rsid w:val="55E95892"/>
    <w:rsid w:val="56000EA6"/>
    <w:rsid w:val="5604091D"/>
    <w:rsid w:val="56114DE8"/>
    <w:rsid w:val="562D07D0"/>
    <w:rsid w:val="562E599A"/>
    <w:rsid w:val="563B3C13"/>
    <w:rsid w:val="56582A17"/>
    <w:rsid w:val="56680EAC"/>
    <w:rsid w:val="56694C24"/>
    <w:rsid w:val="567710EF"/>
    <w:rsid w:val="567B1298"/>
    <w:rsid w:val="568D0913"/>
    <w:rsid w:val="569E0124"/>
    <w:rsid w:val="56C95184"/>
    <w:rsid w:val="572A3955"/>
    <w:rsid w:val="579E445A"/>
    <w:rsid w:val="57A35F14"/>
    <w:rsid w:val="57B679F5"/>
    <w:rsid w:val="57DA7978"/>
    <w:rsid w:val="58445001"/>
    <w:rsid w:val="58694A68"/>
    <w:rsid w:val="58A75590"/>
    <w:rsid w:val="58AB02D9"/>
    <w:rsid w:val="58BF0B2C"/>
    <w:rsid w:val="58E9797C"/>
    <w:rsid w:val="590649AC"/>
    <w:rsid w:val="591C7D2C"/>
    <w:rsid w:val="593C3F2A"/>
    <w:rsid w:val="59554FEC"/>
    <w:rsid w:val="59611BE3"/>
    <w:rsid w:val="59757734"/>
    <w:rsid w:val="59831B59"/>
    <w:rsid w:val="599D70BF"/>
    <w:rsid w:val="59E36A9C"/>
    <w:rsid w:val="59F7427D"/>
    <w:rsid w:val="59FF605A"/>
    <w:rsid w:val="5A2F1CE1"/>
    <w:rsid w:val="5A607778"/>
    <w:rsid w:val="5A6D395A"/>
    <w:rsid w:val="5A99606D"/>
    <w:rsid w:val="5B6339F0"/>
    <w:rsid w:val="5B7420A1"/>
    <w:rsid w:val="5B7F17B9"/>
    <w:rsid w:val="5BDE576D"/>
    <w:rsid w:val="5BF979BC"/>
    <w:rsid w:val="5BFE5E0F"/>
    <w:rsid w:val="5C0A47B4"/>
    <w:rsid w:val="5C0E6052"/>
    <w:rsid w:val="5C3655A9"/>
    <w:rsid w:val="5C6C0FCA"/>
    <w:rsid w:val="5C8E0F41"/>
    <w:rsid w:val="5C9D73D6"/>
    <w:rsid w:val="5CB5471F"/>
    <w:rsid w:val="5CBB218F"/>
    <w:rsid w:val="5CC20BEA"/>
    <w:rsid w:val="5CD32DF8"/>
    <w:rsid w:val="5CFC40FC"/>
    <w:rsid w:val="5D557CB0"/>
    <w:rsid w:val="5D9422F4"/>
    <w:rsid w:val="5DA54794"/>
    <w:rsid w:val="5DF625FF"/>
    <w:rsid w:val="5E08087F"/>
    <w:rsid w:val="5E1C432A"/>
    <w:rsid w:val="5E565A8E"/>
    <w:rsid w:val="5E785A05"/>
    <w:rsid w:val="5ED90476"/>
    <w:rsid w:val="5F2D2C93"/>
    <w:rsid w:val="5F435614"/>
    <w:rsid w:val="5F551185"/>
    <w:rsid w:val="5F655DAB"/>
    <w:rsid w:val="5F721C62"/>
    <w:rsid w:val="5F8D3732"/>
    <w:rsid w:val="5FA62A45"/>
    <w:rsid w:val="5FBF1411"/>
    <w:rsid w:val="60712CDB"/>
    <w:rsid w:val="60714E01"/>
    <w:rsid w:val="60733FE4"/>
    <w:rsid w:val="60C56EFB"/>
    <w:rsid w:val="6106379C"/>
    <w:rsid w:val="61181721"/>
    <w:rsid w:val="613368C6"/>
    <w:rsid w:val="61A15272"/>
    <w:rsid w:val="61A71DB7"/>
    <w:rsid w:val="61A84853"/>
    <w:rsid w:val="62402CDD"/>
    <w:rsid w:val="624D71A8"/>
    <w:rsid w:val="625B6C51"/>
    <w:rsid w:val="626F29FD"/>
    <w:rsid w:val="62A96AD4"/>
    <w:rsid w:val="62BE1E54"/>
    <w:rsid w:val="62C90F25"/>
    <w:rsid w:val="637416D7"/>
    <w:rsid w:val="63CE121C"/>
    <w:rsid w:val="63E91153"/>
    <w:rsid w:val="64053365"/>
    <w:rsid w:val="644621C4"/>
    <w:rsid w:val="644914B8"/>
    <w:rsid w:val="645962D8"/>
    <w:rsid w:val="64721148"/>
    <w:rsid w:val="64850E7B"/>
    <w:rsid w:val="649015CE"/>
    <w:rsid w:val="64A07A63"/>
    <w:rsid w:val="64BB1B06"/>
    <w:rsid w:val="65016EC6"/>
    <w:rsid w:val="65071890"/>
    <w:rsid w:val="65121F1A"/>
    <w:rsid w:val="65424FBE"/>
    <w:rsid w:val="65652A5B"/>
    <w:rsid w:val="6618187B"/>
    <w:rsid w:val="661857BE"/>
    <w:rsid w:val="661A55F3"/>
    <w:rsid w:val="66377965"/>
    <w:rsid w:val="66483099"/>
    <w:rsid w:val="669C425A"/>
    <w:rsid w:val="66AA4299"/>
    <w:rsid w:val="66BE68C6"/>
    <w:rsid w:val="66C60DE4"/>
    <w:rsid w:val="66E63727"/>
    <w:rsid w:val="67185FD7"/>
    <w:rsid w:val="672C7CD4"/>
    <w:rsid w:val="674360BD"/>
    <w:rsid w:val="67472BF3"/>
    <w:rsid w:val="67C60E14"/>
    <w:rsid w:val="67F60B3E"/>
    <w:rsid w:val="6813679E"/>
    <w:rsid w:val="682D5AB2"/>
    <w:rsid w:val="684626D0"/>
    <w:rsid w:val="68495351"/>
    <w:rsid w:val="68582403"/>
    <w:rsid w:val="68B43ADD"/>
    <w:rsid w:val="68BB130F"/>
    <w:rsid w:val="68C3600F"/>
    <w:rsid w:val="68CB2588"/>
    <w:rsid w:val="68E343C2"/>
    <w:rsid w:val="68F760C0"/>
    <w:rsid w:val="6949691B"/>
    <w:rsid w:val="69855479"/>
    <w:rsid w:val="69D81A4D"/>
    <w:rsid w:val="6A070584"/>
    <w:rsid w:val="6A2633D5"/>
    <w:rsid w:val="6A4A545B"/>
    <w:rsid w:val="6A535578"/>
    <w:rsid w:val="6ACB15B2"/>
    <w:rsid w:val="6AD93CCF"/>
    <w:rsid w:val="6ADF6E0B"/>
    <w:rsid w:val="6AEF170B"/>
    <w:rsid w:val="6B142F59"/>
    <w:rsid w:val="6B2036AC"/>
    <w:rsid w:val="6B2C2051"/>
    <w:rsid w:val="6B347157"/>
    <w:rsid w:val="6B92489C"/>
    <w:rsid w:val="6BAA593E"/>
    <w:rsid w:val="6BC30EC2"/>
    <w:rsid w:val="6BCE26DE"/>
    <w:rsid w:val="6BD47E0B"/>
    <w:rsid w:val="6C5B3C67"/>
    <w:rsid w:val="6D140FEE"/>
    <w:rsid w:val="6D3D27A5"/>
    <w:rsid w:val="6D45564C"/>
    <w:rsid w:val="6D5C0AAF"/>
    <w:rsid w:val="6D611D5A"/>
    <w:rsid w:val="6D646F97"/>
    <w:rsid w:val="6D6B4986"/>
    <w:rsid w:val="6D6C2BD8"/>
    <w:rsid w:val="6D8A1731"/>
    <w:rsid w:val="6D8F4B19"/>
    <w:rsid w:val="6DA85BDA"/>
    <w:rsid w:val="6DA87988"/>
    <w:rsid w:val="6DDB7D5E"/>
    <w:rsid w:val="6E1F7678"/>
    <w:rsid w:val="6E3D1ADB"/>
    <w:rsid w:val="6E737F96"/>
    <w:rsid w:val="6EA463A2"/>
    <w:rsid w:val="6EC72090"/>
    <w:rsid w:val="6F103A37"/>
    <w:rsid w:val="6F392F8E"/>
    <w:rsid w:val="6F8A5598"/>
    <w:rsid w:val="6F9F1D2F"/>
    <w:rsid w:val="6FAD74D8"/>
    <w:rsid w:val="6FC5117A"/>
    <w:rsid w:val="6FD607DD"/>
    <w:rsid w:val="701F03D6"/>
    <w:rsid w:val="702C1E9C"/>
    <w:rsid w:val="70480FAF"/>
    <w:rsid w:val="706202C3"/>
    <w:rsid w:val="708B7819"/>
    <w:rsid w:val="709A5CAE"/>
    <w:rsid w:val="70BB4DC3"/>
    <w:rsid w:val="70CB230C"/>
    <w:rsid w:val="70D34D1C"/>
    <w:rsid w:val="70DA254F"/>
    <w:rsid w:val="71107D1F"/>
    <w:rsid w:val="71306613"/>
    <w:rsid w:val="71445C1A"/>
    <w:rsid w:val="71541EF8"/>
    <w:rsid w:val="717C3606"/>
    <w:rsid w:val="718801FD"/>
    <w:rsid w:val="71C8684B"/>
    <w:rsid w:val="71EA0570"/>
    <w:rsid w:val="71F4319C"/>
    <w:rsid w:val="72587BCF"/>
    <w:rsid w:val="72800ED4"/>
    <w:rsid w:val="72BB015E"/>
    <w:rsid w:val="73031A70"/>
    <w:rsid w:val="73306456"/>
    <w:rsid w:val="73373C88"/>
    <w:rsid w:val="733C129F"/>
    <w:rsid w:val="735379F9"/>
    <w:rsid w:val="7375655F"/>
    <w:rsid w:val="73B63659"/>
    <w:rsid w:val="741915E0"/>
    <w:rsid w:val="7440091B"/>
    <w:rsid w:val="74820F33"/>
    <w:rsid w:val="748E5B2A"/>
    <w:rsid w:val="74B135C7"/>
    <w:rsid w:val="74DA2B1D"/>
    <w:rsid w:val="74E76FE8"/>
    <w:rsid w:val="74EE0377"/>
    <w:rsid w:val="74F17E67"/>
    <w:rsid w:val="74F31E31"/>
    <w:rsid w:val="75053620"/>
    <w:rsid w:val="751A510C"/>
    <w:rsid w:val="751B1357"/>
    <w:rsid w:val="753438E2"/>
    <w:rsid w:val="755A5A0C"/>
    <w:rsid w:val="755C1784"/>
    <w:rsid w:val="75750A52"/>
    <w:rsid w:val="75AE0E41"/>
    <w:rsid w:val="75C4732A"/>
    <w:rsid w:val="75C8506C"/>
    <w:rsid w:val="75F53987"/>
    <w:rsid w:val="76143E0D"/>
    <w:rsid w:val="76261160"/>
    <w:rsid w:val="7682521B"/>
    <w:rsid w:val="76A72ED3"/>
    <w:rsid w:val="76BD44A5"/>
    <w:rsid w:val="76D57A40"/>
    <w:rsid w:val="77040325"/>
    <w:rsid w:val="772464D5"/>
    <w:rsid w:val="77852348"/>
    <w:rsid w:val="77B51620"/>
    <w:rsid w:val="77BC29AE"/>
    <w:rsid w:val="77C6382D"/>
    <w:rsid w:val="77FF289B"/>
    <w:rsid w:val="78104AA8"/>
    <w:rsid w:val="78362761"/>
    <w:rsid w:val="783E7867"/>
    <w:rsid w:val="785B21C7"/>
    <w:rsid w:val="78D52782"/>
    <w:rsid w:val="78D6184E"/>
    <w:rsid w:val="78EC72C3"/>
    <w:rsid w:val="78F77D47"/>
    <w:rsid w:val="79077C59"/>
    <w:rsid w:val="79110AD8"/>
    <w:rsid w:val="79247842"/>
    <w:rsid w:val="7961380D"/>
    <w:rsid w:val="79995109"/>
    <w:rsid w:val="79AC1FDF"/>
    <w:rsid w:val="79B55907"/>
    <w:rsid w:val="79BA4CCB"/>
    <w:rsid w:val="79CC49FF"/>
    <w:rsid w:val="7A205E5C"/>
    <w:rsid w:val="7A770E0E"/>
    <w:rsid w:val="7A911ED0"/>
    <w:rsid w:val="7A984F70"/>
    <w:rsid w:val="7AA25287"/>
    <w:rsid w:val="7AEA15E0"/>
    <w:rsid w:val="7AEA338E"/>
    <w:rsid w:val="7B0F1047"/>
    <w:rsid w:val="7B2F5245"/>
    <w:rsid w:val="7B711D02"/>
    <w:rsid w:val="7B7F136A"/>
    <w:rsid w:val="7C4B2553"/>
    <w:rsid w:val="7C72188D"/>
    <w:rsid w:val="7C8B1B3D"/>
    <w:rsid w:val="7C991510"/>
    <w:rsid w:val="7CC3658D"/>
    <w:rsid w:val="7CDE33C7"/>
    <w:rsid w:val="7CDF37CB"/>
    <w:rsid w:val="7CF96AFE"/>
    <w:rsid w:val="7D143354"/>
    <w:rsid w:val="7D605B8A"/>
    <w:rsid w:val="7D6B2EAC"/>
    <w:rsid w:val="7D6E6E0A"/>
    <w:rsid w:val="7D7B6E68"/>
    <w:rsid w:val="7D7D04EA"/>
    <w:rsid w:val="7DA41F1A"/>
    <w:rsid w:val="7DB06C08"/>
    <w:rsid w:val="7DC223A1"/>
    <w:rsid w:val="7DC508F1"/>
    <w:rsid w:val="7DE71E07"/>
    <w:rsid w:val="7DED1B13"/>
    <w:rsid w:val="7E857F9E"/>
    <w:rsid w:val="7EF23159"/>
    <w:rsid w:val="7EF944E8"/>
    <w:rsid w:val="7F052E8D"/>
    <w:rsid w:val="7F5160D2"/>
    <w:rsid w:val="7F8518D8"/>
    <w:rsid w:val="7FB0104A"/>
    <w:rsid w:val="7FBB6549"/>
    <w:rsid w:val="7FFD591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qFormat="1" w:uiPriority="99" w:semiHidden="0"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6"/>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7"/>
    <w:qFormat/>
    <w:locked/>
    <w:uiPriority w:val="99"/>
    <w:pPr>
      <w:keepNext/>
      <w:keepLines/>
      <w:spacing w:before="260" w:after="260" w:line="416" w:lineRule="auto"/>
      <w:outlineLvl w:val="1"/>
    </w:pPr>
    <w:rPr>
      <w:rFonts w:ascii="Cambria" w:hAnsi="Cambria"/>
      <w:b/>
      <w:bCs/>
      <w:sz w:val="32"/>
      <w:szCs w:val="32"/>
    </w:rPr>
  </w:style>
  <w:style w:type="paragraph" w:styleId="5">
    <w:name w:val="heading 3"/>
    <w:basedOn w:val="1"/>
    <w:next w:val="1"/>
    <w:link w:val="38"/>
    <w:qFormat/>
    <w:locked/>
    <w:uiPriority w:val="99"/>
    <w:pPr>
      <w:keepNext/>
      <w:keepLines/>
      <w:spacing w:before="260" w:after="260" w:line="416" w:lineRule="auto"/>
      <w:ind w:left="425"/>
      <w:outlineLvl w:val="2"/>
    </w:pPr>
    <w:rPr>
      <w:rFonts w:ascii="Arial" w:hAnsi="Arial" w:cs="宋体"/>
      <w:b/>
      <w:bCs/>
      <w:sz w:val="32"/>
      <w:szCs w:val="32"/>
    </w:rPr>
  </w:style>
  <w:style w:type="paragraph" w:styleId="6">
    <w:name w:val="heading 4"/>
    <w:basedOn w:val="1"/>
    <w:next w:val="1"/>
    <w:link w:val="39"/>
    <w:qFormat/>
    <w:locked/>
    <w:uiPriority w:val="99"/>
    <w:pPr>
      <w:keepNext/>
      <w:keepLines/>
      <w:spacing w:before="280" w:after="290" w:line="376" w:lineRule="auto"/>
      <w:ind w:left="425"/>
      <w:outlineLvl w:val="3"/>
    </w:pPr>
    <w:rPr>
      <w:rFonts w:ascii="Cambria" w:hAnsi="Cambria"/>
      <w:b/>
      <w:bCs/>
      <w:sz w:val="28"/>
      <w:szCs w:val="28"/>
    </w:rPr>
  </w:style>
  <w:style w:type="paragraph" w:styleId="7">
    <w:name w:val="heading 5"/>
    <w:basedOn w:val="1"/>
    <w:next w:val="1"/>
    <w:link w:val="40"/>
    <w:qFormat/>
    <w:locked/>
    <w:uiPriority w:val="99"/>
    <w:pPr>
      <w:keepNext/>
      <w:keepLines/>
      <w:spacing w:before="120" w:after="120"/>
      <w:outlineLvl w:val="4"/>
    </w:pPr>
    <w:rPr>
      <w:rFonts w:ascii="Calibri" w:hAnsi="Calibri" w:eastAsia="微软雅黑"/>
      <w:b/>
      <w:bCs/>
      <w:sz w:val="24"/>
      <w:szCs w:val="28"/>
    </w:rPr>
  </w:style>
  <w:style w:type="paragraph" w:styleId="8">
    <w:name w:val="heading 6"/>
    <w:basedOn w:val="1"/>
    <w:next w:val="1"/>
    <w:link w:val="41"/>
    <w:qFormat/>
    <w:locked/>
    <w:uiPriority w:val="99"/>
    <w:pPr>
      <w:keepNext/>
      <w:keepLines/>
      <w:spacing w:after="120"/>
      <w:outlineLvl w:val="5"/>
    </w:pPr>
    <w:rPr>
      <w:rFonts w:ascii="Cambria" w:hAnsi="Cambria"/>
      <w:b/>
      <w:bCs/>
      <w:sz w:val="24"/>
    </w:rPr>
  </w:style>
  <w:style w:type="paragraph" w:styleId="9">
    <w:name w:val="heading 7"/>
    <w:basedOn w:val="1"/>
    <w:next w:val="1"/>
    <w:link w:val="42"/>
    <w:qFormat/>
    <w:locked/>
    <w:uiPriority w:val="99"/>
    <w:pPr>
      <w:keepNext/>
      <w:keepLines/>
      <w:spacing w:before="240" w:after="64" w:line="320" w:lineRule="auto"/>
      <w:ind w:left="1296" w:hanging="1296"/>
      <w:outlineLvl w:val="6"/>
    </w:pPr>
    <w:rPr>
      <w:rFonts w:ascii="Calibri" w:hAnsi="Calibri"/>
      <w:b/>
      <w:bCs/>
      <w:sz w:val="24"/>
    </w:rPr>
  </w:style>
  <w:style w:type="paragraph" w:styleId="10">
    <w:name w:val="heading 8"/>
    <w:basedOn w:val="1"/>
    <w:next w:val="1"/>
    <w:link w:val="43"/>
    <w:qFormat/>
    <w:locked/>
    <w:uiPriority w:val="99"/>
    <w:pPr>
      <w:keepNext/>
      <w:keepLines/>
      <w:spacing w:before="240" w:after="64" w:line="320" w:lineRule="auto"/>
      <w:ind w:left="1440" w:hanging="1440"/>
      <w:outlineLvl w:val="7"/>
    </w:pPr>
    <w:rPr>
      <w:rFonts w:ascii="Calibri Light" w:hAnsi="Calibri Light"/>
      <w:sz w:val="24"/>
    </w:rPr>
  </w:style>
  <w:style w:type="paragraph" w:styleId="11">
    <w:name w:val="heading 9"/>
    <w:basedOn w:val="1"/>
    <w:next w:val="1"/>
    <w:link w:val="44"/>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locked/>
    <w:uiPriority w:val="99"/>
    <w:pPr>
      <w:ind w:left="600" w:leftChars="600"/>
    </w:pPr>
    <w:rPr>
      <w:rFonts w:ascii="Verdana" w:hAnsi="Verdana"/>
      <w:szCs w:val="20"/>
    </w:rPr>
  </w:style>
  <w:style w:type="paragraph" w:styleId="12">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3">
    <w:name w:val="Document Map"/>
    <w:basedOn w:val="1"/>
    <w:link w:val="45"/>
    <w:semiHidden/>
    <w:qFormat/>
    <w:uiPriority w:val="99"/>
    <w:pPr>
      <w:shd w:val="clear" w:color="auto" w:fill="000080"/>
    </w:pPr>
    <w:rPr>
      <w:kern w:val="0"/>
      <w:sz w:val="2"/>
      <w:szCs w:val="20"/>
    </w:rPr>
  </w:style>
  <w:style w:type="paragraph" w:styleId="14">
    <w:name w:val="annotation text"/>
    <w:basedOn w:val="1"/>
    <w:link w:val="76"/>
    <w:unhideWhenUsed/>
    <w:qFormat/>
    <w:locked/>
    <w:uiPriority w:val="0"/>
    <w:pPr>
      <w:jc w:val="left"/>
    </w:pPr>
  </w:style>
  <w:style w:type="paragraph" w:styleId="15">
    <w:name w:val="Body Text"/>
    <w:basedOn w:val="1"/>
    <w:link w:val="46"/>
    <w:qFormat/>
    <w:uiPriority w:val="99"/>
    <w:pPr>
      <w:spacing w:after="120"/>
    </w:pPr>
    <w:rPr>
      <w:sz w:val="24"/>
      <w:szCs w:val="20"/>
    </w:rPr>
  </w:style>
  <w:style w:type="paragraph" w:styleId="16">
    <w:name w:val="Body Text Indent"/>
    <w:basedOn w:val="1"/>
    <w:link w:val="80"/>
    <w:qFormat/>
    <w:locked/>
    <w:uiPriority w:val="0"/>
    <w:pPr>
      <w:spacing w:after="120"/>
      <w:ind w:left="420" w:leftChars="200"/>
    </w:pPr>
  </w:style>
  <w:style w:type="paragraph" w:styleId="17">
    <w:name w:val="toc 3"/>
    <w:basedOn w:val="1"/>
    <w:next w:val="1"/>
    <w:qFormat/>
    <w:locked/>
    <w:uiPriority w:val="99"/>
    <w:pPr>
      <w:ind w:left="840" w:leftChars="400"/>
    </w:pPr>
    <w:rPr>
      <w:rFonts w:ascii="Calibri" w:hAnsi="Calibri"/>
      <w:szCs w:val="22"/>
    </w:rPr>
  </w:style>
  <w:style w:type="paragraph" w:styleId="18">
    <w:name w:val="Plain Text"/>
    <w:basedOn w:val="1"/>
    <w:link w:val="47"/>
    <w:qFormat/>
    <w:uiPriority w:val="99"/>
    <w:pPr>
      <w:jc w:val="left"/>
    </w:pPr>
    <w:rPr>
      <w:rFonts w:ascii="宋体" w:hAnsi="Courier New"/>
      <w:kern w:val="0"/>
      <w:szCs w:val="20"/>
    </w:rPr>
  </w:style>
  <w:style w:type="paragraph" w:styleId="19">
    <w:name w:val="Date"/>
    <w:basedOn w:val="1"/>
    <w:next w:val="1"/>
    <w:link w:val="48"/>
    <w:qFormat/>
    <w:uiPriority w:val="99"/>
    <w:pPr>
      <w:ind w:left="2500" w:leftChars="2500"/>
    </w:pPr>
    <w:rPr>
      <w:rFonts w:eastAsia="黑体"/>
      <w:kern w:val="0"/>
      <w:sz w:val="24"/>
      <w:szCs w:val="20"/>
    </w:rPr>
  </w:style>
  <w:style w:type="paragraph" w:styleId="20">
    <w:name w:val="Balloon Text"/>
    <w:basedOn w:val="1"/>
    <w:link w:val="49"/>
    <w:semiHidden/>
    <w:qFormat/>
    <w:uiPriority w:val="99"/>
    <w:rPr>
      <w:sz w:val="18"/>
      <w:szCs w:val="20"/>
    </w:rPr>
  </w:style>
  <w:style w:type="paragraph" w:styleId="21">
    <w:name w:val="footer"/>
    <w:basedOn w:val="1"/>
    <w:link w:val="50"/>
    <w:qFormat/>
    <w:uiPriority w:val="99"/>
    <w:pPr>
      <w:tabs>
        <w:tab w:val="center" w:pos="4153"/>
        <w:tab w:val="right" w:pos="8306"/>
      </w:tabs>
      <w:snapToGrid w:val="0"/>
      <w:jc w:val="left"/>
    </w:pPr>
    <w:rPr>
      <w:sz w:val="18"/>
      <w:szCs w:val="20"/>
    </w:rPr>
  </w:style>
  <w:style w:type="paragraph" w:styleId="22">
    <w:name w:val="header"/>
    <w:basedOn w:val="1"/>
    <w:link w:val="51"/>
    <w:qFormat/>
    <w:uiPriority w:val="99"/>
    <w:pPr>
      <w:pBdr>
        <w:bottom w:val="single" w:color="auto" w:sz="6" w:space="1"/>
      </w:pBdr>
      <w:tabs>
        <w:tab w:val="center" w:pos="4153"/>
        <w:tab w:val="right" w:pos="8306"/>
      </w:tabs>
      <w:snapToGrid w:val="0"/>
      <w:jc w:val="center"/>
    </w:pPr>
    <w:rPr>
      <w:sz w:val="18"/>
      <w:szCs w:val="20"/>
    </w:rPr>
  </w:style>
  <w:style w:type="paragraph" w:styleId="23">
    <w:name w:val="toc 1"/>
    <w:basedOn w:val="1"/>
    <w:next w:val="1"/>
    <w:qFormat/>
    <w:locked/>
    <w:uiPriority w:val="39"/>
  </w:style>
  <w:style w:type="paragraph" w:styleId="24">
    <w:name w:val="toc 2"/>
    <w:basedOn w:val="1"/>
    <w:next w:val="1"/>
    <w:qFormat/>
    <w:locked/>
    <w:uiPriority w:val="39"/>
    <w:pPr>
      <w:ind w:left="420" w:leftChars="200"/>
    </w:pPr>
  </w:style>
  <w:style w:type="paragraph" w:styleId="25">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6">
    <w:name w:val="Title"/>
    <w:basedOn w:val="1"/>
    <w:next w:val="1"/>
    <w:link w:val="52"/>
    <w:qFormat/>
    <w:locked/>
    <w:uiPriority w:val="99"/>
    <w:pPr>
      <w:spacing w:before="240" w:after="60"/>
      <w:jc w:val="center"/>
      <w:outlineLvl w:val="0"/>
    </w:pPr>
    <w:rPr>
      <w:rFonts w:ascii="Cambria" w:hAnsi="Cambria"/>
      <w:b/>
      <w:bCs/>
      <w:sz w:val="32"/>
      <w:szCs w:val="32"/>
    </w:rPr>
  </w:style>
  <w:style w:type="paragraph" w:styleId="27">
    <w:name w:val="annotation subject"/>
    <w:basedOn w:val="14"/>
    <w:next w:val="14"/>
    <w:link w:val="77"/>
    <w:semiHidden/>
    <w:unhideWhenUsed/>
    <w:qFormat/>
    <w:locked/>
    <w:uiPriority w:val="99"/>
    <w:rPr>
      <w:b/>
      <w:bCs/>
    </w:rPr>
  </w:style>
  <w:style w:type="table" w:styleId="29">
    <w:name w:val="Table Grid"/>
    <w:basedOn w:val="28"/>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Strong"/>
    <w:basedOn w:val="30"/>
    <w:qFormat/>
    <w:locked/>
    <w:uiPriority w:val="22"/>
    <w:rPr>
      <w:rFonts w:cs="Times New Roman"/>
      <w:b/>
      <w:bCs/>
    </w:rPr>
  </w:style>
  <w:style w:type="character" w:styleId="32">
    <w:name w:val="page number"/>
    <w:qFormat/>
    <w:uiPriority w:val="99"/>
    <w:rPr>
      <w:rFonts w:cs="Times New Roman"/>
    </w:rPr>
  </w:style>
  <w:style w:type="character" w:styleId="33">
    <w:name w:val="FollowedHyperlink"/>
    <w:qFormat/>
    <w:uiPriority w:val="99"/>
    <w:rPr>
      <w:rFonts w:cs="Times New Roman"/>
      <w:color w:val="800080"/>
      <w:u w:val="single"/>
    </w:rPr>
  </w:style>
  <w:style w:type="character" w:styleId="34">
    <w:name w:val="Hyperlink"/>
    <w:qFormat/>
    <w:uiPriority w:val="99"/>
    <w:rPr>
      <w:rFonts w:cs="Times New Roman"/>
      <w:color w:val="0000FF"/>
      <w:u w:val="single"/>
    </w:rPr>
  </w:style>
  <w:style w:type="character" w:styleId="35">
    <w:name w:val="annotation reference"/>
    <w:semiHidden/>
    <w:unhideWhenUsed/>
    <w:qFormat/>
    <w:locked/>
    <w:uiPriority w:val="99"/>
    <w:rPr>
      <w:sz w:val="21"/>
      <w:szCs w:val="21"/>
    </w:rPr>
  </w:style>
  <w:style w:type="character" w:customStyle="1" w:styleId="36">
    <w:name w:val="标题 1 字符"/>
    <w:link w:val="3"/>
    <w:qFormat/>
    <w:locked/>
    <w:uiPriority w:val="99"/>
    <w:rPr>
      <w:b/>
      <w:kern w:val="44"/>
      <w:sz w:val="44"/>
    </w:rPr>
  </w:style>
  <w:style w:type="character" w:customStyle="1" w:styleId="37">
    <w:name w:val="标题 2 字符"/>
    <w:link w:val="4"/>
    <w:qFormat/>
    <w:locked/>
    <w:uiPriority w:val="99"/>
    <w:rPr>
      <w:rFonts w:ascii="Cambria" w:hAnsi="Cambria" w:eastAsia="宋体"/>
      <w:b/>
      <w:kern w:val="2"/>
      <w:sz w:val="32"/>
    </w:rPr>
  </w:style>
  <w:style w:type="character" w:customStyle="1" w:styleId="38">
    <w:name w:val="标题 3 字符"/>
    <w:link w:val="5"/>
    <w:qFormat/>
    <w:locked/>
    <w:uiPriority w:val="99"/>
    <w:rPr>
      <w:rFonts w:ascii="Arial" w:hAnsi="Arial" w:cs="宋体"/>
      <w:b/>
      <w:bCs/>
      <w:kern w:val="2"/>
      <w:sz w:val="32"/>
      <w:szCs w:val="32"/>
    </w:rPr>
  </w:style>
  <w:style w:type="character" w:customStyle="1" w:styleId="39">
    <w:name w:val="标题 4 字符"/>
    <w:link w:val="6"/>
    <w:qFormat/>
    <w:locked/>
    <w:uiPriority w:val="99"/>
    <w:rPr>
      <w:rFonts w:ascii="Cambria" w:hAnsi="Cambria" w:eastAsia="宋体" w:cs="Times New Roman"/>
      <w:b/>
      <w:bCs/>
      <w:kern w:val="2"/>
      <w:sz w:val="28"/>
      <w:szCs w:val="28"/>
    </w:rPr>
  </w:style>
  <w:style w:type="character" w:customStyle="1" w:styleId="40">
    <w:name w:val="标题 5 字符"/>
    <w:link w:val="7"/>
    <w:qFormat/>
    <w:locked/>
    <w:uiPriority w:val="99"/>
    <w:rPr>
      <w:rFonts w:ascii="Calibri" w:hAnsi="Calibri" w:eastAsia="微软雅黑" w:cs="Times New Roman"/>
      <w:b/>
      <w:bCs/>
      <w:kern w:val="2"/>
      <w:sz w:val="28"/>
      <w:szCs w:val="28"/>
    </w:rPr>
  </w:style>
  <w:style w:type="character" w:customStyle="1" w:styleId="41">
    <w:name w:val="标题 6 字符"/>
    <w:link w:val="8"/>
    <w:qFormat/>
    <w:locked/>
    <w:uiPriority w:val="99"/>
    <w:rPr>
      <w:rFonts w:ascii="Cambria" w:hAnsi="Cambria" w:cs="Times New Roman"/>
      <w:b/>
      <w:bCs/>
      <w:kern w:val="2"/>
      <w:sz w:val="24"/>
      <w:szCs w:val="24"/>
    </w:rPr>
  </w:style>
  <w:style w:type="character" w:customStyle="1" w:styleId="42">
    <w:name w:val="标题 7 字符"/>
    <w:link w:val="9"/>
    <w:qFormat/>
    <w:locked/>
    <w:uiPriority w:val="99"/>
    <w:rPr>
      <w:rFonts w:ascii="Calibri" w:hAnsi="Calibri" w:cs="Times New Roman"/>
      <w:b/>
      <w:bCs/>
      <w:kern w:val="2"/>
      <w:sz w:val="24"/>
      <w:szCs w:val="24"/>
    </w:rPr>
  </w:style>
  <w:style w:type="character" w:customStyle="1" w:styleId="43">
    <w:name w:val="标题 8 字符"/>
    <w:link w:val="10"/>
    <w:qFormat/>
    <w:locked/>
    <w:uiPriority w:val="99"/>
    <w:rPr>
      <w:rFonts w:ascii="Calibri Light" w:hAnsi="Calibri Light" w:cs="Times New Roman"/>
      <w:kern w:val="2"/>
      <w:sz w:val="24"/>
      <w:szCs w:val="24"/>
    </w:rPr>
  </w:style>
  <w:style w:type="character" w:customStyle="1" w:styleId="44">
    <w:name w:val="标题 9 字符"/>
    <w:link w:val="11"/>
    <w:qFormat/>
    <w:locked/>
    <w:uiPriority w:val="99"/>
    <w:rPr>
      <w:rFonts w:ascii="Cambria" w:hAnsi="Cambria" w:cs="Times New Roman"/>
      <w:i/>
      <w:iCs/>
      <w:caps/>
      <w:spacing w:val="10"/>
    </w:rPr>
  </w:style>
  <w:style w:type="character" w:customStyle="1" w:styleId="45">
    <w:name w:val="文档结构图 字符"/>
    <w:link w:val="13"/>
    <w:semiHidden/>
    <w:qFormat/>
    <w:locked/>
    <w:uiPriority w:val="99"/>
    <w:rPr>
      <w:sz w:val="2"/>
    </w:rPr>
  </w:style>
  <w:style w:type="character" w:customStyle="1" w:styleId="46">
    <w:name w:val="正文文本 字符"/>
    <w:link w:val="15"/>
    <w:qFormat/>
    <w:locked/>
    <w:uiPriority w:val="99"/>
    <w:rPr>
      <w:kern w:val="2"/>
      <w:sz w:val="24"/>
    </w:rPr>
  </w:style>
  <w:style w:type="character" w:customStyle="1" w:styleId="47">
    <w:name w:val="纯文本 字符"/>
    <w:link w:val="18"/>
    <w:semiHidden/>
    <w:qFormat/>
    <w:locked/>
    <w:uiPriority w:val="99"/>
    <w:rPr>
      <w:rFonts w:ascii="宋体" w:hAnsi="Courier New"/>
      <w:sz w:val="21"/>
    </w:rPr>
  </w:style>
  <w:style w:type="character" w:customStyle="1" w:styleId="48">
    <w:name w:val="日期 字符"/>
    <w:link w:val="19"/>
    <w:qFormat/>
    <w:locked/>
    <w:uiPriority w:val="99"/>
    <w:rPr>
      <w:rFonts w:eastAsia="黑体"/>
      <w:sz w:val="24"/>
    </w:rPr>
  </w:style>
  <w:style w:type="character" w:customStyle="1" w:styleId="49">
    <w:name w:val="批注框文本 字符"/>
    <w:link w:val="20"/>
    <w:semiHidden/>
    <w:qFormat/>
    <w:locked/>
    <w:uiPriority w:val="99"/>
    <w:rPr>
      <w:kern w:val="2"/>
      <w:sz w:val="18"/>
    </w:rPr>
  </w:style>
  <w:style w:type="character" w:customStyle="1" w:styleId="50">
    <w:name w:val="页脚 字符"/>
    <w:link w:val="21"/>
    <w:qFormat/>
    <w:locked/>
    <w:uiPriority w:val="99"/>
    <w:rPr>
      <w:kern w:val="2"/>
      <w:sz w:val="18"/>
    </w:rPr>
  </w:style>
  <w:style w:type="character" w:customStyle="1" w:styleId="51">
    <w:name w:val="页眉 字符"/>
    <w:link w:val="22"/>
    <w:qFormat/>
    <w:locked/>
    <w:uiPriority w:val="99"/>
    <w:rPr>
      <w:kern w:val="2"/>
      <w:sz w:val="18"/>
    </w:rPr>
  </w:style>
  <w:style w:type="character" w:customStyle="1" w:styleId="52">
    <w:name w:val="标题 字符"/>
    <w:link w:val="26"/>
    <w:qFormat/>
    <w:locked/>
    <w:uiPriority w:val="99"/>
    <w:rPr>
      <w:rFonts w:ascii="Cambria" w:hAnsi="Cambria" w:cs="Times New Roman"/>
      <w:b/>
      <w:bCs/>
      <w:kern w:val="2"/>
      <w:sz w:val="32"/>
      <w:szCs w:val="32"/>
    </w:rPr>
  </w:style>
  <w:style w:type="paragraph" w:customStyle="1" w:styleId="53">
    <w:name w:val="此正文"/>
    <w:basedOn w:val="1"/>
    <w:qFormat/>
    <w:uiPriority w:val="99"/>
    <w:pPr>
      <w:spacing w:line="360" w:lineRule="auto"/>
      <w:ind w:firstLine="200" w:firstLineChars="200"/>
    </w:pPr>
    <w:rPr>
      <w:sz w:val="24"/>
      <w:szCs w:val="20"/>
    </w:rPr>
  </w:style>
  <w:style w:type="paragraph" w:customStyle="1" w:styleId="54">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5">
    <w:name w:val="Char Char Char Char Char Char Char"/>
    <w:basedOn w:val="1"/>
    <w:semiHidden/>
    <w:qFormat/>
    <w:uiPriority w:val="99"/>
    <w:rPr>
      <w:rFonts w:ascii="Tahoma" w:hAnsi="Tahoma" w:cs="仿宋_GB2312"/>
      <w:sz w:val="24"/>
      <w:szCs w:val="28"/>
    </w:rPr>
  </w:style>
  <w:style w:type="paragraph" w:customStyle="1" w:styleId="56">
    <w:name w:val="Char Char Char Char"/>
    <w:basedOn w:val="13"/>
    <w:qFormat/>
    <w:uiPriority w:val="99"/>
    <w:pPr>
      <w:adjustRightInd w:val="0"/>
      <w:snapToGrid w:val="0"/>
      <w:spacing w:line="360" w:lineRule="auto"/>
    </w:pPr>
    <w:rPr>
      <w:rFonts w:ascii="Tahoma" w:hAnsi="Tahoma"/>
      <w:sz w:val="24"/>
    </w:rPr>
  </w:style>
  <w:style w:type="paragraph" w:customStyle="1" w:styleId="57">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8">
    <w:name w:val="List Paragraph"/>
    <w:basedOn w:val="1"/>
    <w:link w:val="60"/>
    <w:qFormat/>
    <w:uiPriority w:val="99"/>
    <w:pPr>
      <w:ind w:firstLine="420" w:firstLineChars="200"/>
    </w:pPr>
  </w:style>
  <w:style w:type="paragraph" w:customStyle="1" w:styleId="59">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60">
    <w:name w:val="列表段落 字符"/>
    <w:link w:val="58"/>
    <w:qFormat/>
    <w:locked/>
    <w:uiPriority w:val="99"/>
    <w:rPr>
      <w:kern w:val="2"/>
      <w:sz w:val="24"/>
    </w:rPr>
  </w:style>
  <w:style w:type="paragraph" w:customStyle="1" w:styleId="61">
    <w:name w:val="样式 首行缩进:  0 字符"/>
    <w:basedOn w:val="1"/>
    <w:link w:val="62"/>
    <w:qFormat/>
    <w:uiPriority w:val="99"/>
    <w:pPr>
      <w:spacing w:line="360" w:lineRule="auto"/>
      <w:ind w:firstLine="200" w:firstLineChars="200"/>
    </w:pPr>
    <w:rPr>
      <w:rFonts w:ascii="Arial" w:hAnsi="Arial"/>
      <w:sz w:val="24"/>
      <w:szCs w:val="20"/>
    </w:rPr>
  </w:style>
  <w:style w:type="character" w:customStyle="1" w:styleId="62">
    <w:name w:val="样式 首行缩进:  0 字符 Char"/>
    <w:link w:val="61"/>
    <w:qFormat/>
    <w:locked/>
    <w:uiPriority w:val="99"/>
    <w:rPr>
      <w:rFonts w:ascii="Arial" w:hAnsi="Arial"/>
      <w:kern w:val="2"/>
      <w:sz w:val="24"/>
    </w:rPr>
  </w:style>
  <w:style w:type="paragraph" w:styleId="63">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4">
    <w:name w:val="页眉 字符1"/>
    <w:qFormat/>
    <w:uiPriority w:val="99"/>
    <w:rPr>
      <w:rFonts w:ascii="Arial" w:hAnsi="Arial" w:eastAsia="宋体" w:cs="宋体"/>
      <w:sz w:val="18"/>
      <w:szCs w:val="18"/>
    </w:rPr>
  </w:style>
  <w:style w:type="character" w:customStyle="1" w:styleId="65">
    <w:name w:val="标题 1 字符1"/>
    <w:qFormat/>
    <w:uiPriority w:val="99"/>
    <w:rPr>
      <w:rFonts w:ascii="Arial" w:hAnsi="Arial" w:eastAsia="宋体" w:cs="宋体"/>
      <w:b/>
      <w:bCs/>
      <w:kern w:val="44"/>
      <w:sz w:val="44"/>
      <w:szCs w:val="44"/>
    </w:rPr>
  </w:style>
  <w:style w:type="paragraph" w:customStyle="1" w:styleId="66">
    <w:name w:val="GP正文(首行缩进)"/>
    <w:basedOn w:val="1"/>
    <w:qFormat/>
    <w:uiPriority w:val="99"/>
    <w:pPr>
      <w:spacing w:line="360" w:lineRule="auto"/>
      <w:ind w:firstLine="200" w:firstLineChars="200"/>
      <w:jc w:val="left"/>
    </w:pPr>
    <w:rPr>
      <w:szCs w:val="21"/>
    </w:rPr>
  </w:style>
  <w:style w:type="table" w:customStyle="1" w:styleId="67">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8">
    <w:name w:val="标题 2 Char1"/>
    <w:qFormat/>
    <w:uiPriority w:val="99"/>
    <w:rPr>
      <w:rFonts w:ascii="Cambria" w:hAnsi="Cambria" w:eastAsia="微软雅黑" w:cs="Times New Roman"/>
      <w:b/>
      <w:bCs/>
      <w:sz w:val="32"/>
      <w:szCs w:val="32"/>
    </w:rPr>
  </w:style>
  <w:style w:type="character" w:customStyle="1" w:styleId="69">
    <w:name w:val="font01"/>
    <w:qFormat/>
    <w:uiPriority w:val="99"/>
    <w:rPr>
      <w:rFonts w:ascii="宋体" w:hAnsi="宋体" w:eastAsia="宋体" w:cs="宋体"/>
      <w:color w:val="000000"/>
      <w:sz w:val="20"/>
      <w:szCs w:val="20"/>
      <w:u w:val="none"/>
    </w:rPr>
  </w:style>
  <w:style w:type="character" w:customStyle="1" w:styleId="70">
    <w:name w:val="font41"/>
    <w:qFormat/>
    <w:uiPriority w:val="99"/>
    <w:rPr>
      <w:rFonts w:ascii="宋体" w:hAnsi="宋体" w:eastAsia="宋体" w:cs="宋体"/>
      <w:color w:val="FF0000"/>
      <w:sz w:val="18"/>
      <w:szCs w:val="18"/>
      <w:u w:val="none"/>
    </w:rPr>
  </w:style>
  <w:style w:type="character" w:customStyle="1" w:styleId="71">
    <w:name w:val="font51"/>
    <w:qFormat/>
    <w:uiPriority w:val="99"/>
    <w:rPr>
      <w:rFonts w:ascii="宋体" w:hAnsi="宋体" w:eastAsia="宋体" w:cs="宋体"/>
      <w:color w:val="0070C0"/>
      <w:sz w:val="18"/>
      <w:szCs w:val="18"/>
      <w:u w:val="none"/>
    </w:rPr>
  </w:style>
  <w:style w:type="paragraph" w:customStyle="1" w:styleId="72">
    <w:name w:val="Char Char3 Char Char"/>
    <w:basedOn w:val="1"/>
    <w:qFormat/>
    <w:uiPriority w:val="99"/>
    <w:pPr>
      <w:widowControl/>
      <w:spacing w:after="160" w:line="240" w:lineRule="exact"/>
      <w:jc w:val="left"/>
    </w:pPr>
    <w:rPr>
      <w:rFonts w:ascii="Verdana" w:hAnsi="Verdana"/>
      <w:kern w:val="0"/>
      <w:szCs w:val="20"/>
    </w:rPr>
  </w:style>
  <w:style w:type="character" w:customStyle="1" w:styleId="73">
    <w:name w:val="font71"/>
    <w:qFormat/>
    <w:uiPriority w:val="99"/>
    <w:rPr>
      <w:rFonts w:ascii="微软雅黑" w:hAnsi="微软雅黑" w:eastAsia="微软雅黑" w:cs="微软雅黑"/>
      <w:color w:val="000000"/>
      <w:sz w:val="18"/>
      <w:szCs w:val="18"/>
      <w:u w:val="none"/>
    </w:rPr>
  </w:style>
  <w:style w:type="character" w:customStyle="1" w:styleId="74">
    <w:name w:val="font11"/>
    <w:qFormat/>
    <w:uiPriority w:val="99"/>
    <w:rPr>
      <w:rFonts w:ascii="宋体" w:hAnsi="宋体" w:eastAsia="宋体" w:cs="宋体"/>
      <w:color w:val="000000"/>
      <w:sz w:val="18"/>
      <w:szCs w:val="18"/>
      <w:u w:val="none"/>
    </w:rPr>
  </w:style>
  <w:style w:type="paragraph" w:customStyle="1" w:styleId="75">
    <w:name w:val="z-正文"/>
    <w:basedOn w:val="1"/>
    <w:qFormat/>
    <w:uiPriority w:val="99"/>
    <w:pPr>
      <w:spacing w:line="360" w:lineRule="auto"/>
      <w:ind w:firstLine="200" w:firstLineChars="200"/>
      <w:jc w:val="left"/>
    </w:pPr>
    <w:rPr>
      <w:kern w:val="0"/>
      <w:sz w:val="24"/>
      <w:szCs w:val="20"/>
      <w:lang w:eastAsia="en-US"/>
    </w:rPr>
  </w:style>
  <w:style w:type="character" w:customStyle="1" w:styleId="76">
    <w:name w:val="批注文字 字符"/>
    <w:link w:val="14"/>
    <w:qFormat/>
    <w:uiPriority w:val="0"/>
    <w:rPr>
      <w:kern w:val="2"/>
      <w:sz w:val="21"/>
      <w:szCs w:val="24"/>
    </w:rPr>
  </w:style>
  <w:style w:type="character" w:customStyle="1" w:styleId="77">
    <w:name w:val="批注主题 字符"/>
    <w:link w:val="27"/>
    <w:semiHidden/>
    <w:qFormat/>
    <w:uiPriority w:val="99"/>
    <w:rPr>
      <w:b/>
      <w:bCs/>
      <w:kern w:val="2"/>
      <w:sz w:val="21"/>
      <w:szCs w:val="24"/>
    </w:rPr>
  </w:style>
  <w:style w:type="paragraph" w:customStyle="1" w:styleId="78">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9">
    <w:name w:val="正文缩进1"/>
    <w:basedOn w:val="1"/>
    <w:qFormat/>
    <w:uiPriority w:val="0"/>
    <w:pPr>
      <w:widowControl/>
      <w:ind w:firstLine="420"/>
      <w:jc w:val="left"/>
    </w:pPr>
    <w:rPr>
      <w:rFonts w:ascii="Calibri" w:hAnsi="Calibri"/>
      <w:kern w:val="0"/>
    </w:rPr>
  </w:style>
  <w:style w:type="character" w:customStyle="1" w:styleId="80">
    <w:name w:val="正文文本缩进 字符"/>
    <w:basedOn w:val="30"/>
    <w:link w:val="16"/>
    <w:qFormat/>
    <w:uiPriority w:val="0"/>
    <w:rPr>
      <w:rFonts w:ascii="Times New Roman" w:hAnsi="Times New Roman"/>
      <w:kern w:val="2"/>
      <w:sz w:val="21"/>
      <w:szCs w:val="24"/>
    </w:rPr>
  </w:style>
  <w:style w:type="paragraph" w:customStyle="1" w:styleId="81">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632758-6BEB-4186-A370-370992894B5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23</Pages>
  <Words>9615</Words>
  <Characters>10480</Characters>
  <Lines>84</Lines>
  <Paragraphs>23</Paragraphs>
  <TotalTime>5</TotalTime>
  <ScaleCrop>false</ScaleCrop>
  <LinksUpToDate>false</LinksUpToDate>
  <CharactersWithSpaces>11394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2023-02-27T05:59:00Z</dcterms:created>
  <dc:creator>USER</dc:creator>
  <cp:lastModifiedBy>WPS_1569853917</cp:lastModifiedBy>
  <cp:lastPrinted>2023-06-01T06:57:00Z</cp:lastPrinted>
  <dcterms:modified xsi:type="dcterms:W3CDTF">2023-06-09T07:48:14Z</dcterms:modified>
  <dc:title>招  标  文  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7570DA629FF242168B839D9A9F927BF0_13</vt:lpwstr>
  </property>
</Properties>
</file>