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竞争性磋商采购文件</w:t>
      </w:r>
    </w:p>
    <w:p>
      <w:pPr>
        <w:rPr>
          <w:rFonts w:eastAsia="黑体"/>
          <w:color w:val="000000" w:themeColor="text1"/>
          <w:sz w:val="32"/>
          <w14:textFill>
            <w14:solidFill>
              <w14:schemeClr w14:val="tx1"/>
            </w14:solidFill>
          </w14:textFill>
        </w:rPr>
      </w:pPr>
      <w:r>
        <w:rPr>
          <w:rFonts w:eastAsia="黑体"/>
          <w:color w:val="000000" w:themeColor="text1"/>
          <w:sz w:val="32"/>
          <w14:textFill>
            <w14:solidFill>
              <w14:schemeClr w14:val="tx1"/>
            </w14:solidFill>
          </w14:textFill>
        </w:rPr>
        <w:t xml:space="preserve"> </w:t>
      </w:r>
    </w:p>
    <w:p>
      <w:pPr>
        <w:ind w:firstLine="1744" w:firstLineChars="545"/>
        <w:rPr>
          <w:rFonts w:ascii="宋体"/>
          <w:color w:val="000000" w:themeColor="text1"/>
          <w:sz w:val="32"/>
          <w14:textFill>
            <w14:solidFill>
              <w14:schemeClr w14:val="tx1"/>
            </w14:solidFill>
          </w14:textFill>
        </w:rPr>
      </w:pPr>
    </w:p>
    <w:p>
      <w:pPr>
        <w:spacing w:line="300" w:lineRule="auto"/>
        <w:ind w:firstLine="1928" w:firstLineChars="600"/>
        <w:rPr>
          <w:rFonts w:ascii="宋体"/>
          <w:b/>
          <w:color w:val="000000" w:themeColor="text1"/>
          <w:w w:val="95"/>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themeColor="text1"/>
          <w:w w:val="95"/>
          <w:sz w:val="32"/>
          <w:szCs w:val="32"/>
          <w14:textFill>
            <w14:solidFill>
              <w14:schemeClr w14:val="tx1"/>
            </w14:solidFill>
          </w14:textFill>
        </w:rPr>
        <w:t>教职工个人云存储服务</w:t>
      </w:r>
    </w:p>
    <w:p>
      <w:pPr>
        <w:spacing w:line="360" w:lineRule="auto"/>
        <w:ind w:firstLine="1928" w:firstLineChars="600"/>
        <w:rPr>
          <w:rFonts w:ascii="宋体"/>
          <w:color w:val="000000" w:themeColor="text1"/>
          <w:spacing w:val="4"/>
          <w:sz w:val="24"/>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TDFW(</w:t>
      </w:r>
      <w:r>
        <w:rPr>
          <w:rFonts w:hint="eastAsia" w:ascii="宋体" w:hAnsi="宋体"/>
          <w:b/>
          <w:color w:val="000000" w:themeColor="text1"/>
          <w:sz w:val="32"/>
          <w:szCs w:val="32"/>
          <w14:textFill>
            <w14:solidFill>
              <w14:schemeClr w14:val="tx1"/>
            </w14:solidFill>
          </w14:textFill>
        </w:rPr>
        <w:t>JC</w:t>
      </w:r>
      <w:r>
        <w:rPr>
          <w:rFonts w:ascii="宋体" w:hAnsi="宋体"/>
          <w:b/>
          <w:color w:val="000000" w:themeColor="text1"/>
          <w:sz w:val="32"/>
          <w:szCs w:val="32"/>
          <w14:textFill>
            <w14:solidFill>
              <w14:schemeClr w14:val="tx1"/>
            </w14:solidFill>
          </w14:textFill>
        </w:rPr>
        <w:t>)20</w:t>
      </w:r>
      <w:r>
        <w:rPr>
          <w:rFonts w:hint="eastAsia" w:ascii="宋体" w:hAnsi="宋体"/>
          <w:b/>
          <w:color w:val="000000" w:themeColor="text1"/>
          <w:sz w:val="32"/>
          <w:szCs w:val="32"/>
          <w14:textFill>
            <w14:solidFill>
              <w14:schemeClr w14:val="tx1"/>
            </w14:solidFill>
          </w14:textFill>
        </w:rPr>
        <w:t>20</w:t>
      </w:r>
      <w:r>
        <w:rPr>
          <w:rFonts w:ascii="宋体" w:hAnsi="宋体"/>
          <w:b/>
          <w:color w:val="000000" w:themeColor="text1"/>
          <w:sz w:val="32"/>
          <w:szCs w:val="32"/>
          <w14:textFill>
            <w14:solidFill>
              <w14:schemeClr w14:val="tx1"/>
            </w14:solidFill>
          </w14:textFill>
        </w:rPr>
        <w:t>-</w:t>
      </w:r>
      <w:r>
        <w:rPr>
          <w:rFonts w:hint="eastAsia" w:ascii="宋体" w:hAnsi="宋体"/>
          <w:b/>
          <w:color w:val="000000" w:themeColor="text1"/>
          <w:sz w:val="32"/>
          <w:szCs w:val="32"/>
          <w14:textFill>
            <w14:solidFill>
              <w14:schemeClr w14:val="tx1"/>
            </w14:solidFill>
          </w14:textFill>
        </w:rPr>
        <w:t>0</w:t>
      </w:r>
      <w:r>
        <w:rPr>
          <w:rFonts w:ascii="宋体" w:hAnsi="宋体"/>
          <w:b/>
          <w:color w:val="000000" w:themeColor="text1"/>
          <w:sz w:val="32"/>
          <w:szCs w:val="32"/>
          <w14:textFill>
            <w14:solidFill>
              <w14:schemeClr w14:val="tx1"/>
            </w14:solidFill>
          </w14:textFill>
        </w:rPr>
        <w:t>52</w:t>
      </w:r>
    </w:p>
    <w:p>
      <w:pPr>
        <w:spacing w:line="360" w:lineRule="auto"/>
        <w:ind w:firstLine="1606" w:firstLineChars="500"/>
        <w:rPr>
          <w:rFonts w:ascii="宋体"/>
          <w:b/>
          <w:color w:val="000000" w:themeColor="text1"/>
          <w:sz w:val="32"/>
          <w:szCs w:val="32"/>
          <w14:textFill>
            <w14:solidFill>
              <w14:schemeClr w14:val="tx1"/>
            </w14:solidFill>
          </w14:textFill>
        </w:rPr>
      </w:pP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1"/>
        <w:ind w:left="0" w:leftChars="0"/>
        <w:jc w:val="center"/>
        <w:rPr>
          <w:rFonts w:ascii="宋体" w:hAnsi="宋体" w:eastAsia="宋体"/>
          <w:color w:val="000000" w:themeColor="text1"/>
          <w:sz w:val="32"/>
          <w:szCs w:val="32"/>
          <w14:textFill>
            <w14:solidFill>
              <w14:schemeClr w14:val="tx1"/>
            </w14:solidFill>
          </w14:textFill>
        </w:rPr>
      </w:pPr>
      <w:r>
        <w:rPr>
          <w:rFonts w:ascii="宋体" w:hAnsi="宋体" w:eastAsia="宋体"/>
          <w:b/>
          <w:color w:val="000000" w:themeColor="text1"/>
          <w:sz w:val="32"/>
          <w:szCs w:val="32"/>
          <w14:textFill>
            <w14:solidFill>
              <w14:schemeClr w14:val="tx1"/>
            </w14:solidFill>
          </w14:textFill>
        </w:rPr>
        <w:t>20</w:t>
      </w:r>
      <w:r>
        <w:rPr>
          <w:rFonts w:hint="eastAsia" w:ascii="宋体" w:hAnsi="宋体" w:eastAsia="宋体"/>
          <w:b/>
          <w:color w:val="000000" w:themeColor="text1"/>
          <w:sz w:val="32"/>
          <w:szCs w:val="32"/>
          <w14:textFill>
            <w14:solidFill>
              <w14:schemeClr w14:val="tx1"/>
            </w14:solidFill>
          </w14:textFill>
        </w:rPr>
        <w:t>20年</w:t>
      </w:r>
      <w:r>
        <w:rPr>
          <w:rFonts w:hint="eastAsia" w:ascii="宋体" w:hAnsi="宋体" w:eastAsia="宋体"/>
          <w:b/>
          <w:color w:val="000000" w:themeColor="text1"/>
          <w:sz w:val="32"/>
          <w:szCs w:val="32"/>
          <w:lang w:val="en-US" w:eastAsia="zh-CN"/>
          <w14:textFill>
            <w14:solidFill>
              <w14:schemeClr w14:val="tx1"/>
            </w14:solidFill>
          </w14:textFill>
        </w:rPr>
        <w:t>7</w:t>
      </w:r>
      <w:r>
        <w:rPr>
          <w:rFonts w:hint="eastAsia" w:ascii="宋体" w:hAnsi="宋体" w:eastAsia="宋体"/>
          <w:b/>
          <w:color w:val="000000" w:themeColor="text1"/>
          <w:sz w:val="32"/>
          <w:szCs w:val="32"/>
          <w14:textFill>
            <w14:solidFill>
              <w14:schemeClr w14:val="tx1"/>
            </w14:solidFill>
          </w14:textFill>
        </w:rPr>
        <w:t>月</w:t>
      </w:r>
    </w:p>
    <w:p>
      <w:pPr>
        <w:spacing w:after="312" w:afterLines="100" w:line="500" w:lineRule="exact"/>
        <w:jc w:val="center"/>
      </w:pPr>
      <w:r>
        <w:rPr>
          <w:rStyle w:val="25"/>
          <w:rFonts w:hint="eastAsia" w:eastAsia="黑体"/>
          <w:bCs/>
          <w:color w:val="000000" w:themeColor="text1"/>
          <w:sz w:val="48"/>
          <w:u w:val="none"/>
          <w14:textFill>
            <w14:solidFill>
              <w14:schemeClr w14:val="tx1"/>
            </w14:solidFill>
          </w14:textFill>
        </w:rPr>
        <w:t>目</w:t>
      </w:r>
      <w:r>
        <w:rPr>
          <w:rStyle w:val="25"/>
          <w:rFonts w:eastAsia="黑体"/>
          <w:bCs/>
          <w:color w:val="000000" w:themeColor="text1"/>
          <w:sz w:val="48"/>
          <w:u w:val="none"/>
          <w14:textFill>
            <w14:solidFill>
              <w14:schemeClr w14:val="tx1"/>
            </w14:solidFill>
          </w14:textFill>
        </w:rPr>
        <w:t xml:space="preserve">  </w:t>
      </w:r>
      <w:r>
        <w:rPr>
          <w:rStyle w:val="25"/>
          <w:rFonts w:hint="eastAsia" w:eastAsia="黑体"/>
          <w:bCs/>
          <w:color w:val="000000" w:themeColor="text1"/>
          <w:sz w:val="48"/>
          <w:u w:val="none"/>
          <w14:textFill>
            <w14:solidFill>
              <w14:schemeClr w14:val="tx1"/>
            </w14:solidFill>
          </w14:textFill>
        </w:rPr>
        <w:t>录</w:t>
      </w:r>
      <w:r>
        <w:rPr>
          <w:rStyle w:val="25"/>
          <w:rFonts w:eastAsia="黑体"/>
          <w:bCs/>
          <w:color w:val="000000" w:themeColor="text1"/>
          <w:sz w:val="24"/>
          <w:u w:val="none"/>
          <w14:textFill>
            <w14:solidFill>
              <w14:schemeClr w14:val="tx1"/>
            </w14:solidFill>
          </w14:textFill>
        </w:rPr>
        <w:fldChar w:fldCharType="begin"/>
      </w:r>
      <w:r>
        <w:rPr>
          <w:rStyle w:val="25"/>
          <w:rFonts w:eastAsia="黑体"/>
          <w:bCs/>
          <w:color w:val="000000" w:themeColor="text1"/>
          <w:sz w:val="24"/>
          <w:u w:val="none"/>
          <w14:textFill>
            <w14:solidFill>
              <w14:schemeClr w14:val="tx1"/>
            </w14:solidFill>
          </w14:textFill>
        </w:rPr>
        <w:instrText xml:space="preserve"> TOC \o "1-3" \h \z \u </w:instrText>
      </w:r>
      <w:r>
        <w:rPr>
          <w:rStyle w:val="25"/>
          <w:rFonts w:eastAsia="黑体"/>
          <w:bCs/>
          <w:color w:val="000000" w:themeColor="text1"/>
          <w:sz w:val="24"/>
          <w:u w:val="none"/>
          <w14:textFill>
            <w14:solidFill>
              <w14:schemeClr w14:val="tx1"/>
            </w14:solidFill>
          </w14:textFill>
        </w:rPr>
        <w:fldChar w:fldCharType="separate"/>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"_Toc42777857" </w:instrText>
      </w:r>
      <w:r>
        <w:fldChar w:fldCharType="separate"/>
      </w:r>
      <w:r>
        <w:rPr>
          <w:rStyle w:val="26"/>
          <w:rFonts w:hint="eastAsia"/>
        </w:rPr>
        <w:t>第一部分</w:t>
      </w:r>
      <w:r>
        <w:rPr>
          <w:rStyle w:val="26"/>
        </w:rPr>
        <w:t xml:space="preserve">   </w:t>
      </w:r>
      <w:r>
        <w:rPr>
          <w:rStyle w:val="26"/>
          <w:rFonts w:hint="eastAsia"/>
        </w:rPr>
        <w:t>竞争性磋商采购</w:t>
      </w:r>
      <w:r>
        <w:tab/>
      </w:r>
      <w:r>
        <w:fldChar w:fldCharType="begin"/>
      </w:r>
      <w:r>
        <w:instrText xml:space="preserve"> PAGEREF _Toc42777857 \h </w:instrText>
      </w:r>
      <w:r>
        <w:fldChar w:fldCharType="separate"/>
      </w:r>
      <w:r>
        <w:t>2</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"_Toc42777858" </w:instrText>
      </w:r>
      <w:r>
        <w:fldChar w:fldCharType="separate"/>
      </w:r>
      <w:r>
        <w:rPr>
          <w:rStyle w:val="26"/>
          <w:rFonts w:hint="eastAsia"/>
        </w:rPr>
        <w:t>第二部分</w:t>
      </w:r>
      <w:r>
        <w:rPr>
          <w:rStyle w:val="26"/>
        </w:rPr>
        <w:t xml:space="preserve">  </w:t>
      </w:r>
      <w:r>
        <w:rPr>
          <w:rStyle w:val="26"/>
          <w:rFonts w:hint="eastAsia"/>
        </w:rPr>
        <w:t>投标人须知</w:t>
      </w:r>
      <w:r>
        <w:tab/>
      </w:r>
      <w:r>
        <w:fldChar w:fldCharType="begin"/>
      </w:r>
      <w:r>
        <w:instrText xml:space="preserve"> PAGEREF _Toc42777858 \h </w:instrText>
      </w:r>
      <w:r>
        <w:fldChar w:fldCharType="separate"/>
      </w:r>
      <w:r>
        <w:t>4</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"_Toc42777859" </w:instrText>
      </w:r>
      <w:r>
        <w:fldChar w:fldCharType="separate"/>
      </w:r>
      <w:r>
        <w:rPr>
          <w:rStyle w:val="26"/>
          <w:rFonts w:hint="eastAsia"/>
        </w:rPr>
        <w:t>一、竞争性磋商文件</w:t>
      </w:r>
      <w:r>
        <w:tab/>
      </w:r>
      <w:r>
        <w:fldChar w:fldCharType="begin"/>
      </w:r>
      <w:r>
        <w:instrText xml:space="preserve"> PAGEREF _Toc42777859 \h </w:instrText>
      </w:r>
      <w:r>
        <w:fldChar w:fldCharType="separate"/>
      </w:r>
      <w:r>
        <w:t>4</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"_Toc42777860" </w:instrText>
      </w:r>
      <w:r>
        <w:fldChar w:fldCharType="separate"/>
      </w:r>
      <w:r>
        <w:rPr>
          <w:rStyle w:val="26"/>
          <w:rFonts w:hint="eastAsia"/>
        </w:rPr>
        <w:t>二、投标文件</w:t>
      </w:r>
      <w:r>
        <w:tab/>
      </w:r>
      <w:r>
        <w:fldChar w:fldCharType="begin"/>
      </w:r>
      <w:r>
        <w:instrText xml:space="preserve"> PAGEREF _Toc42777860 \h </w:instrText>
      </w:r>
      <w:r>
        <w:fldChar w:fldCharType="separate"/>
      </w:r>
      <w:r>
        <w:t>5</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"_Toc42777861" </w:instrText>
      </w:r>
      <w:r>
        <w:fldChar w:fldCharType="separate"/>
      </w:r>
      <w:r>
        <w:rPr>
          <w:rStyle w:val="26"/>
          <w:rFonts w:hint="eastAsia"/>
        </w:rPr>
        <w:t>三、投标细则</w:t>
      </w:r>
      <w:r>
        <w:tab/>
      </w:r>
      <w:r>
        <w:fldChar w:fldCharType="begin"/>
      </w:r>
      <w:r>
        <w:instrText xml:space="preserve"> PAGEREF _Toc42777861 \h </w:instrText>
      </w:r>
      <w:r>
        <w:fldChar w:fldCharType="separate"/>
      </w:r>
      <w:r>
        <w:t>6</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"_Toc42777862" </w:instrText>
      </w:r>
      <w:r>
        <w:fldChar w:fldCharType="separate"/>
      </w:r>
      <w:r>
        <w:rPr>
          <w:rStyle w:val="26"/>
          <w:rFonts w:hint="eastAsia"/>
        </w:rPr>
        <w:t>四、谈判</w:t>
      </w:r>
      <w:r>
        <w:tab/>
      </w:r>
      <w:r>
        <w:fldChar w:fldCharType="begin"/>
      </w:r>
      <w:r>
        <w:instrText xml:space="preserve"> PAGEREF _Toc42777862 \h </w:instrText>
      </w:r>
      <w:r>
        <w:fldChar w:fldCharType="separate"/>
      </w:r>
      <w:r>
        <w:t>7</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"_Toc42777863" </w:instrText>
      </w:r>
      <w:r>
        <w:fldChar w:fldCharType="separate"/>
      </w:r>
      <w:r>
        <w:rPr>
          <w:rStyle w:val="26"/>
          <w:rFonts w:hint="eastAsia"/>
        </w:rPr>
        <w:t>五、竞争性磋商方法及评判标准</w:t>
      </w:r>
      <w:r>
        <w:tab/>
      </w:r>
      <w:r>
        <w:fldChar w:fldCharType="begin"/>
      </w:r>
      <w:r>
        <w:instrText xml:space="preserve"> PAGEREF _Toc42777863 \h </w:instrText>
      </w:r>
      <w:r>
        <w:fldChar w:fldCharType="separate"/>
      </w:r>
      <w:r>
        <w:t>9</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"_Toc42777864" </w:instrText>
      </w:r>
      <w:r>
        <w:fldChar w:fldCharType="separate"/>
      </w:r>
      <w:r>
        <w:rPr>
          <w:rStyle w:val="26"/>
          <w:rFonts w:hint="eastAsia"/>
        </w:rPr>
        <w:t>六、</w:t>
      </w:r>
      <w:r>
        <w:rPr>
          <w:rStyle w:val="26"/>
        </w:rPr>
        <w:t xml:space="preserve"> </w:t>
      </w:r>
      <w:r>
        <w:rPr>
          <w:rStyle w:val="26"/>
          <w:rFonts w:hint="eastAsia"/>
        </w:rPr>
        <w:t>定标</w:t>
      </w:r>
      <w:r>
        <w:tab/>
      </w:r>
      <w:r>
        <w:fldChar w:fldCharType="begin"/>
      </w:r>
      <w:r>
        <w:instrText xml:space="preserve"> PAGEREF _Toc42777864 \h </w:instrText>
      </w:r>
      <w:r>
        <w:fldChar w:fldCharType="separate"/>
      </w:r>
      <w:r>
        <w:t>12</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"_Toc42777865" </w:instrText>
      </w:r>
      <w:r>
        <w:fldChar w:fldCharType="separate"/>
      </w:r>
      <w:r>
        <w:rPr>
          <w:rStyle w:val="26"/>
          <w:rFonts w:hint="eastAsia"/>
        </w:rPr>
        <w:t>七、合同的签订</w:t>
      </w:r>
      <w:r>
        <w:tab/>
      </w:r>
      <w:r>
        <w:fldChar w:fldCharType="begin"/>
      </w:r>
      <w:r>
        <w:instrText xml:space="preserve"> PAGEREF _Toc42777865 \h </w:instrText>
      </w:r>
      <w:r>
        <w:fldChar w:fldCharType="separate"/>
      </w:r>
      <w:r>
        <w:t>12</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"_Toc42777866" </w:instrText>
      </w:r>
      <w:r>
        <w:fldChar w:fldCharType="separate"/>
      </w:r>
      <w:r>
        <w:rPr>
          <w:rStyle w:val="26"/>
          <w:rFonts w:hint="eastAsia" w:ascii="宋体" w:hAnsi="宋体"/>
        </w:rPr>
        <w:t>八、其他</w:t>
      </w:r>
      <w:r>
        <w:tab/>
      </w:r>
      <w:r>
        <w:fldChar w:fldCharType="begin"/>
      </w:r>
      <w:r>
        <w:instrText xml:space="preserve"> PAGEREF _Toc42777866 \h </w:instrText>
      </w:r>
      <w:r>
        <w:fldChar w:fldCharType="separate"/>
      </w:r>
      <w:r>
        <w:t>12</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"_Toc42777867" </w:instrText>
      </w:r>
      <w:r>
        <w:fldChar w:fldCharType="separate"/>
      </w:r>
      <w:r>
        <w:rPr>
          <w:rStyle w:val="26"/>
          <w:rFonts w:hint="eastAsia"/>
        </w:rPr>
        <w:t>第三部分</w:t>
      </w:r>
      <w:r>
        <w:rPr>
          <w:rStyle w:val="26"/>
        </w:rPr>
        <w:t xml:space="preserve">  </w:t>
      </w:r>
      <w:r>
        <w:rPr>
          <w:rStyle w:val="26"/>
          <w:rFonts w:hint="eastAsia"/>
        </w:rPr>
        <w:t>采购项目要求及相关说明</w:t>
      </w:r>
      <w:r>
        <w:tab/>
      </w:r>
      <w:r>
        <w:fldChar w:fldCharType="begin"/>
      </w:r>
      <w:r>
        <w:instrText xml:space="preserve"> PAGEREF _Toc42777867 \h </w:instrText>
      </w:r>
      <w:r>
        <w:fldChar w:fldCharType="separate"/>
      </w:r>
      <w:r>
        <w:t>13</w:t>
      </w:r>
      <w:r>
        <w:fldChar w:fldCharType="end"/>
      </w:r>
      <w:r>
        <w:fldChar w:fldCharType="end"/>
      </w:r>
    </w:p>
    <w:p>
      <w:pPr>
        <w:pStyle w:val="15"/>
        <w:tabs>
          <w:tab w:val="right" w:leader="dot" w:pos="8834"/>
        </w:tabs>
        <w:rPr>
          <w:rFonts w:asciiTheme="minorHAnsi" w:hAnsiTheme="minorHAnsi" w:eastAsiaTheme="minorEastAsia" w:cstheme="minorBidi"/>
          <w:szCs w:val="22"/>
        </w:rPr>
      </w:pPr>
      <w:r>
        <w:fldChar w:fldCharType="begin"/>
      </w:r>
      <w:r>
        <w:instrText xml:space="preserve"> HYPERLINK \l "_Toc42777882" </w:instrText>
      </w:r>
      <w:r>
        <w:fldChar w:fldCharType="separate"/>
      </w:r>
      <w:r>
        <w:rPr>
          <w:rStyle w:val="26"/>
          <w:rFonts w:hint="eastAsia"/>
        </w:rPr>
        <w:t>第四部分</w:t>
      </w:r>
      <w:r>
        <w:rPr>
          <w:rStyle w:val="26"/>
        </w:rPr>
        <w:t xml:space="preserve"> </w:t>
      </w:r>
      <w:r>
        <w:rPr>
          <w:rStyle w:val="26"/>
          <w:rFonts w:hint="eastAsia"/>
        </w:rPr>
        <w:t>合同主要条款</w:t>
      </w:r>
      <w:r>
        <w:tab/>
      </w:r>
      <w:r>
        <w:fldChar w:fldCharType="begin"/>
      </w:r>
      <w:r>
        <w:instrText xml:space="preserve"> PAGEREF _Toc42777882 \h </w:instrText>
      </w:r>
      <w:r>
        <w:fldChar w:fldCharType="separate"/>
      </w:r>
      <w:r>
        <w:t>18</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"_Toc42777883" </w:instrText>
      </w:r>
      <w:r>
        <w:fldChar w:fldCharType="separate"/>
      </w:r>
      <w:r>
        <w:rPr>
          <w:rStyle w:val="26"/>
          <w:rFonts w:hint="eastAsia" w:ascii="宋体" w:hAnsi="宋体"/>
        </w:rPr>
        <w:t>附件</w:t>
      </w:r>
      <w:r>
        <w:rPr>
          <w:rStyle w:val="26"/>
          <w:rFonts w:ascii="宋体" w:hAnsi="宋体"/>
        </w:rPr>
        <w:t>1</w:t>
      </w:r>
      <w:r>
        <w:rPr>
          <w:rStyle w:val="26"/>
          <w:rFonts w:hint="eastAsia" w:ascii="宋体" w:hAnsi="宋体"/>
        </w:rPr>
        <w:t>：投标函</w:t>
      </w:r>
      <w:r>
        <w:tab/>
      </w:r>
      <w:r>
        <w:fldChar w:fldCharType="begin"/>
      </w:r>
      <w:r>
        <w:instrText xml:space="preserve"> PAGEREF _Toc42777883 \h </w:instrText>
      </w:r>
      <w:r>
        <w:fldChar w:fldCharType="separate"/>
      </w:r>
      <w:r>
        <w:t>20</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"_Toc42777884" </w:instrText>
      </w:r>
      <w:r>
        <w:fldChar w:fldCharType="separate"/>
      </w:r>
      <w:r>
        <w:rPr>
          <w:rStyle w:val="26"/>
          <w:rFonts w:hint="eastAsia" w:ascii="宋体" w:hAnsi="宋体"/>
        </w:rPr>
        <w:t>附件</w:t>
      </w:r>
      <w:r>
        <w:rPr>
          <w:rStyle w:val="26"/>
          <w:rFonts w:ascii="宋体" w:hAnsi="宋体"/>
        </w:rPr>
        <w:t>2</w:t>
      </w:r>
      <w:r>
        <w:rPr>
          <w:rStyle w:val="26"/>
          <w:rFonts w:hint="eastAsia" w:ascii="宋体" w:hAnsi="宋体"/>
        </w:rPr>
        <w:t>：投</w:t>
      </w:r>
      <w:r>
        <w:rPr>
          <w:rStyle w:val="26"/>
          <w:rFonts w:ascii="宋体" w:hAnsi="宋体"/>
        </w:rPr>
        <w:t xml:space="preserve"> </w:t>
      </w:r>
      <w:r>
        <w:rPr>
          <w:rStyle w:val="26"/>
          <w:rFonts w:hint="eastAsia" w:ascii="宋体" w:hAnsi="宋体"/>
        </w:rPr>
        <w:t>标</w:t>
      </w:r>
      <w:r>
        <w:rPr>
          <w:rStyle w:val="26"/>
          <w:rFonts w:ascii="宋体" w:hAnsi="宋体"/>
        </w:rPr>
        <w:t xml:space="preserve"> </w:t>
      </w:r>
      <w:r>
        <w:rPr>
          <w:rStyle w:val="26"/>
          <w:rFonts w:hint="eastAsia" w:ascii="宋体" w:hAnsi="宋体"/>
        </w:rPr>
        <w:t>报</w:t>
      </w:r>
      <w:r>
        <w:rPr>
          <w:rStyle w:val="26"/>
          <w:rFonts w:ascii="宋体" w:hAnsi="宋体"/>
        </w:rPr>
        <w:t xml:space="preserve"> </w:t>
      </w:r>
      <w:r>
        <w:rPr>
          <w:rStyle w:val="26"/>
          <w:rFonts w:hint="eastAsia" w:ascii="宋体" w:hAnsi="宋体"/>
        </w:rPr>
        <w:t>价</w:t>
      </w:r>
      <w:r>
        <w:rPr>
          <w:rStyle w:val="26"/>
          <w:rFonts w:ascii="宋体" w:hAnsi="宋体"/>
        </w:rPr>
        <w:t xml:space="preserve"> </w:t>
      </w:r>
      <w:r>
        <w:rPr>
          <w:rStyle w:val="26"/>
          <w:rFonts w:hint="eastAsia" w:ascii="宋体" w:hAnsi="宋体"/>
        </w:rPr>
        <w:t>总</w:t>
      </w:r>
      <w:r>
        <w:rPr>
          <w:rStyle w:val="26"/>
          <w:rFonts w:ascii="宋体" w:hAnsi="宋体"/>
        </w:rPr>
        <w:t xml:space="preserve"> </w:t>
      </w:r>
      <w:r>
        <w:rPr>
          <w:rStyle w:val="26"/>
          <w:rFonts w:hint="eastAsia" w:ascii="宋体" w:hAnsi="宋体"/>
        </w:rPr>
        <w:t>表</w:t>
      </w:r>
      <w:r>
        <w:tab/>
      </w:r>
      <w:r>
        <w:fldChar w:fldCharType="begin"/>
      </w:r>
      <w:r>
        <w:instrText xml:space="preserve"> PAGEREF _Toc42777884 \h </w:instrText>
      </w:r>
      <w:r>
        <w:fldChar w:fldCharType="separate"/>
      </w:r>
      <w:r>
        <w:t>21</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"_Toc42777885" </w:instrText>
      </w:r>
      <w:r>
        <w:fldChar w:fldCharType="separate"/>
      </w:r>
      <w:r>
        <w:rPr>
          <w:rStyle w:val="26"/>
          <w:rFonts w:hint="eastAsia" w:ascii="宋体" w:hAnsi="宋体"/>
        </w:rPr>
        <w:t>附件</w:t>
      </w:r>
      <w:r>
        <w:rPr>
          <w:rStyle w:val="26"/>
          <w:rFonts w:ascii="宋体" w:hAnsi="宋体"/>
        </w:rPr>
        <w:t>3</w:t>
      </w:r>
      <w:r>
        <w:rPr>
          <w:rStyle w:val="26"/>
          <w:rFonts w:hint="eastAsia" w:ascii="宋体" w:hAnsi="宋体"/>
        </w:rPr>
        <w:t>：配置清单及分项报价表</w:t>
      </w:r>
      <w:r>
        <w:tab/>
      </w:r>
      <w:r>
        <w:fldChar w:fldCharType="begin"/>
      </w:r>
      <w:r>
        <w:instrText xml:space="preserve"> PAGEREF _Toc42777885 \h </w:instrText>
      </w:r>
      <w:r>
        <w:fldChar w:fldCharType="separate"/>
      </w:r>
      <w:r>
        <w:t>22</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"_Toc42777886" </w:instrText>
      </w:r>
      <w:r>
        <w:fldChar w:fldCharType="separate"/>
      </w:r>
      <w:r>
        <w:rPr>
          <w:rStyle w:val="26"/>
          <w:rFonts w:hint="eastAsia" w:ascii="宋体" w:hAnsi="宋体"/>
        </w:rPr>
        <w:t>附件</w:t>
      </w:r>
      <w:r>
        <w:rPr>
          <w:rStyle w:val="26"/>
          <w:rFonts w:ascii="宋体" w:hAnsi="宋体"/>
        </w:rPr>
        <w:t>4</w:t>
      </w:r>
      <w:r>
        <w:rPr>
          <w:rStyle w:val="26"/>
          <w:rFonts w:hint="eastAsia" w:ascii="宋体" w:hAnsi="宋体"/>
        </w:rPr>
        <w:t>：技术规格响应</w:t>
      </w:r>
      <w:r>
        <w:rPr>
          <w:rStyle w:val="26"/>
          <w:rFonts w:ascii="宋体" w:hAnsi="宋体"/>
        </w:rPr>
        <w:t>/</w:t>
      </w:r>
      <w:r>
        <w:rPr>
          <w:rStyle w:val="26"/>
          <w:rFonts w:hint="eastAsia" w:ascii="宋体" w:hAnsi="宋体"/>
        </w:rPr>
        <w:t>偏离表</w:t>
      </w:r>
      <w:r>
        <w:tab/>
      </w:r>
      <w:r>
        <w:fldChar w:fldCharType="begin"/>
      </w:r>
      <w:r>
        <w:instrText xml:space="preserve"> PAGEREF _Toc42777886 \h </w:instrText>
      </w:r>
      <w:r>
        <w:fldChar w:fldCharType="separate"/>
      </w:r>
      <w:r>
        <w:t>23</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"_Toc42777887" </w:instrText>
      </w:r>
      <w:r>
        <w:fldChar w:fldCharType="separate"/>
      </w:r>
      <w:r>
        <w:rPr>
          <w:rStyle w:val="26"/>
          <w:rFonts w:hint="eastAsia" w:ascii="宋体" w:hAnsi="宋体"/>
        </w:rPr>
        <w:t>附件</w:t>
      </w:r>
      <w:r>
        <w:rPr>
          <w:rStyle w:val="26"/>
          <w:rFonts w:ascii="宋体" w:hAnsi="宋体"/>
        </w:rPr>
        <w:t>5</w:t>
      </w:r>
      <w:r>
        <w:rPr>
          <w:rStyle w:val="26"/>
          <w:rFonts w:hint="eastAsia" w:ascii="宋体" w:hAnsi="宋体"/>
        </w:rPr>
        <w:t>：商务条款响应</w:t>
      </w:r>
      <w:r>
        <w:rPr>
          <w:rStyle w:val="26"/>
          <w:rFonts w:ascii="宋体" w:hAnsi="宋体"/>
        </w:rPr>
        <w:t>/</w:t>
      </w:r>
      <w:r>
        <w:rPr>
          <w:rStyle w:val="26"/>
          <w:rFonts w:hint="eastAsia" w:ascii="宋体" w:hAnsi="宋体"/>
        </w:rPr>
        <w:t>偏离表</w:t>
      </w:r>
      <w:r>
        <w:tab/>
      </w:r>
      <w:r>
        <w:fldChar w:fldCharType="begin"/>
      </w:r>
      <w:r>
        <w:instrText xml:space="preserve"> PAGEREF _Toc42777887 \h </w:instrText>
      </w:r>
      <w:r>
        <w:fldChar w:fldCharType="separate"/>
      </w:r>
      <w:r>
        <w:t>24</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"_Toc42777888" </w:instrText>
      </w:r>
      <w:r>
        <w:fldChar w:fldCharType="separate"/>
      </w:r>
      <w:r>
        <w:rPr>
          <w:rStyle w:val="26"/>
          <w:rFonts w:hint="eastAsia" w:ascii="宋体" w:hAnsi="宋体"/>
        </w:rPr>
        <w:t>附件</w:t>
      </w:r>
      <w:r>
        <w:rPr>
          <w:rStyle w:val="26"/>
          <w:rFonts w:ascii="宋体" w:hAnsi="宋体"/>
        </w:rPr>
        <w:t>6</w:t>
      </w:r>
      <w:r>
        <w:rPr>
          <w:rStyle w:val="26"/>
          <w:rFonts w:hint="eastAsia" w:ascii="宋体" w:hAnsi="宋体"/>
        </w:rPr>
        <w:t>：法定代表人资格证明</w:t>
      </w:r>
      <w:r>
        <w:tab/>
      </w:r>
      <w:r>
        <w:fldChar w:fldCharType="begin"/>
      </w:r>
      <w:r>
        <w:instrText xml:space="preserve"> PAGEREF _Toc42777888 \h </w:instrText>
      </w:r>
      <w:r>
        <w:fldChar w:fldCharType="separate"/>
      </w:r>
      <w:r>
        <w:t>25</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"_Toc42777889" </w:instrText>
      </w:r>
      <w:r>
        <w:fldChar w:fldCharType="separate"/>
      </w:r>
      <w:r>
        <w:rPr>
          <w:rStyle w:val="26"/>
          <w:rFonts w:hint="eastAsia" w:ascii="宋体" w:hAnsi="宋体"/>
        </w:rPr>
        <w:t>附件</w:t>
      </w:r>
      <w:r>
        <w:rPr>
          <w:rStyle w:val="26"/>
          <w:rFonts w:ascii="宋体" w:hAnsi="宋体"/>
        </w:rPr>
        <w:t>7</w:t>
      </w:r>
      <w:r>
        <w:rPr>
          <w:rStyle w:val="26"/>
          <w:rFonts w:hint="eastAsia" w:ascii="宋体" w:hAnsi="宋体"/>
        </w:rPr>
        <w:t>：法定代表人授权书</w:t>
      </w:r>
      <w:r>
        <w:tab/>
      </w:r>
      <w:r>
        <w:fldChar w:fldCharType="begin"/>
      </w:r>
      <w:r>
        <w:instrText xml:space="preserve"> PAGEREF _Toc42777889 \h </w:instrText>
      </w:r>
      <w:r>
        <w:fldChar w:fldCharType="separate"/>
      </w:r>
      <w:r>
        <w:t>25</w:t>
      </w:r>
      <w:r>
        <w:fldChar w:fldCharType="end"/>
      </w:r>
      <w:r>
        <w:fldChar w:fldCharType="end"/>
      </w:r>
    </w:p>
    <w:p>
      <w:pPr>
        <w:pStyle w:val="16"/>
        <w:tabs>
          <w:tab w:val="right" w:leader="dot" w:pos="8834"/>
        </w:tabs>
        <w:rPr>
          <w:rFonts w:asciiTheme="minorHAnsi" w:hAnsiTheme="minorHAnsi" w:eastAsiaTheme="minorEastAsia" w:cstheme="minorBidi"/>
          <w:szCs w:val="22"/>
        </w:rPr>
      </w:pPr>
      <w:r>
        <w:fldChar w:fldCharType="begin"/>
      </w:r>
      <w:r>
        <w:instrText xml:space="preserve"> HYPERLINK \l "_Toc42777890" </w:instrText>
      </w:r>
      <w:r>
        <w:fldChar w:fldCharType="separate"/>
      </w:r>
      <w:r>
        <w:rPr>
          <w:rStyle w:val="26"/>
          <w:rFonts w:hint="eastAsia" w:ascii="宋体" w:hAnsi="宋体"/>
        </w:rPr>
        <w:t>附件</w:t>
      </w:r>
      <w:r>
        <w:rPr>
          <w:rStyle w:val="26"/>
          <w:rFonts w:ascii="宋体" w:hAnsi="宋体"/>
        </w:rPr>
        <w:t>8</w:t>
      </w:r>
      <w:r>
        <w:rPr>
          <w:rStyle w:val="26"/>
          <w:rFonts w:hint="eastAsia" w:ascii="宋体" w:hAnsi="宋体"/>
        </w:rPr>
        <w:t>：南通大学采购谈判二次报价单</w:t>
      </w:r>
      <w:r>
        <w:tab/>
      </w:r>
      <w:r>
        <w:fldChar w:fldCharType="begin"/>
      </w:r>
      <w:r>
        <w:instrText xml:space="preserve"> PAGEREF _Toc42777890 \h </w:instrText>
      </w:r>
      <w:r>
        <w:fldChar w:fldCharType="separate"/>
      </w:r>
      <w:r>
        <w:t>27</w:t>
      </w:r>
      <w:r>
        <w:fldChar w:fldCharType="end"/>
      </w:r>
      <w:r>
        <w:fldChar w:fldCharType="end"/>
      </w:r>
    </w:p>
    <w:p>
      <w:pPr>
        <w:spacing w:after="312" w:afterLines="100" w:line="500" w:lineRule="exact"/>
        <w:jc w:val="center"/>
        <w:rPr>
          <w:rFonts w:ascii="宋体"/>
          <w:bCs/>
          <w:color w:val="000000" w:themeColor="text1"/>
          <w:sz w:val="30"/>
          <w:szCs w:val="30"/>
          <w14:textFill>
            <w14:solidFill>
              <w14:schemeClr w14:val="tx1"/>
            </w14:solidFill>
          </w14:textFill>
        </w:rPr>
      </w:pPr>
      <w:r>
        <w:rPr>
          <w:rStyle w:val="25"/>
          <w:rFonts w:eastAsia="黑体"/>
          <w:bCs/>
          <w:color w:val="000000" w:themeColor="text1"/>
          <w:sz w:val="24"/>
          <w:u w:val="none"/>
          <w14:textFill>
            <w14:solidFill>
              <w14:schemeClr w14:val="tx1"/>
            </w14:solidFill>
          </w14:textFill>
        </w:rPr>
        <w:fldChar w:fldCharType="end"/>
      </w:r>
      <w:r>
        <w:rPr>
          <w:rFonts w:ascii="宋体"/>
          <w:bCs/>
          <w:color w:val="000000" w:themeColor="text1"/>
          <w:sz w:val="30"/>
          <w:szCs w:val="30"/>
          <w14:textFill>
            <w14:solidFill>
              <w14:schemeClr w14:val="tx1"/>
            </w14:solidFill>
          </w14:textFill>
        </w:rPr>
        <w:t xml:space="preserve"> </w:t>
      </w:r>
    </w:p>
    <w:p>
      <w:pPr>
        <w:pStyle w:val="2"/>
        <w:jc w:val="center"/>
        <w:rPr>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42777857"/>
      <w:r>
        <w:rPr>
          <w:rFonts w:hint="eastAsia"/>
          <w:color w:val="000000" w:themeColor="text1"/>
          <w14:textFill>
            <w14:solidFill>
              <w14:schemeClr w14:val="tx1"/>
            </w14:solidFill>
          </w14:textFill>
        </w:rPr>
        <w:t>第一部分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竞争性磋商采购</w:t>
      </w:r>
      <w:bookmarkEnd w:id="0"/>
    </w:p>
    <w:p>
      <w:pPr>
        <w:spacing w:line="360" w:lineRule="auto"/>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14:textFill>
            <w14:solidFill>
              <w14:schemeClr w14:val="tx1"/>
            </w14:solidFill>
          </w14:textFill>
        </w:rPr>
        <w:t>竞争性磋商</w:t>
      </w:r>
      <w:r>
        <w:rPr>
          <w:rFonts w:hint="eastAsia" w:ascii="宋体" w:hAnsi="宋体"/>
          <w:color w:val="000000" w:themeColor="text1"/>
          <w:spacing w:val="4"/>
          <w:sz w:val="24"/>
          <w14:textFill>
            <w14:solidFill>
              <w14:schemeClr w14:val="tx1"/>
            </w14:solidFill>
          </w14:textFill>
        </w:rPr>
        <w:t>方式购买</w:t>
      </w:r>
      <w:r>
        <w:rPr>
          <w:rFonts w:hint="eastAsia" w:ascii="宋体" w:hAnsi="宋体"/>
          <w:b/>
          <w:color w:val="000000" w:themeColor="text1"/>
          <w:spacing w:val="4"/>
          <w:sz w:val="24"/>
          <w14:textFill>
            <w14:solidFill>
              <w14:schemeClr w14:val="tx1"/>
            </w14:solidFill>
          </w14:textFill>
        </w:rPr>
        <w:t>教职工个人云存储服务项目</w:t>
      </w:r>
      <w:r>
        <w:rPr>
          <w:rFonts w:hint="eastAsia" w:ascii="宋体" w:hAnsi="宋体"/>
          <w:color w:val="000000" w:themeColor="text1"/>
          <w:spacing w:val="4"/>
          <w:sz w:val="24"/>
          <w14:textFill>
            <w14:solidFill>
              <w14:schemeClr w14:val="tx1"/>
            </w14:solidFill>
          </w14:textFill>
        </w:rPr>
        <w:t>及相关服务，现就相关事宜公告如下：</w:t>
      </w:r>
    </w:p>
    <w:p>
      <w:pPr>
        <w:spacing w:line="360" w:lineRule="auto"/>
        <w:ind w:firstLine="498" w:firstLineChars="200"/>
        <w:rPr>
          <w:rFonts w:ascii="宋体"/>
          <w:bCs/>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一、项目名称：</w:t>
      </w:r>
      <w:r>
        <w:rPr>
          <w:rFonts w:hint="eastAsia" w:ascii="宋体" w:hAnsi="宋体"/>
          <w:color w:val="000000" w:themeColor="text1"/>
          <w:spacing w:val="4"/>
          <w:sz w:val="24"/>
          <w14:textFill>
            <w14:solidFill>
              <w14:schemeClr w14:val="tx1"/>
            </w14:solidFill>
          </w14:textFill>
        </w:rPr>
        <w:t>教职工个人云存储服务</w:t>
      </w:r>
    </w:p>
    <w:p>
      <w:pPr>
        <w:spacing w:line="360" w:lineRule="auto"/>
        <w:ind w:firstLine="498" w:firstLineChars="200"/>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二、项目编号：</w:t>
      </w:r>
      <w:r>
        <w:rPr>
          <w:rFonts w:ascii="宋体" w:hAnsi="宋体"/>
          <w:b/>
          <w:color w:val="000000" w:themeColor="text1"/>
          <w:spacing w:val="4"/>
          <w:sz w:val="24"/>
          <w14:textFill>
            <w14:solidFill>
              <w14:schemeClr w14:val="tx1"/>
            </w14:solidFill>
          </w14:textFill>
        </w:rPr>
        <w:t>TDFW(</w:t>
      </w:r>
      <w:r>
        <w:rPr>
          <w:rFonts w:hint="eastAsia" w:ascii="宋体" w:hAnsi="宋体"/>
          <w:b/>
          <w:color w:val="000000" w:themeColor="text1"/>
          <w:spacing w:val="4"/>
          <w:sz w:val="24"/>
          <w14:textFill>
            <w14:solidFill>
              <w14:schemeClr w14:val="tx1"/>
            </w14:solidFill>
          </w14:textFill>
        </w:rPr>
        <w:t>JC</w:t>
      </w:r>
      <w:r>
        <w:rPr>
          <w:rFonts w:ascii="宋体" w:hAnsi="宋体"/>
          <w:b/>
          <w:color w:val="000000" w:themeColor="text1"/>
          <w:spacing w:val="4"/>
          <w:sz w:val="24"/>
          <w14:textFill>
            <w14:solidFill>
              <w14:schemeClr w14:val="tx1"/>
            </w14:solidFill>
          </w14:textFill>
        </w:rPr>
        <w:t>)20</w:t>
      </w:r>
      <w:r>
        <w:rPr>
          <w:rFonts w:hint="eastAsia" w:ascii="宋体" w:hAnsi="宋体"/>
          <w:b/>
          <w:color w:val="000000" w:themeColor="text1"/>
          <w:spacing w:val="4"/>
          <w:sz w:val="24"/>
          <w14:textFill>
            <w14:solidFill>
              <w14:schemeClr w14:val="tx1"/>
            </w14:solidFill>
          </w14:textFill>
        </w:rPr>
        <w:t>20</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14:textFill>
            <w14:solidFill>
              <w14:schemeClr w14:val="tx1"/>
            </w14:solidFill>
          </w14:textFill>
        </w:rPr>
        <w:t>052</w:t>
      </w:r>
    </w:p>
    <w:p>
      <w:pPr>
        <w:spacing w:line="360" w:lineRule="auto"/>
        <w:ind w:firstLine="498" w:firstLineChars="200"/>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三、招标项目</w:t>
      </w:r>
      <w:r>
        <w:rPr>
          <w:rFonts w:ascii="宋体" w:hAnsi="宋体"/>
          <w:b/>
          <w:color w:val="000000" w:themeColor="text1"/>
          <w:spacing w:val="4"/>
          <w:sz w:val="24"/>
          <w14:textFill>
            <w14:solidFill>
              <w14:schemeClr w14:val="tx1"/>
            </w14:solidFill>
          </w14:textFill>
        </w:rPr>
        <w:t>概况</w:t>
      </w:r>
      <w:r>
        <w:rPr>
          <w:rFonts w:hint="eastAsia" w:ascii="宋体" w:hAnsi="宋体"/>
          <w:b/>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详见本文件第三部分“采购项目要求及相关说明”。</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四、项目预算：25</w:t>
      </w:r>
      <w:r>
        <w:rPr>
          <w:rFonts w:hint="eastAsia" w:ascii="宋体" w:hAnsi="宋体"/>
          <w:b/>
          <w:color w:val="000000" w:themeColor="text1"/>
          <w:sz w:val="24"/>
          <w14:textFill>
            <w14:solidFill>
              <w14:schemeClr w14:val="tx1"/>
            </w14:solidFill>
          </w14:textFill>
        </w:rPr>
        <w:t>万元。</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参加本次竞争性磋商活动的投标人除应当符合《中华人民共和国政府采购法》第二十二条的规定外，还必须具备以下条件：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、经国家工商行政管理机关注册的企业法人或具有独立承担民事责任的能力的分支机构参加投标，分公司投标的，需要在投标时提供具有法人资格的总公司授权书；</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、采购项目的专业制造厂（商）或销售商；</w:t>
      </w:r>
    </w:p>
    <w:p>
      <w:pPr>
        <w:spacing w:line="360" w:lineRule="auto"/>
        <w:ind w:firstLine="480" w:firstLineChars="200"/>
        <w:rPr>
          <w:rFonts w:ascii="宋体" w:hAnsi="宋体"/>
          <w:color w:val="000000" w:themeColor="text1"/>
          <w:kern w:val="0"/>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、具有本次采购项目的供货、安装、售后服务等的相应经验和能力</w:t>
      </w:r>
      <w:r>
        <w:rPr>
          <w:rFonts w:hint="eastAsia" w:ascii="宋体" w:hAnsi="宋体"/>
          <w:color w:val="000000" w:themeColor="text1"/>
          <w:kern w:val="0"/>
          <w:sz w:val="24"/>
          <w14:textFill>
            <w14:solidFill>
              <w14:schemeClr w14:val="tx1"/>
            </w14:solidFill>
          </w14:textFill>
        </w:rPr>
        <w:t>；</w:t>
      </w:r>
    </w:p>
    <w:p>
      <w:pPr>
        <w:spacing w:line="360" w:lineRule="auto"/>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r>
        <w:rPr>
          <w:rFonts w:hint="eastAsia"/>
          <w:color w:val="000000" w:themeColor="text1"/>
          <w:sz w:val="24"/>
          <w14:textFill>
            <w14:solidFill>
              <w14:schemeClr w14:val="tx1"/>
            </w14:solidFill>
          </w14:textFill>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pPr>
        <w:spacing w:line="360" w:lineRule="auto"/>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七、竞争性磋商文件获取：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26"/>
          <w:rFonts w:hint="eastAsia"/>
          <w:color w:val="000000" w:themeColor="text1"/>
          <w:sz w:val="24"/>
          <w14:textFill>
            <w14:solidFill>
              <w14:schemeClr w14:val="tx1"/>
            </w14:solidFill>
          </w14:textFill>
        </w:rPr>
        <w:t>ztb</w:t>
      </w:r>
      <w:r>
        <w:rPr>
          <w:rStyle w:val="26"/>
          <w:color w:val="000000" w:themeColor="text1"/>
          <w:sz w:val="24"/>
          <w14:textFill>
            <w14:solidFill>
              <w14:schemeClr w14:val="tx1"/>
            </w14:solidFill>
          </w14:textFill>
        </w:rPr>
        <w:t>.ntu.edu.cn</w:t>
      </w:r>
      <w:r>
        <w:rPr>
          <w:rStyle w:val="26"/>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50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八、竞争性磋商文件售价：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w:t>
      </w:r>
      <w:r>
        <w:rPr>
          <w:rFonts w:hint="eastAsia"/>
          <w:sz w:val="24"/>
        </w:rPr>
        <w:t>（供应商须登录南通大学招标采购管理系统（http</w:t>
      </w:r>
      <w:r>
        <w:rPr>
          <w:sz w:val="24"/>
        </w:rPr>
        <w:t>s</w:t>
      </w:r>
      <w:r>
        <w:rPr>
          <w:rFonts w:hint="eastAsia"/>
          <w:sz w:val="24"/>
        </w:rPr>
        <w:t>://ztb.ntu.edu.cn）进行注册</w:t>
      </w:r>
      <w:r>
        <w:rPr>
          <w:sz w:val="24"/>
        </w:rPr>
        <w:t>、</w:t>
      </w:r>
      <w:r>
        <w:rPr>
          <w:rFonts w:hint="eastAsia"/>
          <w:sz w:val="24"/>
        </w:rPr>
        <w:t>在线缴费并下载回执单，缴纳成功后不退还）。</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南通大学账户信息：</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1、单位名称：南通大学</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2、税务登记号码：12320000466012919A</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3、统一社会信用代码：12320000466012919A</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4、开户银行：中国建设银行股份有限公司南通分行营业部</w:t>
      </w:r>
    </w:p>
    <w:p>
      <w:pPr>
        <w:spacing w:line="360" w:lineRule="auto"/>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5、行号：105306000071</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6、账号：32001648636059123123</w:t>
      </w:r>
    </w:p>
    <w:p>
      <w:pPr>
        <w:spacing w:line="440" w:lineRule="exact"/>
        <w:ind w:firstLine="488" w:firstLineChars="200"/>
        <w:rPr>
          <w:rFonts w:ascii="宋体" w:hAns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7、地址：南通市啬园路9号</w:t>
      </w:r>
    </w:p>
    <w:p>
      <w:pPr>
        <w:spacing w:line="440" w:lineRule="exact"/>
        <w:ind w:firstLine="498" w:firstLineChars="200"/>
        <w:rPr>
          <w:shd w:val="clear" w:color="auto" w:fill="FFFFFF"/>
        </w:rPr>
      </w:pPr>
      <w:r>
        <w:rPr>
          <w:rFonts w:hint="eastAsia" w:asciiTheme="minorEastAsia" w:hAnsiTheme="minorEastAsia" w:eastAsiaTheme="minorEastAsia"/>
          <w:b/>
          <w:spacing w:val="4"/>
          <w:sz w:val="24"/>
        </w:rPr>
        <w:t>九</w:t>
      </w:r>
      <w:r>
        <w:rPr>
          <w:rFonts w:hint="eastAsia" w:asciiTheme="minorEastAsia" w:hAnsiTheme="minorEastAsia" w:eastAsiaTheme="minorEastAsia"/>
          <w:b/>
          <w:sz w:val="24"/>
        </w:rPr>
        <w:t>、投标报名时间：</w:t>
      </w:r>
      <w:r>
        <w:rPr>
          <w:rFonts w:hint="eastAsia" w:asciiTheme="minorEastAsia" w:hAnsiTheme="minorEastAsia" w:eastAsiaTheme="minorEastAsia"/>
          <w:spacing w:val="2"/>
          <w:kern w:val="0"/>
          <w:sz w:val="24"/>
        </w:rPr>
        <w:t>潜在供应商如确定参加投标，请务必在</w:t>
      </w:r>
      <w:r>
        <w:rPr>
          <w:rFonts w:hint="eastAsia"/>
          <w:sz w:val="24"/>
        </w:rPr>
        <w:t>南通大学招标采购管理系统</w:t>
      </w:r>
      <w:r>
        <w:rPr>
          <w:rFonts w:hint="eastAsia"/>
          <w:sz w:val="24"/>
          <w:lang w:val="en-US" w:eastAsia="zh-CN"/>
        </w:rPr>
        <w:t>规定时间内</w:t>
      </w:r>
      <w:r>
        <w:rPr>
          <w:rFonts w:hint="eastAsia" w:asciiTheme="minorEastAsia" w:hAnsiTheme="minorEastAsia" w:eastAsiaTheme="minorEastAsia"/>
          <w:spacing w:val="2"/>
          <w:kern w:val="0"/>
          <w:sz w:val="24"/>
        </w:rPr>
        <w:t>注册并完成报名</w:t>
      </w:r>
      <w:r>
        <w:rPr>
          <w:rFonts w:hint="eastAsia" w:asciiTheme="minorEastAsia" w:hAnsiTheme="minorEastAsia" w:eastAsiaTheme="minorEastAsia"/>
          <w:spacing w:val="2"/>
          <w:kern w:val="0"/>
          <w:sz w:val="24"/>
          <w:lang w:val="en-US" w:eastAsia="zh-CN"/>
        </w:rPr>
        <w:t>,</w:t>
      </w:r>
      <w:r>
        <w:rPr>
          <w:rFonts w:hint="eastAsia" w:asciiTheme="minorEastAsia" w:hAnsiTheme="minorEastAsia" w:eastAsiaTheme="minorEastAsia"/>
          <w:spacing w:val="2"/>
          <w:kern w:val="0"/>
          <w:sz w:val="24"/>
        </w:rPr>
        <w:t>并在南通大学招标采购管理</w:t>
      </w:r>
      <w:r>
        <w:rPr>
          <w:rFonts w:hint="eastAsia" w:asciiTheme="minorEastAsia" w:hAnsiTheme="minorEastAsia" w:eastAsiaTheme="minorEastAsia"/>
          <w:spacing w:val="2"/>
          <w:kern w:val="0"/>
          <w:sz w:val="24"/>
          <w:lang w:eastAsia="zh-CN"/>
        </w:rPr>
        <w:t>系统</w:t>
      </w:r>
      <w:r>
        <w:rPr>
          <w:rFonts w:hint="eastAsia" w:asciiTheme="minorEastAsia" w:hAnsiTheme="minorEastAsia" w:eastAsiaTheme="minorEastAsia"/>
          <w:spacing w:val="2"/>
          <w:kern w:val="0"/>
          <w:sz w:val="24"/>
        </w:rPr>
        <w:t>中完成标书费缴纳，缴费回执单可</w:t>
      </w:r>
      <w:r>
        <w:rPr>
          <w:rFonts w:asciiTheme="minorEastAsia" w:hAnsiTheme="minorEastAsia" w:eastAsiaTheme="minorEastAsia"/>
          <w:spacing w:val="2"/>
          <w:kern w:val="0"/>
          <w:sz w:val="24"/>
        </w:rPr>
        <w:t>下载</w:t>
      </w:r>
      <w:r>
        <w:rPr>
          <w:rFonts w:hint="eastAsia" w:asciiTheme="minorEastAsia" w:hAnsiTheme="minorEastAsia" w:eastAsiaTheme="minorEastAsia"/>
          <w:spacing w:val="2"/>
          <w:kern w:val="0"/>
          <w:sz w:val="24"/>
        </w:rPr>
        <w:t>作为标书费缴纳凭证，随标书一起递交。如未按上述要求操作，将自行承担所产生的风险。</w:t>
      </w:r>
    </w:p>
    <w:p>
      <w:pPr>
        <w:pStyle w:val="18"/>
        <w:shd w:val="clear" w:color="auto" w:fill="FFFFFF"/>
        <w:spacing w:before="0" w:beforeAutospacing="0" w:after="0" w:afterAutospacing="0" w:line="440" w:lineRule="exact"/>
        <w:ind w:firstLine="480"/>
        <w:jc w:val="both"/>
        <w:rPr>
          <w:rFonts w:ascii="黑体" w:hAnsi="黑体" w:eastAsia="黑体"/>
          <w:b/>
          <w:color w:val="000000" w:themeColor="text1"/>
          <w:spacing w:val="2"/>
          <w:sz w:val="24"/>
          <w:szCs w:val="24"/>
          <w14:textFill>
            <w14:solidFill>
              <w14:schemeClr w14:val="tx1"/>
            </w14:solidFill>
          </w14:textFill>
        </w:rPr>
      </w:pPr>
      <w:r>
        <w:rPr>
          <w:rFonts w:hint="eastAsia" w:ascii="黑体" w:hAnsi="黑体" w:eastAsia="黑体"/>
          <w:b/>
          <w:color w:val="000000" w:themeColor="text1"/>
          <w:spacing w:val="2"/>
          <w:sz w:val="24"/>
          <w:szCs w:val="24"/>
          <w14:textFill>
            <w14:solidFill>
              <w14:schemeClr w14:val="tx1"/>
            </w14:solidFill>
          </w14:textFill>
        </w:rPr>
        <w:t>十、因疫情防控，投标文件</w:t>
      </w:r>
      <w:r>
        <w:rPr>
          <w:rFonts w:hint="eastAsia" w:ascii="黑体" w:hAnsi="黑体" w:eastAsia="黑体"/>
          <w:b/>
          <w:color w:val="000000" w:themeColor="text1"/>
          <w:spacing w:val="2"/>
          <w:sz w:val="24"/>
          <w:szCs w:val="24"/>
          <w:lang w:eastAsia="zh-CN"/>
          <w14:textFill>
            <w14:solidFill>
              <w14:schemeClr w14:val="tx1"/>
            </w14:solidFill>
          </w14:textFill>
        </w:rPr>
        <w:t>可</w:t>
      </w:r>
      <w:r>
        <w:rPr>
          <w:rFonts w:hint="eastAsia" w:ascii="黑体" w:hAnsi="黑体" w:eastAsia="黑体"/>
          <w:b/>
          <w:color w:val="000000" w:themeColor="text1"/>
          <w:spacing w:val="2"/>
          <w:sz w:val="24"/>
          <w:szCs w:val="24"/>
          <w14:textFill>
            <w14:solidFill>
              <w14:schemeClr w14:val="tx1"/>
            </w14:solidFill>
          </w14:textFill>
        </w:rPr>
        <w:t>采用快递邮寄</w:t>
      </w:r>
      <w:r>
        <w:rPr>
          <w:rFonts w:hint="eastAsia" w:ascii="黑体" w:hAnsi="黑体" w:eastAsia="黑体"/>
          <w:b/>
          <w:color w:val="000000" w:themeColor="text1"/>
          <w:spacing w:val="2"/>
          <w:sz w:val="24"/>
          <w:szCs w:val="24"/>
          <w:lang w:eastAsia="zh-CN"/>
          <w14:textFill>
            <w14:solidFill>
              <w14:schemeClr w14:val="tx1"/>
            </w14:solidFill>
          </w14:textFill>
        </w:rPr>
        <w:t>或现场递交</w:t>
      </w:r>
      <w:r>
        <w:rPr>
          <w:rFonts w:hint="eastAsia" w:ascii="黑体" w:hAnsi="黑体" w:eastAsia="黑体"/>
          <w:b/>
          <w:color w:val="000000" w:themeColor="text1"/>
          <w:spacing w:val="2"/>
          <w:sz w:val="24"/>
          <w:szCs w:val="24"/>
          <w14:textFill>
            <w14:solidFill>
              <w14:schemeClr w14:val="tx1"/>
            </w14:solidFill>
          </w14:textFill>
        </w:rPr>
        <w:t>方式。</w:t>
      </w:r>
    </w:p>
    <w:p>
      <w:pPr>
        <w:pStyle w:val="18"/>
        <w:shd w:val="clear" w:color="auto" w:fill="FFFFFF"/>
        <w:spacing w:before="0" w:beforeAutospacing="0" w:after="0" w:afterAutospacing="0" w:line="440" w:lineRule="exact"/>
        <w:ind w:left="315" w:leftChars="150" w:firstLine="245" w:firstLineChars="100"/>
        <w:jc w:val="both"/>
        <w:rPr>
          <w:rFonts w:asciiTheme="minorEastAsia" w:hAnsiTheme="minorEastAsia" w:eastAsiaTheme="minorEastAsia"/>
          <w:color w:val="000000" w:themeColor="text1"/>
          <w:spacing w:val="2"/>
          <w:sz w:val="24"/>
          <w:szCs w:val="24"/>
          <w14:textFill>
            <w14:solidFill>
              <w14:schemeClr w14:val="tx1"/>
            </w14:solidFill>
          </w14:textFill>
        </w:rPr>
      </w:pPr>
      <w:r>
        <w:rPr>
          <w:rFonts w:hint="eastAsia" w:ascii="黑体" w:hAnsi="黑体" w:eastAsia="黑体"/>
          <w:b/>
          <w:color w:val="000000" w:themeColor="text1"/>
          <w:spacing w:val="2"/>
          <w:sz w:val="24"/>
          <w:szCs w:val="24"/>
          <w14:textFill>
            <w14:solidFill>
              <w14:schemeClr w14:val="tx1"/>
            </w14:solidFill>
          </w14:textFill>
        </w:rPr>
        <w:t>1、快递邮寄方式</w:t>
      </w:r>
    </w:p>
    <w:p>
      <w:pPr>
        <w:pStyle w:val="18"/>
        <w:shd w:val="clear" w:color="auto" w:fill="FFFFFF"/>
        <w:spacing w:before="0" w:beforeAutospacing="0" w:after="0" w:afterAutospacing="0" w:line="440" w:lineRule="exact"/>
        <w:ind w:firstLine="361" w:firstLineChars="150"/>
        <w:jc w:val="both"/>
        <w:rPr>
          <w:color w:val="000000" w:themeColor="text1"/>
          <w:spacing w:val="4"/>
          <w:kern w:val="2"/>
          <w:sz w:val="24"/>
          <w:szCs w:val="24"/>
          <w14:textFill>
            <w14:solidFill>
              <w14:schemeClr w14:val="tx1"/>
            </w14:solidFill>
          </w14:textFill>
        </w:rPr>
      </w:pPr>
      <w:r>
        <w:rPr>
          <w:rFonts w:hint="eastAsia"/>
          <w:b/>
          <w:color w:val="000000" w:themeColor="text1"/>
          <w:kern w:val="2"/>
          <w:sz w:val="24"/>
          <w:szCs w:val="24"/>
          <w14:textFill>
            <w14:solidFill>
              <w14:schemeClr w14:val="tx1"/>
            </w14:solidFill>
          </w14:textFill>
        </w:rPr>
        <w:t>（1）投标文件接收地址：</w:t>
      </w:r>
      <w:r>
        <w:rPr>
          <w:rFonts w:hint="eastAsia"/>
          <w:color w:val="000000" w:themeColor="text1"/>
          <w:spacing w:val="4"/>
          <w:kern w:val="2"/>
          <w:sz w:val="24"/>
          <w:szCs w:val="24"/>
          <w14:textFill>
            <w14:solidFill>
              <w14:schemeClr w14:val="tx1"/>
            </w14:solidFill>
          </w14:textFill>
        </w:rPr>
        <w:t>南通大学啬园校区综合楼229室（招标管理科）</w:t>
      </w:r>
    </w:p>
    <w:p>
      <w:pPr>
        <w:spacing w:line="440" w:lineRule="exact"/>
        <w:ind w:firstLine="373" w:firstLineChars="150"/>
        <w:rPr>
          <w:rFonts w:ascii="宋体"/>
          <w:b/>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（2）投标文件接收截止时间：</w:t>
      </w:r>
      <w:r>
        <w:rPr>
          <w:rFonts w:ascii="宋体" w:hAnsi="宋体"/>
          <w:color w:val="000000" w:themeColor="text1"/>
          <w:spacing w:val="2"/>
          <w:kern w:val="0"/>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20年7月</w:t>
      </w:r>
      <w:r>
        <w:rPr>
          <w:rFonts w:hint="eastAsia" w:ascii="宋体" w:hAnsi="宋体"/>
          <w:color w:val="000000" w:themeColor="text1"/>
          <w:spacing w:val="4"/>
          <w:sz w:val="24"/>
          <w:lang w:val="en-US" w:eastAsia="zh-CN"/>
          <w14:textFill>
            <w14:solidFill>
              <w14:schemeClr w14:val="tx1"/>
            </w14:solidFill>
          </w14:textFill>
        </w:rPr>
        <w:t>29</w:t>
      </w:r>
      <w:r>
        <w:rPr>
          <w:rFonts w:hint="eastAsia" w:ascii="宋体" w:hAnsi="宋体"/>
          <w:color w:val="000000" w:themeColor="text1"/>
          <w:spacing w:val="4"/>
          <w:sz w:val="24"/>
          <w14:textFill>
            <w14:solidFill>
              <w14:schemeClr w14:val="tx1"/>
            </w14:solidFill>
          </w14:textFill>
        </w:rPr>
        <w:t>日9时</w:t>
      </w:r>
      <w:r>
        <w:rPr>
          <w:rFonts w:hint="eastAsia" w:ascii="宋体" w:hAnsi="宋体"/>
          <w:color w:val="000000" w:themeColor="text1"/>
          <w:spacing w:val="4"/>
          <w:sz w:val="24"/>
          <w:lang w:val="en-US" w:eastAsia="zh-CN"/>
          <w14:textFill>
            <w14:solidFill>
              <w14:schemeClr w14:val="tx1"/>
            </w14:solidFill>
          </w14:textFill>
        </w:rPr>
        <w:t>3</w:t>
      </w:r>
      <w:r>
        <w:rPr>
          <w:rFonts w:hint="eastAsia" w:asci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分</w:t>
      </w:r>
    </w:p>
    <w:p>
      <w:pPr>
        <w:pStyle w:val="18"/>
        <w:shd w:val="clear" w:color="auto" w:fill="FFFFFF"/>
        <w:spacing w:before="0" w:beforeAutospacing="0" w:after="0" w:afterAutospacing="0" w:line="440" w:lineRule="exact"/>
        <w:ind w:firstLine="361" w:firstLineChars="150"/>
        <w:jc w:val="both"/>
        <w:rPr>
          <w:color w:val="000000" w:themeColor="text1"/>
          <w:spacing w:val="4"/>
          <w:kern w:val="2"/>
          <w:sz w:val="24"/>
          <w:szCs w:val="24"/>
          <w14:textFill>
            <w14:solidFill>
              <w14:schemeClr w14:val="tx1"/>
            </w14:solidFill>
          </w14:textFill>
        </w:rPr>
      </w:pPr>
      <w:r>
        <w:rPr>
          <w:rFonts w:hint="eastAsia"/>
          <w:b/>
          <w:color w:val="000000" w:themeColor="text1"/>
          <w:kern w:val="2"/>
          <w:sz w:val="24"/>
          <w:szCs w:val="24"/>
          <w14:textFill>
            <w14:solidFill>
              <w14:schemeClr w14:val="tx1"/>
            </w14:solidFill>
          </w14:textFill>
        </w:rPr>
        <w:t>（3）收件人及联系方式：</w:t>
      </w:r>
      <w:r>
        <w:rPr>
          <w:rFonts w:hint="eastAsia"/>
          <w:color w:val="000000" w:themeColor="text1"/>
          <w:spacing w:val="4"/>
          <w:kern w:val="2"/>
          <w:sz w:val="24"/>
          <w:szCs w:val="24"/>
          <w14:textFill>
            <w14:solidFill>
              <w14:schemeClr w14:val="tx1"/>
            </w14:solidFill>
          </w14:textFill>
        </w:rPr>
        <w:t>王老师 0513-85012891</w:t>
      </w:r>
    </w:p>
    <w:p>
      <w:pPr>
        <w:spacing w:line="440" w:lineRule="exact"/>
        <w:ind w:firstLine="496" w:firstLineChars="200"/>
        <w:rPr>
          <w:rFonts w:ascii="黑体" w:hAnsi="黑体" w:eastAsia="黑体"/>
          <w:b/>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注：邮寄的投标文件必须密封且在外包装显著位置注明项目标识（项目编号、项目名称和投标人名称），无标识或标识模糊不清的，不予接收。投标文件须用</w:t>
      </w:r>
      <w:r>
        <w:rPr>
          <w:rFonts w:hint="eastAsia" w:ascii="黑体" w:hAnsi="黑体" w:eastAsia="黑体"/>
          <w:b/>
          <w:color w:val="000000" w:themeColor="text1"/>
          <w:spacing w:val="4"/>
          <w:sz w:val="24"/>
          <w14:textFill>
            <w14:solidFill>
              <w14:schemeClr w14:val="tx1"/>
            </w14:solidFill>
          </w14:textFill>
        </w:rPr>
        <w:t>顺丰快递</w:t>
      </w:r>
      <w:r>
        <w:rPr>
          <w:rFonts w:hint="eastAsia" w:ascii="宋体" w:hAnsi="宋体"/>
          <w:color w:val="000000" w:themeColor="text1"/>
          <w:spacing w:val="4"/>
          <w:sz w:val="24"/>
          <w14:textFill>
            <w14:solidFill>
              <w14:schemeClr w14:val="tx1"/>
            </w14:solidFill>
          </w14:textFill>
        </w:rPr>
        <w:t>在投标截止时间前送达并由接收人签收，超期送达或外包装破损的邮寄件不予接收。</w:t>
      </w:r>
      <w:r>
        <w:rPr>
          <w:rFonts w:ascii="黑体" w:hAnsi="黑体" w:eastAsia="黑体"/>
          <w:b/>
          <w:color w:val="000000" w:themeColor="text1"/>
          <w:spacing w:val="4"/>
          <w:sz w:val="24"/>
          <w14:textFill>
            <w14:solidFill>
              <w14:schemeClr w14:val="tx1"/>
            </w14:solidFill>
          </w14:textFill>
        </w:rPr>
        <w:t>投标人应充分考虑并自行承担邮寄造成的一切风险。</w:t>
      </w:r>
    </w:p>
    <w:p>
      <w:pPr>
        <w:pStyle w:val="18"/>
        <w:shd w:val="clear" w:color="auto" w:fill="FFFFFF"/>
        <w:spacing w:before="0" w:beforeAutospacing="0" w:after="0" w:afterAutospacing="0" w:line="440" w:lineRule="exact"/>
        <w:ind w:left="315" w:leftChars="150" w:firstLine="245" w:firstLineChars="100"/>
        <w:jc w:val="both"/>
        <w:rPr>
          <w:rFonts w:ascii="黑体" w:hAnsi="黑体" w:eastAsia="黑体"/>
          <w:b/>
          <w:color w:val="000000" w:themeColor="text1"/>
          <w:spacing w:val="2"/>
          <w:sz w:val="24"/>
          <w:szCs w:val="24"/>
          <w14:textFill>
            <w14:solidFill>
              <w14:schemeClr w14:val="tx1"/>
            </w14:solidFill>
          </w14:textFill>
        </w:rPr>
      </w:pPr>
      <w:r>
        <w:rPr>
          <w:rFonts w:hint="eastAsia" w:ascii="黑体" w:hAnsi="黑体" w:eastAsia="黑体"/>
          <w:b/>
          <w:color w:val="000000" w:themeColor="text1"/>
          <w:spacing w:val="2"/>
          <w:sz w:val="24"/>
          <w:szCs w:val="24"/>
          <w14:textFill>
            <w14:solidFill>
              <w14:schemeClr w14:val="tx1"/>
            </w14:solidFill>
          </w14:textFill>
        </w:rPr>
        <w:t>2、现场递交方式</w:t>
      </w:r>
    </w:p>
    <w:p>
      <w:pPr>
        <w:spacing w:line="440" w:lineRule="exact"/>
        <w:ind w:firstLine="498" w:firstLineChars="200"/>
        <w:rPr>
          <w:rFonts w:hint="eastAsia"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（1）投标文件接收开始时间：</w:t>
      </w:r>
      <w:r>
        <w:rPr>
          <w:rFonts w:hint="eastAsia" w:ascii="宋体" w:hAnsi="宋体"/>
          <w:color w:val="000000" w:themeColor="text1"/>
          <w:spacing w:val="4"/>
          <w:sz w:val="24"/>
          <w14:textFill>
            <w14:solidFill>
              <w14:schemeClr w14:val="tx1"/>
            </w14:solidFill>
          </w14:textFill>
        </w:rPr>
        <w:t>2020年7月</w:t>
      </w:r>
      <w:r>
        <w:rPr>
          <w:rFonts w:hint="eastAsia" w:ascii="宋体" w:hAnsi="宋体"/>
          <w:color w:val="000000" w:themeColor="text1"/>
          <w:spacing w:val="4"/>
          <w:sz w:val="24"/>
          <w:lang w:val="en-US" w:eastAsia="zh-CN"/>
          <w14:textFill>
            <w14:solidFill>
              <w14:schemeClr w14:val="tx1"/>
            </w14:solidFill>
          </w14:textFill>
        </w:rPr>
        <w:t>29</w:t>
      </w:r>
      <w:r>
        <w:rPr>
          <w:rFonts w:hint="eastAsia" w:ascii="宋体" w:hAnsi="宋体"/>
          <w:color w:val="000000" w:themeColor="text1"/>
          <w:spacing w:val="4"/>
          <w:sz w:val="24"/>
          <w14:textFill>
            <w14:solidFill>
              <w14:schemeClr w14:val="tx1"/>
            </w14:solidFill>
          </w14:textFill>
        </w:rPr>
        <w:t>日</w:t>
      </w:r>
      <w:r>
        <w:rPr>
          <w:rFonts w:hint="eastAsia" w:ascii="宋体" w:hAnsi="宋体"/>
          <w:color w:val="000000" w:themeColor="text1"/>
          <w:spacing w:val="4"/>
          <w:sz w:val="24"/>
          <w:lang w:val="en-US" w:eastAsia="zh-CN"/>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时</w:t>
      </w:r>
      <w:r>
        <w:rPr>
          <w:rFonts w:hint="eastAsia" w:ascii="宋体" w:hAnsi="宋体"/>
          <w:color w:val="000000" w:themeColor="text1"/>
          <w:spacing w:val="4"/>
          <w:sz w:val="24"/>
          <w:lang w:val="en-US" w:eastAsia="zh-CN"/>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0分</w:t>
      </w:r>
    </w:p>
    <w:p>
      <w:pPr>
        <w:spacing w:line="440" w:lineRule="exact"/>
        <w:ind w:firstLine="498" w:firstLineChars="200"/>
        <w:rPr>
          <w:rFonts w:hint="eastAsia"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（2）投标文件接收截止时间及开标时间：</w:t>
      </w:r>
      <w:r>
        <w:rPr>
          <w:rFonts w:hint="eastAsia" w:ascii="宋体" w:hAnsi="宋体"/>
          <w:color w:val="000000" w:themeColor="text1"/>
          <w:spacing w:val="4"/>
          <w:sz w:val="24"/>
          <w14:textFill>
            <w14:solidFill>
              <w14:schemeClr w14:val="tx1"/>
            </w14:solidFill>
          </w14:textFill>
        </w:rPr>
        <w:t>2020年7月</w:t>
      </w:r>
      <w:r>
        <w:rPr>
          <w:rFonts w:hint="eastAsia" w:ascii="宋体" w:hAnsi="宋体"/>
          <w:color w:val="000000" w:themeColor="text1"/>
          <w:spacing w:val="4"/>
          <w:sz w:val="24"/>
          <w:lang w:val="en-US" w:eastAsia="zh-CN"/>
          <w14:textFill>
            <w14:solidFill>
              <w14:schemeClr w14:val="tx1"/>
            </w14:solidFill>
          </w14:textFill>
        </w:rPr>
        <w:t>29</w:t>
      </w:r>
      <w:r>
        <w:rPr>
          <w:rFonts w:hint="eastAsia" w:ascii="宋体" w:hAnsi="宋体"/>
          <w:color w:val="000000" w:themeColor="text1"/>
          <w:spacing w:val="4"/>
          <w:sz w:val="24"/>
          <w14:textFill>
            <w14:solidFill>
              <w14:schemeClr w14:val="tx1"/>
            </w14:solidFill>
          </w14:textFill>
        </w:rPr>
        <w:t>日9时</w:t>
      </w:r>
      <w:r>
        <w:rPr>
          <w:rFonts w:hint="eastAsia" w:ascii="宋体" w:hAnsi="宋体"/>
          <w:color w:val="000000" w:themeColor="text1"/>
          <w:spacing w:val="4"/>
          <w:sz w:val="24"/>
          <w:lang w:val="en-US" w:eastAsia="zh-CN"/>
          <w14:textFill>
            <w14:solidFill>
              <w14:schemeClr w14:val="tx1"/>
            </w14:solidFill>
          </w14:textFill>
        </w:rPr>
        <w:t>30</w:t>
      </w:r>
      <w:r>
        <w:rPr>
          <w:rFonts w:hint="eastAsia" w:ascii="宋体" w:hAnsi="宋体"/>
          <w:color w:val="000000" w:themeColor="text1"/>
          <w:spacing w:val="4"/>
          <w:sz w:val="24"/>
          <w14:textFill>
            <w14:solidFill>
              <w14:schemeClr w14:val="tx1"/>
            </w14:solidFill>
          </w14:textFill>
        </w:rPr>
        <w:t>分</w:t>
      </w:r>
    </w:p>
    <w:p>
      <w:pPr>
        <w:spacing w:line="440" w:lineRule="exact"/>
        <w:ind w:firstLine="498" w:firstLineChars="200"/>
        <w:rPr>
          <w:rFonts w:hint="eastAsia"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（3）投标文件接收地点：</w:t>
      </w:r>
      <w:r>
        <w:rPr>
          <w:rFonts w:hint="eastAsia" w:ascii="宋体" w:hAnsi="宋体"/>
          <w:color w:val="000000" w:themeColor="text1"/>
          <w:spacing w:val="4"/>
          <w:sz w:val="24"/>
          <w14:textFill>
            <w14:solidFill>
              <w14:schemeClr w14:val="tx1"/>
            </w14:solidFill>
          </w14:textFill>
        </w:rPr>
        <w:t>南通大学啬园校区北一门东传达室</w:t>
      </w:r>
    </w:p>
    <w:p>
      <w:pPr>
        <w:spacing w:line="440" w:lineRule="exact"/>
        <w:ind w:firstLine="498" w:firstLineChars="200"/>
        <w:rPr>
          <w:rFonts w:hint="eastAsia"/>
        </w:rPr>
      </w:pPr>
      <w:r>
        <w:rPr>
          <w:rFonts w:hint="eastAsia" w:ascii="宋体" w:hAnsi="宋体"/>
          <w:b/>
          <w:color w:val="000000" w:themeColor="text1"/>
          <w:spacing w:val="4"/>
          <w:sz w:val="24"/>
          <w14:textFill>
            <w14:solidFill>
              <w14:schemeClr w14:val="tx1"/>
            </w14:solidFill>
          </w14:textFill>
        </w:rPr>
        <w:t>（4）联系人及联系方式：</w:t>
      </w:r>
      <w:r>
        <w:rPr>
          <w:rFonts w:hint="eastAsia" w:ascii="宋体" w:hAnsi="宋体"/>
          <w:color w:val="000000" w:themeColor="text1"/>
          <w:spacing w:val="4"/>
          <w:sz w:val="24"/>
          <w14:textFill>
            <w14:solidFill>
              <w14:schemeClr w14:val="tx1"/>
            </w14:solidFill>
          </w14:textFill>
        </w:rPr>
        <w:t>王老师0513-85012891</w:t>
      </w:r>
    </w:p>
    <w:p>
      <w:pPr>
        <w:spacing w:line="440" w:lineRule="exact"/>
        <w:ind w:firstLine="498" w:firstLineChars="200"/>
        <w:rPr>
          <w:rFonts w:ascii="宋体" w:hAnsi="宋体"/>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十一、评标地点：</w:t>
      </w:r>
      <w:r>
        <w:rPr>
          <w:rFonts w:hint="eastAsia" w:ascii="宋体" w:hAnsi="宋体"/>
          <w:color w:val="000000" w:themeColor="text1"/>
          <w:spacing w:val="2"/>
          <w:kern w:val="0"/>
          <w:sz w:val="24"/>
          <w14:textFill>
            <w14:solidFill>
              <w14:schemeClr w14:val="tx1"/>
            </w14:solidFill>
          </w14:textFill>
        </w:rPr>
        <w:t>南通大学啬园校区综合楼233室</w:t>
      </w:r>
    </w:p>
    <w:p>
      <w:pPr>
        <w:spacing w:line="440" w:lineRule="exact"/>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十二、疫情期间，投标人无需到达现场</w:t>
      </w:r>
      <w:r>
        <w:rPr>
          <w:rFonts w:hint="eastAsia" w:ascii="宋体" w:hAnsi="宋体"/>
          <w:color w:val="000000" w:themeColor="text1"/>
          <w:spacing w:val="4"/>
          <w:sz w:val="24"/>
          <w14:textFill>
            <w14:solidFill>
              <w14:schemeClr w14:val="tx1"/>
            </w14:solidFill>
          </w14:textFill>
        </w:rPr>
        <w:t>，评标时，如若需要询标，采购人</w:t>
      </w:r>
      <w:r>
        <w:rPr>
          <w:rFonts w:hint="eastAsia" w:ascii="宋体" w:hAnsi="宋体"/>
          <w:color w:val="000000" w:themeColor="text1"/>
          <w:spacing w:val="4"/>
          <w:sz w:val="24"/>
          <w:lang w:eastAsia="zh-CN"/>
          <w14:textFill>
            <w14:solidFill>
              <w14:schemeClr w14:val="tx1"/>
            </w14:solidFill>
          </w14:textFill>
        </w:rPr>
        <w:t>会</w:t>
      </w:r>
      <w:r>
        <w:rPr>
          <w:rFonts w:hint="eastAsia" w:ascii="宋体" w:hAnsi="宋体"/>
          <w:color w:val="000000" w:themeColor="text1"/>
          <w:spacing w:val="4"/>
          <w:sz w:val="24"/>
          <w14:textFill>
            <w14:solidFill>
              <w14:schemeClr w14:val="tx1"/>
            </w14:solidFill>
          </w14:textFill>
        </w:rPr>
        <w:t>电话通知需询标的供应商授权代表，采用“腾讯会议”的方式进行视频询标</w:t>
      </w:r>
      <w:r>
        <w:rPr>
          <w:rFonts w:hint="eastAsia" w:ascii="宋体" w:hAnsi="宋体"/>
          <w:color w:val="000000" w:themeColor="text1"/>
          <w:spacing w:val="4"/>
          <w:sz w:val="24"/>
          <w:lang w:eastAsia="zh-CN"/>
          <w14:textFill>
            <w14:solidFill>
              <w14:schemeClr w14:val="tx1"/>
            </w14:solidFill>
          </w14:textFill>
        </w:rPr>
        <w:t>并</w:t>
      </w:r>
      <w:r>
        <w:rPr>
          <w:rFonts w:hint="eastAsia" w:ascii="宋体" w:hAnsi="宋体"/>
          <w:color w:val="000000" w:themeColor="text1"/>
          <w:spacing w:val="4"/>
          <w:sz w:val="24"/>
          <w14:textFill>
            <w14:solidFill>
              <w14:schemeClr w14:val="tx1"/>
            </w14:solidFill>
          </w14:textFill>
        </w:rPr>
        <w:t>发送“会议号”给供应商授权代表</w:t>
      </w:r>
      <w:r>
        <w:rPr>
          <w:rFonts w:hint="eastAsia" w:ascii="宋体" w:hAnsi="宋体"/>
          <w:color w:val="000000" w:themeColor="text1"/>
          <w:spacing w:val="4"/>
          <w:sz w:val="24"/>
          <w:lang w:eastAsia="zh-CN"/>
          <w14:textFill>
            <w14:solidFill>
              <w14:schemeClr w14:val="tx1"/>
            </w14:solidFill>
          </w14:textFill>
        </w:rPr>
        <w:t>。请</w:t>
      </w:r>
      <w:r>
        <w:rPr>
          <w:rFonts w:hint="eastAsia" w:ascii="宋体" w:hAnsi="宋体"/>
          <w:color w:val="000000" w:themeColor="text1"/>
          <w:spacing w:val="4"/>
          <w:sz w:val="24"/>
          <w14:textFill>
            <w14:solidFill>
              <w14:schemeClr w14:val="tx1"/>
            </w14:solidFill>
          </w14:textFill>
        </w:rPr>
        <w:t>供应商授权代表</w:t>
      </w:r>
      <w:r>
        <w:rPr>
          <w:rFonts w:hint="eastAsia" w:ascii="宋体" w:hAnsi="宋体"/>
          <w:color w:val="000000" w:themeColor="text1"/>
          <w:spacing w:val="4"/>
          <w:sz w:val="24"/>
          <w:lang w:eastAsia="zh-CN"/>
          <w14:textFill>
            <w14:solidFill>
              <w14:schemeClr w14:val="tx1"/>
            </w14:solidFill>
          </w14:textFill>
        </w:rPr>
        <w:t>提前</w:t>
      </w:r>
      <w:r>
        <w:rPr>
          <w:rFonts w:hint="eastAsia" w:ascii="宋体" w:hAnsi="宋体"/>
          <w:color w:val="000000" w:themeColor="text1"/>
          <w:spacing w:val="4"/>
          <w:sz w:val="24"/>
          <w14:textFill>
            <w14:solidFill>
              <w14:schemeClr w14:val="tx1"/>
            </w14:solidFill>
          </w14:textFill>
        </w:rPr>
        <w:t>下载</w:t>
      </w:r>
      <w:r>
        <w:rPr>
          <w:rFonts w:hint="eastAsia" w:ascii="宋体" w:hAnsi="宋体"/>
          <w:color w:val="000000" w:themeColor="text1"/>
          <w:spacing w:val="4"/>
          <w:sz w:val="24"/>
          <w:lang w:eastAsia="zh-CN"/>
          <w14:textFill>
            <w14:solidFill>
              <w14:schemeClr w14:val="tx1"/>
            </w14:solidFill>
          </w14:textFill>
        </w:rPr>
        <w:t>并做好</w:t>
      </w:r>
      <w:r>
        <w:rPr>
          <w:rFonts w:hint="eastAsia" w:ascii="宋体" w:hAnsi="宋体"/>
          <w:color w:val="000000" w:themeColor="text1"/>
          <w:spacing w:val="4"/>
          <w:sz w:val="24"/>
          <w14:textFill>
            <w14:solidFill>
              <w14:schemeClr w14:val="tx1"/>
            </w14:solidFill>
          </w14:textFill>
        </w:rPr>
        <w:t>登录“腾讯会议”</w:t>
      </w:r>
      <w:r>
        <w:rPr>
          <w:rFonts w:hint="eastAsia" w:ascii="宋体" w:hAnsi="宋体"/>
          <w:color w:val="000000" w:themeColor="text1"/>
          <w:spacing w:val="4"/>
          <w:sz w:val="24"/>
          <w:lang w:eastAsia="zh-CN"/>
          <w14:textFill>
            <w14:solidFill>
              <w14:schemeClr w14:val="tx1"/>
            </w14:solidFill>
          </w14:textFill>
        </w:rPr>
        <w:t>的准备</w:t>
      </w:r>
      <w:r>
        <w:rPr>
          <w:rFonts w:hint="eastAsia" w:ascii="宋体" w:hAnsi="宋体"/>
          <w:color w:val="000000" w:themeColor="text1"/>
          <w:spacing w:val="4"/>
          <w:sz w:val="24"/>
          <w14:textFill>
            <w14:solidFill>
              <w14:schemeClr w14:val="tx1"/>
            </w14:solidFill>
          </w14:textFill>
        </w:rPr>
        <w:t>。</w:t>
      </w:r>
    </w:p>
    <w:p>
      <w:pPr>
        <w:spacing w:line="440" w:lineRule="exact"/>
        <w:ind w:firstLine="490" w:firstLineChars="200"/>
        <w:rPr>
          <w:rFonts w:ascii="宋体"/>
          <w:b/>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十三、与本次谈判有关的事宜请按下列通讯方式联系</w:t>
      </w:r>
    </w:p>
    <w:p>
      <w:pPr>
        <w:spacing w:line="440" w:lineRule="exact"/>
        <w:ind w:firstLine="488" w:firstLine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如对技术条款有疑问请咨询项目联系人；如对商务条款、采购程序及结果有疑</w:t>
      </w:r>
      <w:r>
        <w:rPr>
          <w:rFonts w:hint="eastAsia" w:ascii="宋体" w:hAnsi="宋体"/>
          <w:color w:val="000000" w:themeColor="text1"/>
          <w:spacing w:val="2"/>
          <w:kern w:val="0"/>
          <w:sz w:val="24"/>
          <w:lang w:eastAsia="zh-CN"/>
          <w14:textFill>
            <w14:solidFill>
              <w14:schemeClr w14:val="tx1"/>
            </w14:solidFill>
          </w14:textFill>
        </w:rPr>
        <w:t>义</w:t>
      </w:r>
      <w:r>
        <w:rPr>
          <w:rFonts w:hint="eastAsia" w:ascii="宋体" w:hAnsi="宋体"/>
          <w:color w:val="000000" w:themeColor="text1"/>
          <w:spacing w:val="2"/>
          <w:kern w:val="0"/>
          <w:sz w:val="24"/>
          <w14:textFill>
            <w14:solidFill>
              <w14:schemeClr w14:val="tx1"/>
            </w14:solidFill>
          </w14:textFill>
        </w:rPr>
        <w:t>请咨询招标联系人。</w:t>
      </w:r>
    </w:p>
    <w:p>
      <w:pPr>
        <w:spacing w:line="440" w:lineRule="exact"/>
        <w:ind w:firstLine="490" w:firstLineChars="200"/>
        <w:rPr>
          <w:rFonts w:ascii="宋体"/>
          <w:sz w:val="24"/>
        </w:rPr>
      </w:pPr>
      <w:r>
        <w:rPr>
          <w:rFonts w:hint="eastAsia" w:ascii="宋体" w:hAnsi="宋体"/>
          <w:b/>
          <w:color w:val="000000" w:themeColor="text1"/>
          <w:spacing w:val="2"/>
          <w:kern w:val="0"/>
          <w:sz w:val="24"/>
          <w14:textFill>
            <w14:solidFill>
              <w14:schemeClr w14:val="tx1"/>
            </w14:solidFill>
          </w14:textFill>
        </w:rPr>
        <w:t>项目联系人:</w:t>
      </w:r>
      <w:r>
        <w:t xml:space="preserve"> </w:t>
      </w:r>
      <w:r>
        <w:rPr>
          <w:rFonts w:hint="eastAsia" w:ascii="宋体" w:hAnsi="宋体"/>
          <w:color w:val="000000" w:themeColor="text1"/>
          <w:spacing w:val="2"/>
          <w:kern w:val="0"/>
          <w:sz w:val="24"/>
          <w14:textFill>
            <w14:solidFill>
              <w14:schemeClr w14:val="tx1"/>
            </w14:solidFill>
          </w14:textFill>
        </w:rPr>
        <w:t xml:space="preserve">章老师 </w:t>
      </w:r>
      <w:r>
        <w:rPr>
          <w:rFonts w:ascii="宋体" w:hAnsi="宋体"/>
          <w:color w:val="000000" w:themeColor="text1"/>
          <w:spacing w:val="2"/>
          <w:kern w:val="0"/>
          <w:sz w:val="24"/>
          <w14:textFill>
            <w14:solidFill>
              <w14:schemeClr w14:val="tx1"/>
            </w14:solidFill>
          </w14:textFill>
        </w:rPr>
        <w:t xml:space="preserve">  </w:t>
      </w:r>
      <w:r>
        <w:rPr>
          <w:rFonts w:hint="eastAsia" w:ascii="宋体" w:hAnsi="宋体"/>
          <w:color w:val="000000" w:themeColor="text1"/>
          <w:spacing w:val="2"/>
          <w:kern w:val="0"/>
          <w:sz w:val="24"/>
          <w14:textFill>
            <w14:solidFill>
              <w14:schemeClr w14:val="tx1"/>
            </w14:solidFill>
          </w14:textFill>
        </w:rPr>
        <w:t>联系电话：</w:t>
      </w:r>
      <w:r>
        <w:rPr>
          <w:rFonts w:ascii="宋体" w:hAnsi="宋体"/>
          <w:color w:val="000000" w:themeColor="text1"/>
          <w:spacing w:val="2"/>
          <w:kern w:val="0"/>
          <w:sz w:val="24"/>
          <w14:textFill>
            <w14:solidFill>
              <w14:schemeClr w14:val="tx1"/>
            </w14:solidFill>
          </w14:textFill>
        </w:rPr>
        <w:t>13861990568</w:t>
      </w:r>
    </w:p>
    <w:p>
      <w:pPr>
        <w:spacing w:line="440" w:lineRule="exact"/>
        <w:ind w:firstLine="490" w:firstLineChars="200"/>
        <w:rPr>
          <w:rFonts w:asci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招标联系人及联系方式：</w:t>
      </w:r>
      <w:r>
        <w:rPr>
          <w:rFonts w:hint="eastAsia" w:ascii="宋体" w:hAnsi="宋体"/>
          <w:color w:val="000000" w:themeColor="text1"/>
          <w:spacing w:val="2"/>
          <w:kern w:val="0"/>
          <w:sz w:val="24"/>
          <w14:textFill>
            <w14:solidFill>
              <w14:schemeClr w14:val="tx1"/>
            </w14:solidFill>
          </w14:textFill>
        </w:rPr>
        <w:t>李韦华</w:t>
      </w:r>
      <w:r>
        <w:rPr>
          <w:rFonts w:ascii="宋体" w:hAnsi="宋体"/>
          <w:color w:val="000000" w:themeColor="text1"/>
          <w:spacing w:val="2"/>
          <w:kern w:val="0"/>
          <w:sz w:val="24"/>
          <w14:textFill>
            <w14:solidFill>
              <w14:schemeClr w14:val="tx1"/>
            </w14:solidFill>
          </w14:textFill>
        </w:rPr>
        <w:t>0513-85012138</w:t>
      </w:r>
      <w:r>
        <w:rPr>
          <w:rFonts w:hint="eastAsia" w:ascii="宋体" w:hAnsi="宋体"/>
          <w:color w:val="000000" w:themeColor="text1"/>
          <w:spacing w:val="2"/>
          <w:kern w:val="0"/>
          <w:sz w:val="24"/>
          <w14:textFill>
            <w14:solidFill>
              <w14:schemeClr w14:val="tx1"/>
            </w14:solidFill>
          </w14:textFill>
        </w:rPr>
        <w:t>；牛书花0513-85012891。</w:t>
      </w:r>
    </w:p>
    <w:p>
      <w:pPr>
        <w:pStyle w:val="2"/>
        <w:jc w:val="both"/>
        <w:rPr>
          <w:rFonts w:ascii="宋体"/>
          <w:b w:val="0"/>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bookmarkStart w:id="1" w:name="_Toc42777858"/>
      <w:r>
        <w:rPr>
          <w:rFonts w:hint="eastAsia"/>
          <w:color w:val="000000" w:themeColor="text1"/>
          <w:spacing w:val="4"/>
          <w:sz w:val="24"/>
          <w:lang w:val="en-US" w:eastAsia="zh-CN"/>
          <w14:textFill>
            <w14:solidFill>
              <w14:schemeClr w14:val="tx1"/>
            </w14:solidFill>
          </w14:textFill>
        </w:rPr>
        <w:t xml:space="preserve">               </w:t>
      </w:r>
      <w:r>
        <w:rPr>
          <w:rFonts w:hint="eastAsia"/>
          <w:color w:val="000000" w:themeColor="text1"/>
          <w14:textFill>
            <w14:solidFill>
              <w14:schemeClr w14:val="tx1"/>
            </w14:solidFill>
          </w14:textFill>
        </w:rPr>
        <w:t>第二部分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1"/>
    </w:p>
    <w:p>
      <w:pPr>
        <w:pStyle w:val="3"/>
        <w:rPr>
          <w:color w:val="000000" w:themeColor="text1"/>
          <w14:textFill>
            <w14:solidFill>
              <w14:schemeClr w14:val="tx1"/>
            </w14:solidFill>
          </w14:textFill>
        </w:rPr>
      </w:pPr>
      <w:bookmarkStart w:id="2" w:name="_Toc42777859"/>
      <w:r>
        <w:rPr>
          <w:rFonts w:hint="eastAsia"/>
          <w:color w:val="000000" w:themeColor="text1"/>
          <w14:textFill>
            <w14:solidFill>
              <w14:schemeClr w14:val="tx1"/>
            </w14:solidFill>
          </w14:textFill>
        </w:rPr>
        <w:t>一、竞争性磋商文件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本项目竞争性磋商文件中的采购人、投标人、中标人分别指：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）投标人指响应竞争性磋商并具备相应资质的参与谈判的制造（厂）商、代理商。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竞争性磋商文件的组成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本竞争性磋商文件由下列部分组成：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）竞争性磋商采购公告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）采购项目要求及相关说明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竞争性磋商文件的澄清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如投标人对竞争性磋商文件的某些内容有疑问，应在投标截止时间</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日前以书面形式传真通知采购人，采购人将予以书面形式答复。采购人认为有必要时，可将答复内容（包括疑问内容，但不包括疑问来源）在南通大学招投标信息网站上公开发布。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竞争性磋商文件的补充和修改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）如竞争性磋商文件的补充和修改对投标人准备投标的时间有影响，采购人有权决定推迟投标截止时间和开标时间。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3" w:name="_Toc42777860"/>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商务文件、技术文件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资格证明文件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46"/>
        <w:numPr>
          <w:ilvl w:val="0"/>
          <w:numId w:val="1"/>
        </w:numPr>
        <w:spacing w:line="360" w:lineRule="auto"/>
        <w:ind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配置清单及分项报价表（格式见附件</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p>
    <w:p>
      <w:pPr>
        <w:pStyle w:val="46"/>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）不含报价的配置清单（格式见附件</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）技术规格响应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）商务条款响应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）售后服务承诺书或技术协议书</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）投标人2017年1月以来与本次竞争性磋商项目同类产品的销售业绩（合同复印件，原件备查）</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）投标产品宣传彩页、合格文件、技术资料等</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）投标人认为需要陈述的其他内容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（4）授权代表近半年内任意一个月在所在投标单位依法缴纳社会保障金的相关证明材料（税务、银行或社会保险基金管理部门出具）；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（5）投标人近半年内任意一个月依法缴纳税收的相关证明材料；</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明确标明商务文件（报价）、技术文件和资格证明文件以及正本和副本。如投标文件正本与副本有不同之处，以正本为准。</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（2）商务文件（报价）、技术文件和资格证明文件须分开独立包装，即：分别装在三个纸袋里。</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b/>
          <w:bCs/>
          <w:color w:val="000000" w:themeColor="text1"/>
          <w:sz w:val="24"/>
          <w14:textFill>
            <w14:solidFill>
              <w14:schemeClr w14:val="tx1"/>
            </w14:solidFill>
          </w14:textFill>
        </w:rPr>
        <w:t>胶印装订</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）竞争性磋商项目编号：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）竞争性磋商项目名称：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w:t>
      </w:r>
      <w:r>
        <w:rPr>
          <w:rFonts w:hint="eastAsia" w:ascii="黑体" w:hAnsi="黑体" w:eastAsia="黑体"/>
          <w:color w:val="000000" w:themeColor="text1"/>
          <w:sz w:val="24"/>
          <w14:textFill>
            <w14:solidFill>
              <w14:schemeClr w14:val="tx1"/>
            </w14:solidFill>
          </w14:textFill>
        </w:rPr>
        <w:t>密封和标记</w:t>
      </w:r>
      <w:r>
        <w:rPr>
          <w:rFonts w:hint="eastAsia"/>
          <w:color w:val="000000" w:themeColor="text1"/>
          <w:sz w:val="24"/>
          <w14:textFill>
            <w14:solidFill>
              <w14:schemeClr w14:val="tx1"/>
            </w14:solidFill>
          </w14:textFill>
        </w:rPr>
        <w:t>的投标文件，采购人将不承担投标文件错放或提前开启的责任。</w:t>
      </w:r>
    </w:p>
    <w:p>
      <w:pPr>
        <w:spacing w:line="360" w:lineRule="auto"/>
        <w:ind w:firstLine="472" w:firstLineChars="196"/>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4" w:name="_Toc42777861"/>
      <w:r>
        <w:rPr>
          <w:rFonts w:hint="eastAsia"/>
          <w:color w:val="000000" w:themeColor="text1"/>
          <w14:textFill>
            <w14:solidFill>
              <w14:schemeClr w14:val="tx1"/>
            </w14:solidFill>
          </w14:textFill>
        </w:rPr>
        <w:t>三、投标细则</w:t>
      </w:r>
      <w:bookmarkEnd w:id="4"/>
    </w:p>
    <w:p>
      <w:pPr>
        <w:spacing w:line="360"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投标报价</w:t>
      </w:r>
    </w:p>
    <w:p>
      <w:pPr>
        <w:spacing w:line="360" w:lineRule="auto"/>
        <w:ind w:firstLine="537" w:firstLineChars="224"/>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w:t>
      </w:r>
      <w:r>
        <w:rPr>
          <w:rFonts w:hint="eastAsia"/>
          <w:b/>
          <w:bCs/>
          <w:color w:val="000000" w:themeColor="text1"/>
          <w:sz w:val="24"/>
          <w14:textFill>
            <w14:solidFill>
              <w14:schemeClr w14:val="tx1"/>
            </w14:solidFill>
          </w14:textFill>
        </w:rPr>
        <w:t>完税后</w:t>
      </w:r>
      <w:r>
        <w:rPr>
          <w:rFonts w:hint="eastAsia"/>
          <w:color w:val="000000" w:themeColor="text1"/>
          <w:sz w:val="24"/>
          <w14:textFill>
            <w14:solidFill>
              <w14:schemeClr w14:val="tx1"/>
            </w14:solidFill>
          </w14:textFill>
        </w:rPr>
        <w:t>的项目全部费用，其中应包含</w:t>
      </w:r>
      <w:r>
        <w:rPr>
          <w:rFonts w:hint="eastAsia" w:ascii="宋体"/>
          <w:color w:val="000000" w:themeColor="text1"/>
          <w:sz w:val="24"/>
          <w:lang w:val="zh-CN"/>
          <w14:textFill>
            <w14:solidFill>
              <w14:schemeClr w14:val="tx1"/>
            </w14:solidFill>
          </w14:textFill>
        </w:rPr>
        <w:t>软件的</w:t>
      </w:r>
      <w:r>
        <w:rPr>
          <w:rFonts w:hint="eastAsia"/>
          <w:color w:val="000000" w:themeColor="text1"/>
          <w:sz w:val="24"/>
          <w14:textFill>
            <w14:solidFill>
              <w14:schemeClr w14:val="tx1"/>
            </w14:solidFill>
          </w14:textFill>
        </w:rPr>
        <w:t>安装调试、系统安全维护、税费等全部费用。</w:t>
      </w:r>
    </w:p>
    <w:p>
      <w:pPr>
        <w:spacing w:line="360" w:lineRule="auto"/>
        <w:ind w:firstLine="480" w:firstLineChars="200"/>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投标人的优惠条件须在投标文件中书面承诺并说明。</w:t>
      </w:r>
    </w:p>
    <w:p>
      <w:pPr>
        <w:widowControl/>
        <w:spacing w:line="440" w:lineRule="exact"/>
        <w:ind w:firstLine="420"/>
        <w:rPr>
          <w:color w:val="000000" w:themeColor="text1"/>
          <w:sz w:val="24"/>
          <w14:textFill>
            <w14:solidFill>
              <w14:schemeClr w14:val="tx1"/>
            </w14:solidFill>
          </w14:textFill>
        </w:rPr>
      </w:pPr>
      <w:bookmarkStart w:id="5" w:name="OLE_LINK50"/>
      <w:bookmarkStart w:id="6" w:name="OLE_LINK49"/>
      <w:r>
        <w:rPr>
          <w:color w:val="000000" w:themeColor="text1"/>
          <w:sz w:val="24"/>
          <w14:textFill>
            <w14:solidFill>
              <w14:schemeClr w14:val="tx1"/>
            </w14:solidFill>
          </w14:textFill>
        </w:rPr>
        <w:t>报价时应充分考虑所有可能影响到报价的因素，一旦最终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采购人不接受投标人的任何低于成本报价的不正当竞争方式。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5"/>
      <w:bookmarkEnd w:id="6"/>
      <w:bookmarkEnd w:id="7"/>
      <w:bookmarkEnd w:id="8"/>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）投标人应仔细阅读竞争性磋商文件的所有内容并做出实质性的响应，同时按竞争性磋商文件规定的要求和格式，提交完整的投标文件。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逾期送达或未送达指定地点以及未按竞争性磋商文件要求密封的投标文件，投标人须自行承担相应风险。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）采购人不接受电报、电话、传真及电子邮件方式的投标。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3.3.</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分包投标</w:t>
      </w:r>
    </w:p>
    <w:p>
      <w:pPr>
        <w:spacing w:line="360" w:lineRule="auto"/>
        <w:ind w:firstLine="480" w:firstLineChars="200"/>
        <w:rPr>
          <w:rFonts w:ascii="黑体" w:eastAsia="黑体"/>
          <w:bCs/>
          <w:color w:val="000000" w:themeColor="text1"/>
          <w:sz w:val="24"/>
          <w14:textFill>
            <w14:solidFill>
              <w14:schemeClr w14:val="tx1"/>
            </w14:solidFill>
          </w14:textFill>
        </w:rPr>
      </w:pPr>
      <w:r>
        <w:rPr>
          <w:rFonts w:hint="eastAsia" w:ascii="黑体" w:eastAsia="黑体"/>
          <w:bCs/>
          <w:color w:val="000000" w:themeColor="text1"/>
          <w:sz w:val="24"/>
          <w14:textFill>
            <w14:solidFill>
              <w14:schemeClr w14:val="tx1"/>
            </w14:solidFill>
          </w14:textFill>
        </w:rPr>
        <w:t>本次</w:t>
      </w:r>
      <w:r>
        <w:rPr>
          <w:rFonts w:ascii="黑体" w:eastAsia="黑体"/>
          <w:bCs/>
          <w:color w:val="000000" w:themeColor="text1"/>
          <w:sz w:val="24"/>
          <w14:textFill>
            <w14:solidFill>
              <w14:schemeClr w14:val="tx1"/>
            </w14:solidFill>
          </w14:textFill>
        </w:rPr>
        <w:t>招标</w:t>
      </w:r>
      <w:r>
        <w:rPr>
          <w:rFonts w:hint="eastAsia" w:ascii="黑体" w:eastAsia="黑体"/>
          <w:bCs/>
          <w:color w:val="000000" w:themeColor="text1"/>
          <w:sz w:val="24"/>
          <w14:textFill>
            <w14:solidFill>
              <w14:schemeClr w14:val="tx1"/>
            </w14:solidFill>
          </w14:textFill>
        </w:rPr>
        <w:t>不可分包投标和中标。</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.5</w:t>
      </w:r>
      <w:r>
        <w:rPr>
          <w:rFonts w:hint="eastAsia"/>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个，采购人有权选择其他采购方式或终止本次招标。</w:t>
      </w:r>
    </w:p>
    <w:p>
      <w:pPr>
        <w:pStyle w:val="3"/>
        <w:rPr>
          <w:color w:val="000000" w:themeColor="text1"/>
          <w14:textFill>
            <w14:solidFill>
              <w14:schemeClr w14:val="tx1"/>
            </w14:solidFill>
          </w14:textFill>
        </w:rPr>
      </w:pPr>
      <w:bookmarkStart w:id="9" w:name="_Toc42777862"/>
      <w:r>
        <w:rPr>
          <w:rFonts w:hint="eastAsia"/>
          <w:color w:val="000000" w:themeColor="text1"/>
          <w14:textFill>
            <w14:solidFill>
              <w14:schemeClr w14:val="tx1"/>
            </w14:solidFill>
          </w14:textFill>
        </w:rPr>
        <w:t>四、谈判</w:t>
      </w:r>
      <w:bookmarkEnd w:id="9"/>
    </w:p>
    <w:p>
      <w:pPr>
        <w:pStyle w:val="18"/>
        <w:shd w:val="clear" w:color="auto" w:fill="FFFFFF"/>
        <w:spacing w:before="0" w:beforeAutospacing="0" w:after="0" w:afterAutospacing="0" w:line="360" w:lineRule="auto"/>
        <w:ind w:firstLine="480"/>
        <w:jc w:val="both"/>
        <w:rPr>
          <w:rFonts w:ascii="黑体" w:hAnsi="黑体" w:eastAsia="黑体"/>
          <w:b/>
          <w:color w:val="000000" w:themeColor="text1"/>
          <w:sz w:val="24"/>
          <w14:textFill>
            <w14:solidFill>
              <w14:schemeClr w14:val="tx1"/>
            </w14:solidFill>
          </w14:textFill>
        </w:rPr>
      </w:pPr>
      <w:r>
        <w:rPr>
          <w:rFonts w:hint="eastAsia" w:ascii="Times New Roman" w:hAnsi="Times New Roman"/>
          <w:b/>
          <w:color w:val="000000" w:themeColor="text1"/>
          <w:kern w:val="2"/>
          <w:sz w:val="24"/>
          <w:szCs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招标人按规定的时间和地点进行评标，</w:t>
      </w:r>
      <w:r>
        <w:rPr>
          <w:rFonts w:hint="eastAsia" w:ascii="黑体" w:hAnsi="黑体" w:eastAsia="黑体"/>
          <w:b/>
          <w:color w:val="000000" w:themeColor="text1"/>
          <w:sz w:val="24"/>
          <w14:textFill>
            <w14:solidFill>
              <w14:schemeClr w14:val="tx1"/>
            </w14:solidFill>
          </w14:textFill>
        </w:rPr>
        <w:t>投标人代表须在开标当日保持手机畅通。</w:t>
      </w:r>
      <w:r>
        <w:rPr>
          <w:rFonts w:hint="eastAsia" w:ascii="黑体" w:hAnsi="黑体" w:eastAsia="黑体"/>
          <w:b/>
          <w:bCs/>
          <w:color w:val="000000" w:themeColor="text1"/>
          <w:sz w:val="24"/>
          <w14:textFill>
            <w14:solidFill>
              <w14:schemeClr w14:val="tx1"/>
            </w14:solidFill>
          </w14:textFill>
        </w:rPr>
        <w:t>评标时，如需询标，评委</w:t>
      </w:r>
      <w:r>
        <w:rPr>
          <w:rFonts w:hint="eastAsia" w:ascii="黑体" w:hAnsi="黑体" w:eastAsia="黑体"/>
          <w:b/>
          <w:bCs/>
          <w:color w:val="000000" w:themeColor="text1"/>
          <w:sz w:val="24"/>
          <w:lang w:eastAsia="zh-CN"/>
          <w14:textFill>
            <w14:solidFill>
              <w14:schemeClr w14:val="tx1"/>
            </w14:solidFill>
          </w14:textFill>
        </w:rPr>
        <w:t>会</w:t>
      </w:r>
      <w:r>
        <w:rPr>
          <w:rFonts w:hint="eastAsia" w:ascii="黑体" w:hAnsi="黑体" w:eastAsia="黑体"/>
          <w:b/>
          <w:bCs/>
          <w:color w:val="000000" w:themeColor="text1"/>
          <w:sz w:val="24"/>
          <w14:textFill>
            <w14:solidFill>
              <w14:schemeClr w14:val="tx1"/>
            </w14:solidFill>
          </w14:textFill>
        </w:rPr>
        <w:t>通过“腾讯会议”将需询问的内容告知供应商授权代表，供应商授权代表填写“南通大学采购谈判二次报价单”格式见附件8，签字拍照发送给采购经办人。 事后，供应商授权代表填写好询标内容，签字并盖章后扫描成PDF格式发送邮箱ztb@ntu.edu.cn。</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由采购人的代表和</w:t>
      </w:r>
      <w:r>
        <w:rPr>
          <w:rFonts w:hint="eastAsia" w:ascii="宋体"/>
          <w:color w:val="000000" w:themeColor="text1"/>
          <w:sz w:val="24"/>
          <w:lang w:val="zh-CN"/>
          <w14:textFill>
            <w14:solidFill>
              <w14:schemeClr w14:val="tx1"/>
            </w14:solidFill>
          </w14:textFill>
        </w:rPr>
        <w:t>有关</w:t>
      </w:r>
      <w:r>
        <w:rPr>
          <w:rFonts w:hint="eastAsia"/>
          <w:color w:val="000000" w:themeColor="text1"/>
          <w:sz w:val="24"/>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4.3. </w:t>
      </w:r>
      <w:r>
        <w:rPr>
          <w:rFonts w:hint="eastAsia"/>
          <w:color w:val="000000" w:themeColor="text1"/>
          <w:sz w:val="24"/>
          <w14:textFill>
            <w14:solidFill>
              <w14:schemeClr w14:val="tx1"/>
            </w14:solidFill>
          </w14:textFill>
        </w:rPr>
        <w:t>在竞争性磋商之前，磋商小组要对投标人的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4.4. </w:t>
      </w:r>
      <w:r>
        <w:rPr>
          <w:rFonts w:hint="eastAsia"/>
          <w:color w:val="000000" w:themeColor="text1"/>
          <w:sz w:val="24"/>
          <w14:textFill>
            <w14:solidFill>
              <w14:schemeClr w14:val="tx1"/>
            </w14:solidFill>
          </w14:textFill>
        </w:rPr>
        <w:t>对竞争性磋商文件的实质性要求和条件做出响应的投标应该是与竞争性磋商文件要求的全部条款、条件、指标和规格相符，没有重大偏离的投标。磋商小组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投标文件出现（但不限于）下列情况之一的，由磋商小组评审后作无效投标或废标处理：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不具备竞争性磋商文件规定的资格条件及未按竞争性磋商文件规定的要求提供资格证明文件的；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）重要技术指标和参数不满足竞争性磋商要求的；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）未对竞争性磋商文件实质性要求和条件做出响应的；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）有损害采购人利益的规定的；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4.6. </w:t>
      </w:r>
      <w:r>
        <w:rPr>
          <w:rFonts w:hint="eastAsia"/>
          <w:color w:val="000000" w:themeColor="text1"/>
          <w:sz w:val="24"/>
          <w14:textFill>
            <w14:solidFill>
              <w14:schemeClr w14:val="tx1"/>
            </w14:solidFill>
          </w14:textFill>
        </w:rPr>
        <w:t>磋商小组认为有必要时，将要求投标人述标或对投标文件中某些内容做出澄清或说明，但不接受投标人主动提出的澄清和说明。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4.7. </w:t>
      </w:r>
      <w:r>
        <w:rPr>
          <w:rFonts w:hint="eastAsia"/>
          <w:color w:val="000000" w:themeColor="text1"/>
          <w:sz w:val="24"/>
          <w14:textFill>
            <w14:solidFill>
              <w14:schemeClr w14:val="tx1"/>
            </w14:solidFill>
          </w14:textFill>
        </w:rPr>
        <w:t>磋商小组将从投标人的投标报价、产品质量、技术方案、售后服务、企业状况等经济、技术和商务及其他优惠条件等方面，依据评判标准，对所有投标文件进行综合评分。</w:t>
      </w:r>
    </w:p>
    <w:p>
      <w:pPr>
        <w:spacing w:line="360" w:lineRule="auto"/>
        <w:rPr>
          <w:rFonts w:ascii="宋体"/>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10" w:name="_Toc42777863"/>
      <w:r>
        <w:rPr>
          <w:rFonts w:hint="eastAsia"/>
          <w:color w:val="000000" w:themeColor="text1"/>
          <w14:textFill>
            <w14:solidFill>
              <w14:schemeClr w14:val="tx1"/>
            </w14:solidFill>
          </w14:textFill>
        </w:rPr>
        <w:t>五、竞争性磋商方法及评判标准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（2）本次竞争性磋商采用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p>
      <w:pPr>
        <w:spacing w:line="353" w:lineRule="auto"/>
        <w:rPr>
          <w:rFonts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评判标准</w:t>
      </w:r>
    </w:p>
    <w:tbl>
      <w:tblPr>
        <w:tblStyle w:val="21"/>
        <w:tblpPr w:leftFromText="180" w:rightFromText="180" w:vertAnchor="text" w:horzAnchor="margin" w:tblpX="182" w:tblpY="9"/>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851"/>
        <w:gridCol w:w="1701"/>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425" w:type="dxa"/>
            <w:tcBorders>
              <w:top w:val="single" w:color="auto" w:sz="4" w:space="0"/>
              <w:left w:val="single" w:color="auto" w:sz="4" w:space="0"/>
              <w:right w:val="single" w:color="auto" w:sz="4" w:space="0"/>
            </w:tcBorders>
            <w:vAlign w:val="center"/>
          </w:tcPr>
          <w:p>
            <w:pPr>
              <w:adjustRightInd w:val="0"/>
              <w:jc w:val="center"/>
              <w:textAlignment w:val="baseline"/>
              <w:rPr>
                <w:rFonts w:ascii="宋体" w:hAns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评审因素</w:t>
            </w:r>
          </w:p>
        </w:tc>
        <w:tc>
          <w:tcPr>
            <w:tcW w:w="2552" w:type="dxa"/>
            <w:gridSpan w:val="2"/>
            <w:tcBorders>
              <w:top w:val="single" w:color="auto" w:sz="4" w:space="0"/>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b/>
                <w:color w:val="000000" w:themeColor="text1"/>
                <w:kern w:val="0"/>
                <w:sz w:val="24"/>
                <w14:textFill>
                  <w14:solidFill>
                    <w14:schemeClr w14:val="tx1"/>
                  </w14:solidFill>
                </w14:textFill>
              </w:rPr>
              <w:t>分值</w:t>
            </w:r>
          </w:p>
        </w:tc>
        <w:tc>
          <w:tcPr>
            <w:tcW w:w="492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5" w:type="dxa"/>
            <w:tcBorders>
              <w:top w:val="single" w:color="auto" w:sz="4" w:space="0"/>
              <w:left w:val="single" w:color="auto" w:sz="4" w:space="0"/>
              <w:right w:val="single" w:color="auto" w:sz="4" w:space="0"/>
            </w:tcBorders>
            <w:vAlign w:val="center"/>
          </w:tcPr>
          <w:p>
            <w:pPr>
              <w:adjustRightInd w:val="0"/>
              <w:jc w:val="center"/>
              <w:textAlignment w:val="baseline"/>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磋商报价</w:t>
            </w:r>
          </w:p>
        </w:tc>
        <w:tc>
          <w:tcPr>
            <w:tcW w:w="2552" w:type="dxa"/>
            <w:gridSpan w:val="2"/>
            <w:tcBorders>
              <w:top w:val="single" w:color="auto" w:sz="4" w:space="0"/>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30</w:t>
            </w:r>
          </w:p>
        </w:tc>
        <w:tc>
          <w:tcPr>
            <w:tcW w:w="4927" w:type="dxa"/>
            <w:tcBorders>
              <w:top w:val="single" w:color="auto" w:sz="4" w:space="0"/>
              <w:left w:val="single" w:color="auto" w:sz="4" w:space="0"/>
              <w:bottom w:val="single" w:color="auto" w:sz="4" w:space="0"/>
              <w:right w:val="single" w:color="auto" w:sz="4" w:space="0"/>
            </w:tcBorders>
            <w:vAlign w:val="center"/>
          </w:tcPr>
          <w:p>
            <w:pPr>
              <w:adjustRightInd w:val="0"/>
              <w:ind w:firstLine="480" w:firstLineChars="200"/>
              <w:jc w:val="left"/>
              <w:textAlignment w:val="baseline"/>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满足</w:t>
            </w:r>
            <w:r>
              <w:rPr>
                <w:rFonts w:hint="eastAsia" w:ascii="宋体" w:hAnsi="宋体"/>
                <w:color w:val="000000" w:themeColor="text1"/>
                <w:kern w:val="0"/>
                <w:sz w:val="24"/>
                <w14:textFill>
                  <w14:solidFill>
                    <w14:schemeClr w14:val="tx1"/>
                  </w14:solidFill>
                </w14:textFill>
              </w:rPr>
              <w:t>磋商</w:t>
            </w:r>
            <w:r>
              <w:rPr>
                <w:rFonts w:ascii="宋体" w:hAnsi="宋体"/>
                <w:color w:val="000000" w:themeColor="text1"/>
                <w:kern w:val="0"/>
                <w:sz w:val="24"/>
                <w14:textFill>
                  <w14:solidFill>
                    <w14:schemeClr w14:val="tx1"/>
                  </w14:solidFill>
                </w14:textFill>
              </w:rPr>
              <w:t>文件要求且投标价格最低的投标价为基准价，其价格分为满分。其他投标人的价格分统一按照下列公式计算：</w:t>
            </w:r>
          </w:p>
          <w:p>
            <w:pPr>
              <w:jc w:val="left"/>
              <w:rPr>
                <w:rFonts w:ascii="宋体" w:hAnsi="宋体"/>
                <w:color w:val="000000" w:themeColor="text1"/>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磋商</w:t>
            </w:r>
            <w:r>
              <w:rPr>
                <w:rFonts w:ascii="宋体" w:hAnsi="宋体"/>
                <w:color w:val="000000" w:themeColor="text1"/>
                <w:kern w:val="0"/>
                <w:sz w:val="24"/>
                <w14:textFill>
                  <w14:solidFill>
                    <w14:schemeClr w14:val="tx1"/>
                  </w14:solidFill>
                </w14:textFill>
              </w:rPr>
              <w:t>报价得分=（</w:t>
            </w:r>
            <w:r>
              <w:rPr>
                <w:rFonts w:hint="eastAsia" w:ascii="宋体" w:hAnsi="宋体"/>
                <w:color w:val="000000" w:themeColor="text1"/>
                <w:kern w:val="0"/>
                <w:sz w:val="24"/>
                <w14:textFill>
                  <w14:solidFill>
                    <w14:schemeClr w14:val="tx1"/>
                  </w14:solidFill>
                </w14:textFill>
              </w:rPr>
              <w:t>磋商</w:t>
            </w:r>
            <w:r>
              <w:rPr>
                <w:rFonts w:ascii="宋体" w:hAnsi="宋体"/>
                <w:color w:val="000000" w:themeColor="text1"/>
                <w:kern w:val="0"/>
                <w:sz w:val="24"/>
                <w14:textFill>
                  <w14:solidFill>
                    <w14:schemeClr w14:val="tx1"/>
                  </w14:solidFill>
                </w14:textFill>
              </w:rPr>
              <w:t>基准价/</w:t>
            </w:r>
            <w:r>
              <w:rPr>
                <w:rFonts w:hint="eastAsia" w:ascii="宋体" w:hAnsi="宋体"/>
                <w:color w:val="000000" w:themeColor="text1"/>
                <w:kern w:val="0"/>
                <w:sz w:val="24"/>
                <w14:textFill>
                  <w14:solidFill>
                    <w14:schemeClr w14:val="tx1"/>
                  </w14:solidFill>
                </w14:textFill>
              </w:rPr>
              <w:t>磋商</w:t>
            </w:r>
            <w:r>
              <w:rPr>
                <w:rFonts w:ascii="宋体" w:hAnsi="宋体"/>
                <w:color w:val="000000" w:themeColor="text1"/>
                <w:kern w:val="0"/>
                <w:sz w:val="24"/>
                <w14:textFill>
                  <w14:solidFill>
                    <w14:schemeClr w14:val="tx1"/>
                  </w14:solidFill>
                </w14:textFill>
              </w:rPr>
              <w:t>报价）*30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5" w:type="dxa"/>
            <w:vMerge w:val="restart"/>
            <w:tcBorders>
              <w:top w:val="single" w:color="auto" w:sz="4" w:space="0"/>
              <w:left w:val="single" w:color="auto" w:sz="4" w:space="0"/>
              <w:right w:val="single" w:color="auto" w:sz="4" w:space="0"/>
            </w:tcBorders>
            <w:vAlign w:val="center"/>
          </w:tcPr>
          <w:p>
            <w:pPr>
              <w:adjustRightInd w:val="0"/>
              <w:jc w:val="center"/>
              <w:textAlignment w:val="baseline"/>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投标人综合实力</w:t>
            </w:r>
          </w:p>
        </w:tc>
        <w:tc>
          <w:tcPr>
            <w:tcW w:w="851" w:type="dxa"/>
            <w:vMerge w:val="restart"/>
            <w:tcBorders>
              <w:top w:val="single" w:color="auto" w:sz="4" w:space="0"/>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投标产品资质</w:t>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p>
        </w:tc>
        <w:tc>
          <w:tcPr>
            <w:tcW w:w="4927"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投标人提供原厂商与文件管理相关的国家三级信息系统安全等级保护备案证明的，得1分，没有不得分。</w:t>
            </w:r>
          </w:p>
          <w:p>
            <w:pPr>
              <w:ind w:firstLine="480" w:firstLineChars="200"/>
              <w:jc w:val="lef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投标人具有</w:t>
            </w:r>
            <w:r>
              <w:rPr>
                <w:rFonts w:hint="eastAsia" w:ascii="宋体" w:hAnsi="宋体"/>
                <w:color w:val="000000" w:themeColor="text1"/>
                <w:sz w:val="24"/>
                <w14:textFill>
                  <w14:solidFill>
                    <w14:schemeClr w14:val="tx1"/>
                  </w14:solidFill>
                </w14:textFill>
              </w:rPr>
              <w:t>ISO20000信息技术服务管理体系认证证书</w:t>
            </w:r>
            <w:r>
              <w:rPr>
                <w:rFonts w:ascii="宋体" w:hAnsi="宋体"/>
                <w:color w:val="000000" w:themeColor="text1"/>
                <w:sz w:val="24"/>
                <w14:textFill>
                  <w14:solidFill>
                    <w14:schemeClr w14:val="tx1"/>
                  </w14:solidFill>
                </w14:textFill>
              </w:rPr>
              <w:t>的得</w:t>
            </w:r>
            <w:r>
              <w:rPr>
                <w:rFonts w:hint="eastAsia" w:ascii="宋体" w:hAnsi="宋体"/>
                <w:color w:val="000000" w:themeColor="text1"/>
                <w:sz w:val="24"/>
                <w14:textFill>
                  <w14:solidFill>
                    <w14:schemeClr w14:val="tx1"/>
                  </w14:solidFill>
                </w14:textFill>
              </w:rPr>
              <w:t>1分，没有不得分；</w:t>
            </w:r>
          </w:p>
          <w:p>
            <w:pPr>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投标人具有ISO27001信息安全管理体系认证证书的得1分，没有不得分；</w:t>
            </w:r>
          </w:p>
          <w:p>
            <w:pPr>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投标人具有CSA STAR 云安全或</w:t>
            </w:r>
            <w:r>
              <w:rPr>
                <w:rFonts w:ascii="宋体" w:hAnsi="宋体"/>
                <w:color w:val="000000" w:themeColor="text1"/>
                <w:sz w:val="24"/>
                <w14:textFill>
                  <w14:solidFill>
                    <w14:schemeClr w14:val="tx1"/>
                  </w14:solidFill>
                </w14:textFill>
              </w:rPr>
              <w:t>可信云</w:t>
            </w:r>
            <w:r>
              <w:rPr>
                <w:rFonts w:hint="eastAsia" w:ascii="宋体" w:hAnsi="宋体"/>
                <w:color w:val="000000" w:themeColor="text1"/>
                <w:sz w:val="24"/>
                <w14:textFill>
                  <w14:solidFill>
                    <w14:schemeClr w14:val="tx1"/>
                  </w14:solidFill>
                </w14:textFill>
              </w:rPr>
              <w:t>认证的，得1分，没有不得分；</w:t>
            </w:r>
          </w:p>
          <w:p>
            <w:pPr>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投标人提供所投产品相关软件著作权证书的，得1分，没有不得分；</w:t>
            </w:r>
          </w:p>
          <w:p>
            <w:pPr>
              <w:jc w:val="lef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（以上均须提供相关证明复印件并加盖投标人公章、原件备查。）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5" w:type="dxa"/>
            <w:vMerge w:val="continue"/>
            <w:tcBorders>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p>
        </w:tc>
        <w:tc>
          <w:tcPr>
            <w:tcW w:w="851" w:type="dxa"/>
            <w:vMerge w:val="continue"/>
            <w:tcBorders>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业</w:t>
            </w:r>
            <w:r>
              <w:rPr>
                <w:rFonts w:hint="eastAsia" w:ascii="宋体" w:hAnsi="宋体"/>
                <w:color w:val="000000" w:themeColor="text1"/>
                <w:sz w:val="24"/>
                <w14:textFill>
                  <w14:solidFill>
                    <w14:schemeClr w14:val="tx1"/>
                  </w14:solidFill>
                </w14:textFill>
              </w:rPr>
              <w:t xml:space="preserve"> 绩</w:t>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p>
        </w:tc>
        <w:tc>
          <w:tcPr>
            <w:tcW w:w="4927" w:type="dxa"/>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提供2</w:t>
            </w:r>
            <w:r>
              <w:rPr>
                <w:rFonts w:ascii="宋体" w:hAnsi="宋体"/>
                <w:color w:val="000000" w:themeColor="text1"/>
                <w:sz w:val="24"/>
                <w14:textFill>
                  <w14:solidFill>
                    <w14:schemeClr w14:val="tx1"/>
                  </w14:solidFill>
                </w14:textFill>
              </w:rPr>
              <w:t>01</w:t>
            </w:r>
            <w:r>
              <w:rPr>
                <w:rFonts w:hint="eastAsia" w:ascii="宋体" w:hAnsi="宋体"/>
                <w:color w:val="000000" w:themeColor="text1"/>
                <w:sz w:val="24"/>
                <w14:textFill>
                  <w14:solidFill>
                    <w14:schemeClr w14:val="tx1"/>
                  </w14:solidFill>
                </w14:textFill>
              </w:rPr>
              <w:t>7年1月</w:t>
            </w:r>
            <w:r>
              <w:rPr>
                <w:rFonts w:ascii="宋体" w:hAnsi="宋体"/>
                <w:color w:val="000000" w:themeColor="text1"/>
                <w:sz w:val="24"/>
                <w14:textFill>
                  <w14:solidFill>
                    <w14:schemeClr w14:val="tx1"/>
                  </w14:solidFill>
                </w14:textFill>
              </w:rPr>
              <w:t>以来</w:t>
            </w:r>
            <w:r>
              <w:rPr>
                <w:rFonts w:hint="eastAsia" w:ascii="宋体" w:hAnsi="宋体"/>
                <w:color w:val="000000" w:themeColor="text1"/>
                <w:sz w:val="24"/>
                <w14:textFill>
                  <w14:solidFill>
                    <w14:schemeClr w14:val="tx1"/>
                  </w14:solidFill>
                </w14:textFill>
              </w:rPr>
              <w:t>与本次招标方案类似规模的项目案例（公有云、混合云</w:t>
            </w:r>
            <w:r>
              <w:rPr>
                <w:rFonts w:ascii="宋体" w:hAnsi="宋体"/>
                <w:color w:val="000000" w:themeColor="text1"/>
                <w:sz w:val="24"/>
                <w14:textFill>
                  <w14:solidFill>
                    <w14:schemeClr w14:val="tx1"/>
                  </w14:solidFill>
                </w14:textFill>
              </w:rPr>
              <w:t>或</w:t>
            </w:r>
            <w:r>
              <w:rPr>
                <w:rFonts w:hint="eastAsia" w:ascii="宋体" w:hAnsi="宋体"/>
                <w:color w:val="000000" w:themeColor="text1"/>
                <w:sz w:val="24"/>
                <w14:textFill>
                  <w14:solidFill>
                    <w14:schemeClr w14:val="tx1"/>
                  </w14:solidFill>
                </w14:textFill>
              </w:rPr>
              <w:t>专属共有云案例等），需提供完整的合同复印件、合同清单。</w:t>
            </w:r>
          </w:p>
          <w:p>
            <w:pPr>
              <w:ind w:firstLine="480" w:firstLineChars="20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投标人合同案例以提供的合同为准，要求提供与用户签订的合同首页、合同金额所在页、功能模块证明以及签字盖章页作为证明。每提供一个类似的合同案例得1分，本项目最高得分为</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5" w:type="dxa"/>
            <w:vMerge w:val="restart"/>
            <w:tcBorders>
              <w:top w:val="single" w:color="auto" w:sz="4" w:space="0"/>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功能与技术</w:t>
            </w:r>
          </w:p>
        </w:tc>
        <w:tc>
          <w:tcPr>
            <w:tcW w:w="851" w:type="dxa"/>
            <w:vMerge w:val="restart"/>
            <w:tcBorders>
              <w:top w:val="single" w:color="auto" w:sz="4" w:space="0"/>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40</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整体方案</w:t>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w:t>
            </w:r>
          </w:p>
        </w:tc>
        <w:tc>
          <w:tcPr>
            <w:tcW w:w="4927" w:type="dxa"/>
            <w:tcBorders>
              <w:top w:val="single" w:color="auto" w:sz="4" w:space="0"/>
              <w:left w:val="single" w:color="auto" w:sz="4" w:space="0"/>
              <w:bottom w:val="single" w:color="auto" w:sz="4" w:space="0"/>
              <w:right w:val="single" w:color="auto" w:sz="4" w:space="0"/>
            </w:tcBorders>
            <w:vAlign w:val="center"/>
          </w:tcPr>
          <w:p>
            <w:pPr>
              <w:ind w:firstLine="360" w:firstLineChars="150"/>
              <w:rPr>
                <w:rFonts w:ascii="宋体" w:hAnsi="宋体"/>
                <w:color w:val="000000" w:themeColor="text1"/>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根据磋商文件要求，提供针对本项目的系统架构、</w:t>
            </w:r>
            <w:r>
              <w:rPr>
                <w:rFonts w:hint="eastAsia" w:ascii="宋体" w:hAnsi="宋体"/>
                <w:bCs/>
                <w:color w:val="000000" w:themeColor="text1"/>
                <w:sz w:val="24"/>
                <w14:textFill>
                  <w14:solidFill>
                    <w14:schemeClr w14:val="tx1"/>
                  </w14:solidFill>
                </w14:textFill>
              </w:rPr>
              <w:t>学校定制方案</w:t>
            </w:r>
            <w:r>
              <w:rPr>
                <w:rFonts w:hint="eastAsia" w:ascii="宋体" w:hAnsi="宋体"/>
                <w:color w:val="000000" w:themeColor="text1"/>
                <w:kern w:val="0"/>
                <w:sz w:val="24"/>
                <w14:textFill>
                  <w14:solidFill>
                    <w14:schemeClr w14:val="tx1"/>
                  </w14:solidFill>
                </w14:textFill>
              </w:rPr>
              <w:t>、投标人提供的云服务、数据安全性和可靠性、服务可用性和服务保障能力进行比较，综合分析并对各投标人横向对比。要求</w:t>
            </w:r>
            <w:r>
              <w:rPr>
                <w:rFonts w:hint="eastAsia" w:ascii="宋体" w:hAnsi="宋体"/>
                <w:color w:val="000000" w:themeColor="text1"/>
                <w:sz w:val="24"/>
                <w14:textFill>
                  <w14:solidFill>
                    <w14:schemeClr w14:val="tx1"/>
                  </w14:solidFill>
                </w14:textFill>
              </w:rPr>
              <w:t>方案设计科学合理、具有</w:t>
            </w:r>
            <w:r>
              <w:rPr>
                <w:rFonts w:ascii="宋体" w:hAnsi="宋体"/>
                <w:color w:val="000000" w:themeColor="text1"/>
                <w:sz w:val="24"/>
                <w14:textFill>
                  <w14:solidFill>
                    <w14:schemeClr w14:val="tx1"/>
                  </w14:solidFill>
                </w14:textFill>
              </w:rPr>
              <w:t>创新性、</w:t>
            </w:r>
            <w:r>
              <w:rPr>
                <w:rFonts w:hint="eastAsia" w:ascii="宋体" w:hAnsi="宋体"/>
                <w:color w:val="000000" w:themeColor="text1"/>
                <w:kern w:val="0"/>
                <w:sz w:val="24"/>
                <w14:textFill>
                  <w14:solidFill>
                    <w14:schemeClr w14:val="tx1"/>
                  </w14:solidFill>
                </w14:textFill>
              </w:rPr>
              <w:t>服务保障</w:t>
            </w:r>
            <w:r>
              <w:rPr>
                <w:rFonts w:hint="eastAsia" w:ascii="宋体" w:hAnsi="宋体"/>
                <w:color w:val="000000" w:themeColor="text1"/>
                <w:sz w:val="24"/>
                <w14:textFill>
                  <w14:solidFill>
                    <w14:schemeClr w14:val="tx1"/>
                  </w14:solidFill>
                </w14:textFill>
              </w:rPr>
              <w:t>内容详实</w:t>
            </w:r>
            <w:r>
              <w:rPr>
                <w:rFonts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表述清晰。</w:t>
            </w:r>
            <w:r>
              <w:rPr>
                <w:rFonts w:hint="eastAsia" w:ascii="宋体" w:hAnsi="宋体"/>
                <w:color w:val="000000" w:themeColor="text1"/>
                <w:kern w:val="0"/>
                <w:sz w:val="24"/>
                <w14:textFill>
                  <w14:solidFill>
                    <w14:schemeClr w14:val="tx1"/>
                  </w14:solidFill>
                </w14:textFill>
              </w:rPr>
              <w:t>优得</w:t>
            </w:r>
            <w:r>
              <w:rPr>
                <w:rFonts w:ascii="宋体" w:hAnsi="宋体"/>
                <w:color w:val="000000" w:themeColor="text1"/>
                <w:kern w:val="0"/>
                <w:sz w:val="24"/>
                <w14:textFill>
                  <w14:solidFill>
                    <w14:schemeClr w14:val="tx1"/>
                  </w14:solidFill>
                </w14:textFill>
              </w:rPr>
              <w:t>12</w:t>
            </w:r>
            <w:r>
              <w:rPr>
                <w:rFonts w:hint="eastAsia" w:ascii="宋体" w:hAnsi="宋体"/>
                <w:color w:val="000000" w:themeColor="text1"/>
                <w:kern w:val="0"/>
                <w:sz w:val="24"/>
                <w14:textFill>
                  <w14:solidFill>
                    <w14:schemeClr w14:val="tx1"/>
                  </w14:solidFill>
                </w14:textFill>
              </w:rPr>
              <w:t>-</w:t>
            </w:r>
            <w:r>
              <w:rPr>
                <w:rFonts w:ascii="宋体" w:hAnsi="宋体"/>
                <w:color w:val="000000" w:themeColor="text1"/>
                <w:kern w:val="0"/>
                <w:sz w:val="24"/>
                <w14:textFill>
                  <w14:solidFill>
                    <w14:schemeClr w14:val="tx1"/>
                  </w14:solidFill>
                </w14:textFill>
              </w:rPr>
              <w:t>15</w:t>
            </w:r>
            <w:r>
              <w:rPr>
                <w:rFonts w:hint="eastAsia" w:ascii="宋体" w:hAnsi="宋体"/>
                <w:color w:val="000000" w:themeColor="text1"/>
                <w:kern w:val="0"/>
                <w:sz w:val="24"/>
                <w14:textFill>
                  <w14:solidFill>
                    <w14:schemeClr w14:val="tx1"/>
                  </w14:solidFill>
                </w14:textFill>
              </w:rPr>
              <w:t>分，良得</w:t>
            </w:r>
            <w:r>
              <w:rPr>
                <w:rFonts w:ascii="宋体" w:hAnsi="宋体"/>
                <w:color w:val="000000" w:themeColor="text1"/>
                <w:kern w:val="0"/>
                <w:sz w:val="24"/>
                <w14:textFill>
                  <w14:solidFill>
                    <w14:schemeClr w14:val="tx1"/>
                  </w14:solidFill>
                </w14:textFill>
              </w:rPr>
              <w:t>8</w:t>
            </w:r>
            <w:r>
              <w:rPr>
                <w:rFonts w:hint="eastAsia" w:ascii="宋体" w:hAnsi="宋体"/>
                <w:color w:val="000000" w:themeColor="text1"/>
                <w:kern w:val="0"/>
                <w:sz w:val="24"/>
                <w14:textFill>
                  <w14:solidFill>
                    <w14:schemeClr w14:val="tx1"/>
                  </w14:solidFill>
                </w14:textFill>
              </w:rPr>
              <w:t>-</w:t>
            </w:r>
            <w:r>
              <w:rPr>
                <w:rFonts w:ascii="宋体" w:hAnsi="宋体"/>
                <w:color w:val="000000" w:themeColor="text1"/>
                <w:kern w:val="0"/>
                <w:sz w:val="24"/>
                <w14:textFill>
                  <w14:solidFill>
                    <w14:schemeClr w14:val="tx1"/>
                  </w14:solidFill>
                </w14:textFill>
              </w:rPr>
              <w:t>11</w:t>
            </w:r>
            <w:r>
              <w:rPr>
                <w:rFonts w:hint="eastAsia" w:ascii="宋体" w:hAnsi="宋体"/>
                <w:color w:val="000000" w:themeColor="text1"/>
                <w:kern w:val="0"/>
                <w:sz w:val="24"/>
                <w14:textFill>
                  <w14:solidFill>
                    <w14:schemeClr w14:val="tx1"/>
                  </w14:solidFill>
                </w14:textFill>
              </w:rPr>
              <w:t xml:space="preserve">分，一般得 </w:t>
            </w:r>
            <w:r>
              <w:rPr>
                <w:rFonts w:ascii="宋体" w:hAnsi="宋体"/>
                <w:color w:val="000000" w:themeColor="text1"/>
                <w:kern w:val="0"/>
                <w:sz w:val="24"/>
                <w14:textFill>
                  <w14:solidFill>
                    <w14:schemeClr w14:val="tx1"/>
                  </w14:solidFill>
                </w14:textFill>
              </w:rPr>
              <w:t>1</w:t>
            </w:r>
            <w:r>
              <w:rPr>
                <w:rFonts w:hint="eastAsia" w:ascii="宋体" w:hAnsi="宋体"/>
                <w:color w:val="000000" w:themeColor="text1"/>
                <w:kern w:val="0"/>
                <w:sz w:val="24"/>
                <w14:textFill>
                  <w14:solidFill>
                    <w14:schemeClr w14:val="tx1"/>
                  </w14:solidFill>
                </w14:textFill>
              </w:rPr>
              <w:t>-</w:t>
            </w:r>
            <w:r>
              <w:rPr>
                <w:rFonts w:ascii="宋体" w:hAnsi="宋体"/>
                <w:color w:val="000000" w:themeColor="text1"/>
                <w:kern w:val="0"/>
                <w:sz w:val="24"/>
                <w14:textFill>
                  <w14:solidFill>
                    <w14:schemeClr w14:val="tx1"/>
                  </w14:solidFill>
                </w14:textFill>
              </w:rPr>
              <w:t>7</w:t>
            </w:r>
            <w:r>
              <w:rPr>
                <w:rFonts w:hint="eastAsia" w:ascii="宋体" w:hAnsi="宋体"/>
                <w:color w:val="000000" w:themeColor="text1"/>
                <w:kern w:val="0"/>
                <w:sz w:val="24"/>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5" w:type="dxa"/>
            <w:vMerge w:val="continue"/>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p>
        </w:tc>
        <w:tc>
          <w:tcPr>
            <w:tcW w:w="851" w:type="dxa"/>
            <w:vMerge w:val="continue"/>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功能响应</w:t>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25</w:t>
            </w:r>
          </w:p>
        </w:tc>
        <w:tc>
          <w:tcPr>
            <w:tcW w:w="4927" w:type="dxa"/>
            <w:tcBorders>
              <w:top w:val="single" w:color="auto" w:sz="4" w:space="0"/>
              <w:left w:val="single" w:color="auto" w:sz="4" w:space="0"/>
              <w:bottom w:val="single" w:color="auto" w:sz="4" w:space="0"/>
              <w:right w:val="single" w:color="auto" w:sz="4" w:space="0"/>
            </w:tcBorders>
            <w:vAlign w:val="center"/>
          </w:tcPr>
          <w:p>
            <w:pPr>
              <w:ind w:firstLine="360" w:firstLineChars="150"/>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综合分析并对投标产品的文件同步、协同办公、文件分享、文件备份、移动办公和管理工具等功能响应进行横向对比，投标产品全部满足招标文件所列的功能和技术指标要求，得</w:t>
            </w:r>
            <w:r>
              <w:rPr>
                <w:rFonts w:ascii="宋体" w:hAnsi="宋体"/>
                <w:color w:val="000000" w:themeColor="text1"/>
                <w:kern w:val="0"/>
                <w:sz w:val="24"/>
                <w14:textFill>
                  <w14:solidFill>
                    <w14:schemeClr w14:val="tx1"/>
                  </w14:solidFill>
                </w14:textFill>
              </w:rPr>
              <w:t>20</w:t>
            </w:r>
            <w:r>
              <w:rPr>
                <w:rFonts w:hint="eastAsia" w:ascii="宋体" w:hAnsi="宋体"/>
                <w:color w:val="000000" w:themeColor="text1"/>
                <w:kern w:val="0"/>
                <w:sz w:val="24"/>
                <w14:textFill>
                  <w14:solidFill>
                    <w14:schemeClr w14:val="tx1"/>
                  </w14:solidFill>
                </w14:textFill>
              </w:rPr>
              <w:t>分；功能和技术指标有实质性正偏离的，每项加</w:t>
            </w:r>
            <w:r>
              <w:rPr>
                <w:rFonts w:ascii="宋体" w:hAnsi="宋体"/>
                <w:color w:val="000000" w:themeColor="text1"/>
                <w:kern w:val="0"/>
                <w:sz w:val="24"/>
                <w14:textFill>
                  <w14:solidFill>
                    <w14:schemeClr w14:val="tx1"/>
                  </w14:solidFill>
                </w14:textFill>
              </w:rPr>
              <w:t>1</w:t>
            </w:r>
            <w:r>
              <w:rPr>
                <w:rFonts w:hint="eastAsia" w:ascii="宋体" w:hAnsi="宋体"/>
                <w:color w:val="000000" w:themeColor="text1"/>
                <w:kern w:val="0"/>
                <w:sz w:val="24"/>
                <w14:textFill>
                  <w14:solidFill>
                    <w14:schemeClr w14:val="tx1"/>
                  </w14:solidFill>
                </w14:textFill>
              </w:rPr>
              <w:t>分，最多加5分。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5" w:type="dxa"/>
            <w:vMerge w:val="restart"/>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实施与售后</w:t>
            </w:r>
          </w:p>
        </w:tc>
        <w:tc>
          <w:tcPr>
            <w:tcW w:w="851" w:type="dxa"/>
            <w:vMerge w:val="restart"/>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运维服务</w:t>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分</w:t>
            </w:r>
          </w:p>
        </w:tc>
        <w:tc>
          <w:tcPr>
            <w:tcW w:w="4927"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根据招标文件要求，对投标人的服务弹性扩容能力、存储空间逐年扩容机制、系统上线时间、运维管理方案、终端用户服务方案以及提供的用户授权和存储资源配置方案等运维服务进行横向对比。优得8-10分，良5-7分，一般得1-4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25" w:type="dxa"/>
            <w:vMerge w:val="continue"/>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p>
        </w:tc>
        <w:tc>
          <w:tcPr>
            <w:tcW w:w="851" w:type="dxa"/>
            <w:vMerge w:val="continue"/>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p>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实施</w:t>
            </w:r>
            <w:r>
              <w:rPr>
                <w:rFonts w:ascii="宋体" w:hAnsi="宋体"/>
                <w:color w:val="000000" w:themeColor="text1"/>
                <w:sz w:val="24"/>
                <w14:textFill>
                  <w14:solidFill>
                    <w14:schemeClr w14:val="tx1"/>
                  </w14:solidFill>
                </w14:textFill>
              </w:rPr>
              <w:t>能力</w:t>
            </w:r>
          </w:p>
          <w:p>
            <w:pPr>
              <w:jc w:val="center"/>
              <w:rPr>
                <w:rFonts w:ascii="宋体" w:hAnsi="宋体" w:cs="宋体"/>
                <w:bCs/>
                <w:spacing w:val="-6"/>
                <w:szCs w:val="21"/>
              </w:rPr>
            </w:pPr>
            <w:r>
              <w:rPr>
                <w:rFonts w:ascii="宋体" w:hAnsi="宋体"/>
                <w:color w:val="000000" w:themeColor="text1"/>
                <w:sz w:val="24"/>
                <w14:textFill>
                  <w14:solidFill>
                    <w14:schemeClr w14:val="tx1"/>
                  </w14:solidFill>
                </w14:textFill>
              </w:rPr>
              <w:t>9</w:t>
            </w:r>
          </w:p>
        </w:tc>
        <w:tc>
          <w:tcPr>
            <w:tcW w:w="4927" w:type="dxa"/>
            <w:tcBorders>
              <w:top w:val="single" w:color="auto" w:sz="4" w:space="0"/>
              <w:left w:val="single" w:color="auto" w:sz="4" w:space="0"/>
              <w:bottom w:val="single" w:color="auto" w:sz="4" w:space="0"/>
              <w:right w:val="single" w:color="auto" w:sz="4" w:space="0"/>
            </w:tcBorders>
            <w:vAlign w:val="center"/>
          </w:tcPr>
          <w:p>
            <w:pPr>
              <w:ind w:firstLine="360" w:firstLineChars="150"/>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针对建设方案设计项目实施管理方案，符合采购文件要求且规范细致，项目组织架构清晰，项目计划有序可控，提供针对教学、科研和管理人员的不同培训和推广方案，能够保障项目实施的优质高效和时效性。优得</w:t>
            </w:r>
            <w:r>
              <w:rPr>
                <w:rFonts w:ascii="宋体" w:hAnsi="宋体"/>
                <w:color w:val="000000" w:themeColor="text1"/>
                <w:kern w:val="0"/>
                <w:sz w:val="24"/>
                <w14:textFill>
                  <w14:solidFill>
                    <w14:schemeClr w14:val="tx1"/>
                  </w14:solidFill>
                </w14:textFill>
              </w:rPr>
              <w:t>7</w:t>
            </w:r>
            <w:r>
              <w:rPr>
                <w:rFonts w:hint="eastAsia" w:ascii="宋体" w:hAnsi="宋体"/>
                <w:color w:val="000000" w:themeColor="text1"/>
                <w:kern w:val="0"/>
                <w:sz w:val="24"/>
                <w14:textFill>
                  <w14:solidFill>
                    <w14:schemeClr w14:val="tx1"/>
                  </w14:solidFill>
                </w14:textFill>
              </w:rPr>
              <w:t>-</w:t>
            </w:r>
            <w:r>
              <w:rPr>
                <w:rFonts w:ascii="宋体" w:hAnsi="宋体"/>
                <w:color w:val="000000" w:themeColor="text1"/>
                <w:kern w:val="0"/>
                <w:sz w:val="24"/>
                <w14:textFill>
                  <w14:solidFill>
                    <w14:schemeClr w14:val="tx1"/>
                  </w14:solidFill>
                </w14:textFill>
              </w:rPr>
              <w:t>9</w:t>
            </w:r>
            <w:r>
              <w:rPr>
                <w:rFonts w:hint="eastAsia" w:ascii="宋体" w:hAnsi="宋体"/>
                <w:color w:val="000000" w:themeColor="text1"/>
                <w:kern w:val="0"/>
                <w:sz w:val="24"/>
                <w14:textFill>
                  <w14:solidFill>
                    <w14:schemeClr w14:val="tx1"/>
                  </w14:solidFill>
                </w14:textFill>
              </w:rPr>
              <w:t>分，良</w:t>
            </w:r>
            <w:r>
              <w:rPr>
                <w:rFonts w:ascii="宋体" w:hAnsi="宋体"/>
                <w:color w:val="000000" w:themeColor="text1"/>
                <w:kern w:val="0"/>
                <w:sz w:val="24"/>
                <w14:textFill>
                  <w14:solidFill>
                    <w14:schemeClr w14:val="tx1"/>
                  </w14:solidFill>
                </w14:textFill>
              </w:rPr>
              <w:t>4</w:t>
            </w:r>
            <w:r>
              <w:rPr>
                <w:rFonts w:hint="eastAsia" w:ascii="宋体" w:hAnsi="宋体"/>
                <w:color w:val="000000" w:themeColor="text1"/>
                <w:kern w:val="0"/>
                <w:sz w:val="24"/>
                <w14:textFill>
                  <w14:solidFill>
                    <w14:schemeClr w14:val="tx1"/>
                  </w14:solidFill>
                </w14:textFill>
              </w:rPr>
              <w:t>-</w:t>
            </w:r>
            <w:r>
              <w:rPr>
                <w:rFonts w:ascii="宋体" w:hAnsi="宋体"/>
                <w:color w:val="000000" w:themeColor="text1"/>
                <w:kern w:val="0"/>
                <w:sz w:val="24"/>
                <w14:textFill>
                  <w14:solidFill>
                    <w14:schemeClr w14:val="tx1"/>
                  </w14:solidFill>
                </w14:textFill>
              </w:rPr>
              <w:t>6</w:t>
            </w:r>
            <w:r>
              <w:rPr>
                <w:rFonts w:hint="eastAsia" w:ascii="宋体" w:hAnsi="宋体"/>
                <w:color w:val="000000" w:themeColor="text1"/>
                <w:kern w:val="0"/>
                <w:sz w:val="24"/>
                <w14:textFill>
                  <w14:solidFill>
                    <w14:schemeClr w14:val="tx1"/>
                  </w14:solidFill>
                </w14:textFill>
              </w:rPr>
              <w:t>分，一般得1-</w:t>
            </w:r>
            <w:r>
              <w:rPr>
                <w:rFonts w:ascii="宋体" w:hAnsi="宋体"/>
                <w:color w:val="000000" w:themeColor="text1"/>
                <w:kern w:val="0"/>
                <w:sz w:val="24"/>
                <w14:textFill>
                  <w14:solidFill>
                    <w14:schemeClr w14:val="tx1"/>
                  </w14:solidFill>
                </w14:textFill>
              </w:rPr>
              <w:t>3</w:t>
            </w:r>
            <w:r>
              <w:rPr>
                <w:rFonts w:hint="eastAsia" w:ascii="宋体" w:hAnsi="宋体"/>
                <w:color w:val="000000" w:themeColor="text1"/>
                <w:kern w:val="0"/>
                <w:sz w:val="24"/>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trPr>
        <w:tc>
          <w:tcPr>
            <w:tcW w:w="1425" w:type="dxa"/>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其他</w:t>
            </w:r>
          </w:p>
        </w:tc>
        <w:tc>
          <w:tcPr>
            <w:tcW w:w="851" w:type="dxa"/>
            <w:tcBorders>
              <w:left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投标文件</w:t>
            </w:r>
          </w:p>
          <w:p>
            <w:pPr>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w:t>
            </w:r>
          </w:p>
        </w:tc>
        <w:tc>
          <w:tcPr>
            <w:tcW w:w="4927"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根据投标文件对招标文件的响应情况、表述清晰程度、规范性等评分。标书规范且有关键指标索引的，得1分，其他酌情扣减，扣完为止。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trPr>
        <w:tc>
          <w:tcPr>
            <w:tcW w:w="14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合计</w:t>
            </w:r>
          </w:p>
        </w:tc>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100</w:t>
            </w:r>
          </w:p>
        </w:tc>
        <w:tc>
          <w:tcPr>
            <w:tcW w:w="662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投标人最后得分保留两位小数</w:t>
            </w:r>
          </w:p>
        </w:tc>
      </w:tr>
    </w:tbl>
    <w:p>
      <w:pPr>
        <w:adjustRightInd w:val="0"/>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注</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1、为便于评分，请投标人按评分表样式，逐条列出证明材料所在页码，格式自定。</w:t>
      </w:r>
    </w:p>
    <w:p>
      <w:pPr>
        <w:adjustRightInd w:val="0"/>
        <w:spacing w:line="360" w:lineRule="auto"/>
        <w:ind w:firstLine="964" w:firstLineChars="4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2、投标文档须提供投标人所投标产品的相关截图，以方便专家评判。</w:t>
      </w:r>
    </w:p>
    <w:p>
      <w:pPr>
        <w:spacing w:line="353"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pStyle w:val="3"/>
        <w:rPr>
          <w:rFonts w:ascii="宋体"/>
          <w:b w:val="0"/>
          <w:color w:val="000000" w:themeColor="text1"/>
          <w:sz w:val="24"/>
          <w14:textFill>
            <w14:solidFill>
              <w14:schemeClr w14:val="tx1"/>
            </w14:solidFill>
          </w14:textFill>
        </w:rPr>
      </w:pPr>
      <w:bookmarkStart w:id="11" w:name="_Toc42777864"/>
      <w:r>
        <w:rPr>
          <w:rFonts w:hint="eastAsia"/>
          <w:color w:val="000000" w:themeColor="text1"/>
          <w14:textFill>
            <w14:solidFill>
              <w14:schemeClr w14:val="tx1"/>
            </w14:solidFill>
          </w14:textFill>
        </w:rPr>
        <w:t>六、</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定标</w:t>
      </w:r>
      <w:bookmarkEnd w:id="11"/>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rFonts w:hint="eastAsia"/>
          <w:bCs/>
          <w:color w:val="000000" w:themeColor="text1"/>
          <w:sz w:val="24"/>
          <w14:textFill>
            <w14:solidFill>
              <w14:schemeClr w14:val="tx1"/>
            </w14:solidFill>
          </w14:textFill>
        </w:rPr>
        <w:t>磋商</w:t>
      </w:r>
      <w:r>
        <w:rPr>
          <w:rFonts w:hint="eastAsia"/>
          <w:color w:val="000000" w:themeColor="text1"/>
          <w:sz w:val="24"/>
          <w14:textFill>
            <w14:solidFill>
              <w14:schemeClr w14:val="tx1"/>
            </w14:solidFill>
          </w14:textFill>
        </w:rPr>
        <w:t>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得分相同的，按投标报价由低到高顺序排列。得分最高且排名第一的投标人将被推荐为中标候选人或者直接被确定为中标人。</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bCs/>
          <w:color w:val="000000" w:themeColor="text1"/>
          <w:sz w:val="24"/>
          <w14:textFill>
            <w14:solidFill>
              <w14:schemeClr w14:val="tx1"/>
            </w14:solidFill>
          </w14:textFill>
        </w:rPr>
        <w:t>磋商</w:t>
      </w:r>
      <w:r>
        <w:rPr>
          <w:rFonts w:hint="eastAsia"/>
          <w:color w:val="000000" w:themeColor="text1"/>
          <w:sz w:val="24"/>
          <w14:textFill>
            <w14:solidFill>
              <w14:schemeClr w14:val="tx1"/>
            </w14:solidFill>
          </w14:textFill>
        </w:rPr>
        <w:t>小组</w:t>
      </w:r>
      <w:r>
        <w:rPr>
          <w:rFonts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w:t>
      </w:r>
      <w:r>
        <w:rPr>
          <w:rFonts w:hint="eastAsia" w:ascii="宋体"/>
          <w:color w:val="000000" w:themeColor="text1"/>
          <w:sz w:val="24"/>
          <w:lang w:val="zh-CN"/>
          <w14:textFill>
            <w14:solidFill>
              <w14:schemeClr w14:val="tx1"/>
            </w14:solidFill>
          </w14:textFill>
        </w:rPr>
        <w:t>若</w:t>
      </w:r>
      <w:r>
        <w:rPr>
          <w:rFonts w:ascii="宋体"/>
          <w:color w:val="000000" w:themeColor="text1"/>
          <w:sz w:val="24"/>
          <w:lang w:val="zh-CN"/>
          <w14:textFill>
            <w14:solidFill>
              <w14:schemeClr w14:val="tx1"/>
            </w14:solidFill>
          </w14:textFill>
        </w:rPr>
        <w:t>无合理说明，不能证明其报价合理性的，</w:t>
      </w:r>
      <w:r>
        <w:rPr>
          <w:rFonts w:hint="eastAsia"/>
          <w:color w:val="000000" w:themeColor="text1"/>
          <w:sz w:val="24"/>
          <w14:textFill>
            <w14:solidFill>
              <w14:schemeClr w14:val="tx1"/>
            </w14:solidFill>
          </w14:textFill>
        </w:rPr>
        <w:t>磋商小组</w:t>
      </w:r>
      <w:r>
        <w:rPr>
          <w:rFonts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磋商小组认为所有投标报价均不合理或所有投标方案均不能满足采购人要求时，有权否决所有投标，磋商小组也没有义务必须接受最低报价的投标。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出现下列情形之一的，采购人有权决定本次招标作废标处理：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对未中标的投标人，采购人不做未中标解释。</w:t>
      </w:r>
    </w:p>
    <w:p>
      <w:pPr>
        <w:spacing w:line="360" w:lineRule="auto"/>
        <w:ind w:firstLine="472" w:firstLineChars="196"/>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12" w:name="_Toc42777865"/>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中标人确定后，采购人将通过学校招标网公示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天，公示期满无异议，中标人应在30日内与采购人签订采购合同，过期视为放弃中标。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如投标人中标后悔标，采购人将取消该投标人本次中标资格及今后两年内的投标资格。</w:t>
      </w:r>
    </w:p>
    <w:p>
      <w:pPr>
        <w:pStyle w:val="3"/>
        <w:rPr>
          <w:rFonts w:ascii="宋体"/>
          <w:b w:val="0"/>
          <w:color w:val="000000" w:themeColor="text1"/>
          <w:sz w:val="24"/>
          <w14:textFill>
            <w14:solidFill>
              <w14:schemeClr w14:val="tx1"/>
            </w14:solidFill>
          </w14:textFill>
        </w:rPr>
      </w:pPr>
      <w:bookmarkStart w:id="13" w:name="_Toc42777866"/>
      <w:r>
        <w:rPr>
          <w:rFonts w:hint="eastAsia" w:ascii="宋体" w:hAnsi="宋体"/>
          <w:color w:val="000000" w:themeColor="text1"/>
          <w:sz w:val="24"/>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ascii="黑体" w:eastAsia="黑体"/>
          <w:b/>
          <w:color w:val="000000" w:themeColor="text1"/>
          <w:sz w:val="24"/>
          <w14:textFill>
            <w14:solidFill>
              <w14:schemeClr w14:val="tx1"/>
            </w14:solidFill>
          </w14:textFill>
        </w:rPr>
        <w:t xml:space="preserve">8.1. </w:t>
      </w:r>
      <w:r>
        <w:rPr>
          <w:rFonts w:hint="eastAsia" w:ascii="黑体" w:eastAsia="黑体"/>
          <w:b/>
          <w:color w:val="000000" w:themeColor="text1"/>
          <w:sz w:val="24"/>
          <w14:textFill>
            <w14:solidFill>
              <w14:schemeClr w14:val="tx1"/>
            </w14:solidFill>
          </w14:textFill>
        </w:rPr>
        <w:t>投标人无论中标与否，采购人不承担投标人参加投标的任何费用。</w:t>
      </w:r>
    </w:p>
    <w:p>
      <w:pPr>
        <w:pStyle w:val="2"/>
        <w:jc w:val="center"/>
      </w:pPr>
      <w:r>
        <w:rPr>
          <w:rFonts w:ascii="宋体"/>
          <w:spacing w:val="4"/>
        </w:rPr>
        <w:br w:type="page"/>
      </w:r>
      <w:bookmarkStart w:id="14" w:name="_Toc42777867"/>
      <w:r>
        <w:rPr>
          <w:rFonts w:hint="eastAsia"/>
        </w:rPr>
        <w:t>第三部分</w:t>
      </w:r>
      <w:r>
        <w:t xml:space="preserve">  </w:t>
      </w:r>
      <w:r>
        <w:rPr>
          <w:rFonts w:hint="eastAsia"/>
        </w:rPr>
        <w:t>采购项目要求及相关说明</w:t>
      </w:r>
      <w:bookmarkEnd w:id="14"/>
      <w:bookmarkStart w:id="15" w:name="_Toc34991458"/>
    </w:p>
    <w:p>
      <w:pPr>
        <w:spacing w:after="120" w:line="360" w:lineRule="auto"/>
        <w:ind w:firstLine="420"/>
        <w:jc w:val="center"/>
        <w:rPr>
          <w:rFonts w:ascii="华文中宋" w:hAnsi="华文中宋" w:eastAsia="华文中宋"/>
          <w:sz w:val="32"/>
          <w:szCs w:val="32"/>
        </w:rPr>
      </w:pPr>
      <w:r>
        <w:rPr>
          <w:rFonts w:hint="eastAsia" w:ascii="华文中宋" w:hAnsi="华文中宋" w:eastAsia="华文中宋"/>
          <w:sz w:val="32"/>
          <w:szCs w:val="32"/>
        </w:rPr>
        <w:t>南通大学教职工个人云存储服务（专属公有云）</w:t>
      </w:r>
    </w:p>
    <w:p>
      <w:pPr>
        <w:spacing w:after="120" w:line="360" w:lineRule="auto"/>
        <w:ind w:firstLine="420"/>
        <w:jc w:val="center"/>
        <w:rPr>
          <w:rFonts w:ascii="华文中宋" w:hAnsi="华文中宋" w:eastAsia="华文中宋"/>
          <w:sz w:val="32"/>
          <w:szCs w:val="32"/>
        </w:rPr>
      </w:pPr>
      <w:r>
        <w:rPr>
          <w:rFonts w:hint="eastAsia" w:ascii="华文中宋" w:hAnsi="华文中宋" w:eastAsia="华文中宋"/>
          <w:sz w:val="32"/>
          <w:szCs w:val="32"/>
        </w:rPr>
        <w:t>建设方案</w:t>
      </w:r>
    </w:p>
    <w:p>
      <w:pPr>
        <w:spacing w:after="120" w:line="360" w:lineRule="auto"/>
        <w:ind w:firstLine="420"/>
        <w:outlineLvl w:val="0"/>
        <w:rPr>
          <w:rFonts w:ascii="华文中宋" w:hAnsi="华文中宋" w:eastAsia="华文中宋"/>
          <w:sz w:val="28"/>
          <w:szCs w:val="32"/>
        </w:rPr>
      </w:pPr>
      <w:bookmarkStart w:id="16" w:name="_Toc42777868"/>
      <w:r>
        <w:rPr>
          <w:rFonts w:hint="eastAsia" w:ascii="华文中宋" w:hAnsi="华文中宋" w:eastAsia="华文中宋"/>
          <w:sz w:val="28"/>
          <w:szCs w:val="32"/>
        </w:rPr>
        <w:t>一、建设目标</w:t>
      </w:r>
      <w:bookmarkEnd w:id="16"/>
    </w:p>
    <w:p>
      <w:pPr>
        <w:spacing w:after="120" w:line="360" w:lineRule="auto"/>
        <w:ind w:firstLine="420"/>
        <w:rPr>
          <w:rFonts w:ascii="宋体" w:hAnsi="宋体"/>
          <w:sz w:val="24"/>
          <w:szCs w:val="28"/>
        </w:rPr>
      </w:pPr>
      <w:r>
        <w:rPr>
          <w:rFonts w:hint="eastAsia" w:ascii="宋体" w:hAnsi="宋体"/>
          <w:sz w:val="24"/>
          <w:szCs w:val="28"/>
        </w:rPr>
        <w:t>南通大学教职工个人云存储服务（专属公有云），是指依托专业的知名云盘厂商和公有云服务商，构建南通大学专属私有化公有云服务，以</w:t>
      </w:r>
      <w:r>
        <w:rPr>
          <w:rFonts w:ascii="宋体" w:hAnsi="宋体"/>
          <w:sz w:val="24"/>
          <w:szCs w:val="28"/>
        </w:rPr>
        <w:t>S</w:t>
      </w:r>
      <w:r>
        <w:rPr>
          <w:rFonts w:hint="eastAsia" w:ascii="宋体" w:hAnsi="宋体"/>
          <w:sz w:val="24"/>
          <w:szCs w:val="28"/>
        </w:rPr>
        <w:t>aaS模式向南通大学教职工提供文件存储与协作服务的云平台，实现文件的安全访问与团队的高效协作。</w:t>
      </w:r>
    </w:p>
    <w:p>
      <w:pPr>
        <w:spacing w:after="120" w:line="360" w:lineRule="auto"/>
        <w:ind w:firstLine="420"/>
        <w:rPr>
          <w:rFonts w:ascii="宋体" w:hAnsi="宋体"/>
          <w:sz w:val="24"/>
          <w:szCs w:val="28"/>
        </w:rPr>
      </w:pPr>
      <w:r>
        <w:rPr>
          <w:rFonts w:hint="eastAsia" w:ascii="宋体" w:hAnsi="宋体"/>
          <w:sz w:val="24"/>
          <w:szCs w:val="28"/>
        </w:rPr>
        <w:t>南通大学教职工个人云存储服务（下称南通大学云盘），将为南通大学教职工提供安全可靠的云存储服务，为用户提供基于存储服务设计的协作、分享、在线编辑、预览、历史版本和搜索等应用功能。可在主流操作系统和任意终端设备随时随地访问个人存储数据，提供完备的数据安全保护和备份机制，同时提供最高程度的安全保障。</w:t>
      </w:r>
    </w:p>
    <w:p>
      <w:pPr>
        <w:spacing w:after="120" w:line="360" w:lineRule="auto"/>
        <w:ind w:firstLine="420"/>
        <w:outlineLvl w:val="0"/>
        <w:rPr>
          <w:rFonts w:ascii="华文中宋" w:hAnsi="华文中宋" w:eastAsia="华文中宋"/>
          <w:sz w:val="28"/>
          <w:szCs w:val="32"/>
        </w:rPr>
      </w:pPr>
      <w:bookmarkStart w:id="17" w:name="_Toc42777869"/>
      <w:r>
        <w:rPr>
          <w:rFonts w:hint="eastAsia" w:ascii="华文中宋" w:hAnsi="华文中宋" w:eastAsia="华文中宋"/>
          <w:sz w:val="28"/>
          <w:szCs w:val="32"/>
        </w:rPr>
        <w:t>二、建设要求</w:t>
      </w:r>
      <w:bookmarkEnd w:id="17"/>
    </w:p>
    <w:p>
      <w:pPr>
        <w:spacing w:after="120" w:line="360" w:lineRule="auto"/>
        <w:ind w:firstLine="420"/>
        <w:rPr>
          <w:sz w:val="24"/>
        </w:rPr>
      </w:pPr>
      <w:r>
        <w:rPr>
          <w:rFonts w:hint="eastAsia"/>
          <w:sz w:val="24"/>
        </w:rPr>
        <w:t>1、性能优越和灵活性</w:t>
      </w:r>
    </w:p>
    <w:p>
      <w:pPr>
        <w:spacing w:after="120" w:line="360" w:lineRule="auto"/>
        <w:ind w:firstLine="420"/>
        <w:rPr>
          <w:rFonts w:ascii="宋体" w:hAnsi="宋体"/>
          <w:sz w:val="24"/>
          <w:szCs w:val="28"/>
        </w:rPr>
      </w:pPr>
      <w:r>
        <w:rPr>
          <w:rFonts w:hint="eastAsia" w:ascii="宋体" w:hAnsi="宋体"/>
          <w:sz w:val="24"/>
          <w:szCs w:val="28"/>
        </w:rPr>
        <w:t>要求公有云服务须采用多线接入，保障南通大学用户从电信、联通、移动、教科网和海外网络，均以最优线路访问。具备底层服务弹性扩容能力，支持一个工作日内完成对存储和服务功能扩容。根据南通大学年实际存储容量，建立逐年稳步扩容机制。</w:t>
      </w:r>
    </w:p>
    <w:p>
      <w:pPr>
        <w:spacing w:after="120" w:line="360" w:lineRule="auto"/>
        <w:ind w:firstLine="420"/>
        <w:rPr>
          <w:sz w:val="24"/>
        </w:rPr>
      </w:pPr>
      <w:r>
        <w:rPr>
          <w:rFonts w:hint="eastAsia"/>
          <w:sz w:val="24"/>
        </w:rPr>
        <w:t>2、安全性和可靠性</w:t>
      </w:r>
    </w:p>
    <w:p>
      <w:pPr>
        <w:spacing w:after="120" w:line="360" w:lineRule="auto"/>
        <w:ind w:firstLine="420"/>
        <w:rPr>
          <w:rFonts w:ascii="宋体" w:hAnsi="宋体"/>
          <w:sz w:val="24"/>
          <w:szCs w:val="28"/>
        </w:rPr>
      </w:pPr>
      <w:r>
        <w:rPr>
          <w:rFonts w:hint="eastAsia" w:ascii="宋体" w:hAnsi="宋体"/>
          <w:sz w:val="24"/>
          <w:szCs w:val="28"/>
        </w:rPr>
        <w:t>云盘服务商须采用多层次安全保护和分布式防火墙，具备抵御DDOS攻击等能力，所有存储数据文件须采用AES256加密方式进行切块加密。网络传输数据加密方式支持256位SSL加密。</w:t>
      </w:r>
    </w:p>
    <w:p>
      <w:pPr>
        <w:spacing w:after="120" w:line="360" w:lineRule="auto"/>
        <w:ind w:firstLine="420"/>
        <w:rPr>
          <w:rFonts w:ascii="宋体" w:hAnsi="宋体"/>
          <w:sz w:val="24"/>
          <w:szCs w:val="28"/>
        </w:rPr>
      </w:pPr>
      <w:r>
        <w:rPr>
          <w:rFonts w:hint="eastAsia" w:ascii="宋体" w:hAnsi="宋体"/>
          <w:sz w:val="24"/>
          <w:szCs w:val="28"/>
        </w:rPr>
        <w:t>用户数据具备多重冗余安全备份，数据三重备份，数据持久性达到99.99999999%或以上。对于数据、备份数据所在数据中心地理位置、数据备份数量，南通大学具有知情权。</w:t>
      </w:r>
    </w:p>
    <w:p>
      <w:pPr>
        <w:spacing w:after="120" w:line="360" w:lineRule="auto"/>
        <w:ind w:firstLine="420"/>
        <w:rPr>
          <w:rFonts w:ascii="宋体" w:hAnsi="宋体"/>
          <w:sz w:val="24"/>
          <w:szCs w:val="28"/>
        </w:rPr>
      </w:pPr>
      <w:r>
        <w:rPr>
          <w:rFonts w:hint="eastAsia" w:ascii="宋体" w:hAnsi="宋体"/>
          <w:sz w:val="24"/>
          <w:szCs w:val="28"/>
        </w:rPr>
        <w:t>用户数据具备可迁移性，如云盘服务期终止，云盘须支持下载迁出数据，此期间云盘服务商不得对带宽和文件格式做限制性操作。云盘服务彻底注销后，云盘服务商须彻底销毁南通大学用户数据。</w:t>
      </w:r>
    </w:p>
    <w:p>
      <w:pPr>
        <w:spacing w:after="120" w:line="360" w:lineRule="auto"/>
        <w:ind w:firstLine="420"/>
        <w:rPr>
          <w:rFonts w:ascii="宋体" w:hAnsi="宋体"/>
          <w:sz w:val="24"/>
          <w:szCs w:val="28"/>
        </w:rPr>
      </w:pPr>
      <w:r>
        <w:rPr>
          <w:rFonts w:hint="eastAsia" w:ascii="宋体" w:hAnsi="宋体"/>
          <w:sz w:val="24"/>
          <w:szCs w:val="28"/>
        </w:rPr>
        <w:t>用户数据具备私密性，用户数据未经授权分享等操作时，任何用户间均互不可见，不同用户资源之间彻底隔离。操作维护人员无权对任何用户文件内容进行查阅，所有维护操作信息均有日志记录。未经许可，云盘服务商不得将南通大学相关数据、应用及行为日志提供给任何第三方，不得对相关内容进行任何分析。</w:t>
      </w:r>
    </w:p>
    <w:p>
      <w:pPr>
        <w:spacing w:after="120" w:line="360" w:lineRule="auto"/>
        <w:ind w:firstLine="420"/>
        <w:rPr>
          <w:sz w:val="24"/>
        </w:rPr>
      </w:pPr>
      <w:r>
        <w:rPr>
          <w:sz w:val="24"/>
        </w:rPr>
        <w:t>3</w:t>
      </w:r>
      <w:r>
        <w:rPr>
          <w:rFonts w:hint="eastAsia"/>
          <w:sz w:val="24"/>
        </w:rPr>
        <w:t>、服务高可用和扩展性</w:t>
      </w:r>
    </w:p>
    <w:p>
      <w:pPr>
        <w:spacing w:after="120" w:line="360" w:lineRule="auto"/>
        <w:ind w:firstLine="420"/>
        <w:rPr>
          <w:rFonts w:ascii="宋体" w:hAnsi="宋体"/>
          <w:sz w:val="24"/>
          <w:szCs w:val="28"/>
        </w:rPr>
      </w:pPr>
      <w:r>
        <w:rPr>
          <w:rFonts w:hint="eastAsia" w:ascii="宋体" w:hAnsi="宋体"/>
          <w:sz w:val="24"/>
          <w:szCs w:val="28"/>
        </w:rPr>
        <w:t>具有高可用机制，服务可用性须达到99.9%或以上。配备专业人员7*</w:t>
      </w:r>
      <w:r>
        <w:rPr>
          <w:rFonts w:ascii="宋体" w:hAnsi="宋体"/>
          <w:sz w:val="24"/>
          <w:szCs w:val="28"/>
        </w:rPr>
        <w:t>24</w:t>
      </w:r>
      <w:r>
        <w:rPr>
          <w:rFonts w:hint="eastAsia" w:ascii="宋体" w:hAnsi="宋体"/>
          <w:sz w:val="24"/>
          <w:szCs w:val="28"/>
        </w:rPr>
        <w:t>提供运维服务，南通大学无硬件和维护成本，无灾备投入，扩容免配置。配备完善的故障监控、自动告警、快速定位、快速恢复等一系列故障应急响应机制。具备全球网络优化线路，支持海外无障碍访问。对接南通大学智慧校园，提供无感认证、开放接口等定制化服务。</w:t>
      </w:r>
    </w:p>
    <w:p>
      <w:pPr>
        <w:spacing w:after="120" w:line="360" w:lineRule="auto"/>
        <w:ind w:firstLine="420"/>
        <w:outlineLvl w:val="0"/>
        <w:rPr>
          <w:rFonts w:ascii="华文中宋" w:hAnsi="华文中宋" w:eastAsia="华文中宋"/>
          <w:sz w:val="28"/>
          <w:szCs w:val="32"/>
        </w:rPr>
      </w:pPr>
      <w:bookmarkStart w:id="18" w:name="_Toc42777870"/>
      <w:r>
        <w:rPr>
          <w:rFonts w:hint="eastAsia" w:ascii="华文中宋" w:hAnsi="华文中宋" w:eastAsia="华文中宋"/>
          <w:sz w:val="28"/>
          <w:szCs w:val="32"/>
        </w:rPr>
        <w:t>三、基本功能模块</w:t>
      </w:r>
      <w:bookmarkEnd w:id="18"/>
    </w:p>
    <w:p>
      <w:pPr>
        <w:spacing w:after="120" w:line="360" w:lineRule="auto"/>
        <w:ind w:firstLine="420"/>
        <w:outlineLvl w:val="1"/>
        <w:rPr>
          <w:rFonts w:ascii="宋体" w:hAnsi="宋体"/>
          <w:sz w:val="24"/>
          <w:szCs w:val="28"/>
        </w:rPr>
      </w:pPr>
      <w:bookmarkStart w:id="19" w:name="_Toc42777871"/>
      <w:r>
        <w:rPr>
          <w:rFonts w:hint="eastAsia" w:ascii="宋体" w:hAnsi="宋体"/>
          <w:sz w:val="24"/>
          <w:szCs w:val="28"/>
        </w:rPr>
        <w:t>1、文件同步</w:t>
      </w:r>
      <w:bookmarkEnd w:id="19"/>
    </w:p>
    <w:p>
      <w:pPr>
        <w:spacing w:after="120" w:line="360" w:lineRule="auto"/>
        <w:ind w:firstLine="420"/>
        <w:rPr>
          <w:rFonts w:ascii="宋体" w:hAnsi="宋体"/>
          <w:sz w:val="24"/>
          <w:szCs w:val="28"/>
        </w:rPr>
      </w:pPr>
      <w:r>
        <w:rPr>
          <w:rFonts w:hint="eastAsia" w:ascii="宋体" w:hAnsi="宋体"/>
          <w:sz w:val="24"/>
          <w:szCs w:val="28"/>
        </w:rPr>
        <w:t>具备文件/文件夹自动同步功能，自动同步文件到云端。无需手动操作，云盘自动将文件同步、备份到云端。支持</w:t>
      </w:r>
      <w:r>
        <w:rPr>
          <w:rFonts w:ascii="宋体" w:hAnsi="宋体"/>
          <w:sz w:val="24"/>
          <w:szCs w:val="28"/>
        </w:rPr>
        <w:t>文件单向同步，</w:t>
      </w:r>
      <w:r>
        <w:rPr>
          <w:rFonts w:hint="eastAsia" w:ascii="宋体" w:hAnsi="宋体"/>
          <w:sz w:val="24"/>
          <w:szCs w:val="28"/>
        </w:rPr>
        <w:t>支持将文件（夹）单独存储在云盘。</w:t>
      </w:r>
    </w:p>
    <w:p>
      <w:pPr>
        <w:spacing w:after="120" w:line="360" w:lineRule="auto"/>
        <w:ind w:firstLine="420"/>
        <w:rPr>
          <w:rFonts w:ascii="宋体" w:hAnsi="宋体"/>
          <w:sz w:val="24"/>
          <w:szCs w:val="28"/>
        </w:rPr>
      </w:pPr>
      <w:r>
        <w:rPr>
          <w:rFonts w:hint="eastAsia" w:ascii="宋体" w:hAnsi="宋体"/>
          <w:sz w:val="24"/>
          <w:szCs w:val="28"/>
        </w:rPr>
        <w:t>云盘自动确保文件为最新版本，确保所有电脑中的文件第一时间更新到云存储中，无需担心版本脱节或上传不及时。</w:t>
      </w:r>
    </w:p>
    <w:p>
      <w:pPr>
        <w:spacing w:after="120" w:line="360" w:lineRule="auto"/>
        <w:ind w:firstLine="420"/>
        <w:rPr>
          <w:rFonts w:ascii="宋体" w:hAnsi="宋体"/>
          <w:sz w:val="24"/>
          <w:szCs w:val="28"/>
        </w:rPr>
      </w:pPr>
      <w:r>
        <w:rPr>
          <w:rFonts w:hint="eastAsia" w:ascii="宋体" w:hAnsi="宋体"/>
          <w:sz w:val="24"/>
          <w:szCs w:val="28"/>
        </w:rPr>
        <w:t>具备断点续传功能，如用户将本地文件同步上传到云端的过程中，因网络等外界因素，导致文件同步中断，在网络恢复正常之后，可继续同步上传文件，直至同步完成。</w:t>
      </w:r>
    </w:p>
    <w:p>
      <w:pPr>
        <w:spacing w:after="120" w:line="360" w:lineRule="auto"/>
        <w:ind w:firstLine="420"/>
        <w:rPr>
          <w:rFonts w:ascii="宋体" w:hAnsi="宋体"/>
          <w:sz w:val="24"/>
          <w:szCs w:val="28"/>
        </w:rPr>
      </w:pPr>
      <w:r>
        <w:rPr>
          <w:rFonts w:hint="eastAsia" w:ascii="宋体" w:hAnsi="宋体"/>
          <w:sz w:val="24"/>
          <w:szCs w:val="28"/>
        </w:rPr>
        <w:t>具备随时同步能力，如采用右键菜单形式，可随时将文件夹同步至云端或与其他南通大学用户进行文件共享。</w:t>
      </w:r>
    </w:p>
    <w:p>
      <w:pPr>
        <w:spacing w:after="120" w:line="360" w:lineRule="auto"/>
        <w:ind w:firstLine="420"/>
        <w:outlineLvl w:val="1"/>
        <w:rPr>
          <w:rFonts w:ascii="宋体" w:hAnsi="宋体"/>
          <w:sz w:val="24"/>
          <w:szCs w:val="28"/>
        </w:rPr>
      </w:pPr>
      <w:bookmarkStart w:id="20" w:name="_Toc42777872"/>
      <w:r>
        <w:rPr>
          <w:rFonts w:ascii="宋体" w:hAnsi="宋体"/>
          <w:sz w:val="24"/>
          <w:szCs w:val="28"/>
        </w:rPr>
        <w:t>2</w:t>
      </w:r>
      <w:r>
        <w:rPr>
          <w:rFonts w:hint="eastAsia" w:ascii="宋体" w:hAnsi="宋体"/>
          <w:sz w:val="24"/>
          <w:szCs w:val="28"/>
        </w:rPr>
        <w:t>、协同办公</w:t>
      </w:r>
      <w:bookmarkEnd w:id="20"/>
    </w:p>
    <w:p>
      <w:pPr>
        <w:spacing w:after="120" w:line="360" w:lineRule="auto"/>
        <w:ind w:firstLine="420"/>
        <w:rPr>
          <w:rFonts w:ascii="宋体" w:hAnsi="宋体"/>
          <w:sz w:val="24"/>
          <w:szCs w:val="28"/>
        </w:rPr>
      </w:pPr>
      <w:r>
        <w:rPr>
          <w:rFonts w:hint="eastAsia" w:ascii="宋体" w:hAnsi="宋体"/>
          <w:sz w:val="24"/>
          <w:szCs w:val="28"/>
        </w:rPr>
        <w:t>实现多人共享文件夹，支持同部门之间协同办公，所有人可第一时间看到部门内部最新的共享资料，提高协同效率。部门管理者可通过查看协同办公文件夹的内容，为异地办公的同事提供共享空间，自动同步，避免文件发送不及时导致的版本不一致，提高合作效率。支持实时共享文件或文件夹，支持子文件夹跨部门的文件共享，支持文件锁定，支持设定共享权限，须支持细粒度的权限设置，</w:t>
      </w:r>
      <w:r>
        <w:rPr>
          <w:rFonts w:ascii="宋体" w:hAnsi="宋体"/>
          <w:sz w:val="24"/>
          <w:szCs w:val="28"/>
        </w:rPr>
        <w:t>实现预览</w:t>
      </w:r>
      <w:r>
        <w:rPr>
          <w:rFonts w:hint="eastAsia" w:ascii="宋体" w:hAnsi="宋体"/>
          <w:sz w:val="24"/>
          <w:szCs w:val="28"/>
        </w:rPr>
        <w:t>/上传/</w:t>
      </w:r>
      <w:r>
        <w:rPr>
          <w:rFonts w:ascii="宋体" w:hAnsi="宋体"/>
          <w:sz w:val="24"/>
          <w:szCs w:val="28"/>
        </w:rPr>
        <w:t>编辑</w:t>
      </w:r>
      <w:r>
        <w:rPr>
          <w:rFonts w:hint="eastAsia" w:ascii="宋体" w:hAnsi="宋体"/>
          <w:sz w:val="24"/>
          <w:szCs w:val="28"/>
        </w:rPr>
        <w:t>等权限组合。支持查看文件夹的协作成员列表。</w:t>
      </w:r>
    </w:p>
    <w:p>
      <w:pPr>
        <w:spacing w:after="120" w:line="360" w:lineRule="auto"/>
        <w:ind w:firstLine="420"/>
        <w:rPr>
          <w:rFonts w:ascii="宋体" w:hAnsi="宋体"/>
          <w:sz w:val="24"/>
          <w:szCs w:val="28"/>
        </w:rPr>
      </w:pPr>
      <w:r>
        <w:rPr>
          <w:rFonts w:hint="eastAsia" w:ascii="宋体" w:hAnsi="宋体"/>
          <w:sz w:val="24"/>
          <w:szCs w:val="28"/>
        </w:rPr>
        <w:t>支持创建公共</w:t>
      </w:r>
      <w:r>
        <w:rPr>
          <w:rFonts w:ascii="宋体" w:hAnsi="宋体"/>
          <w:sz w:val="24"/>
          <w:szCs w:val="28"/>
        </w:rPr>
        <w:t>账号</w:t>
      </w:r>
      <w:r>
        <w:rPr>
          <w:rFonts w:hint="eastAsia" w:ascii="宋体" w:hAnsi="宋体"/>
          <w:sz w:val="24"/>
          <w:szCs w:val="28"/>
        </w:rPr>
        <w:t>（或对外协作/虚拟帐号）账户，可支持指定南通大学实际用户进行文件管理。</w:t>
      </w:r>
    </w:p>
    <w:p>
      <w:pPr>
        <w:spacing w:after="120" w:line="360" w:lineRule="auto"/>
        <w:ind w:firstLine="420"/>
        <w:outlineLvl w:val="1"/>
        <w:rPr>
          <w:rFonts w:ascii="宋体" w:hAnsi="宋体"/>
          <w:sz w:val="24"/>
          <w:szCs w:val="28"/>
        </w:rPr>
      </w:pPr>
      <w:bookmarkStart w:id="21" w:name="_Toc42777873"/>
      <w:bookmarkStart w:id="22" w:name="_Hlk36513357"/>
      <w:r>
        <w:rPr>
          <w:rFonts w:ascii="宋体" w:hAnsi="宋体"/>
          <w:sz w:val="24"/>
          <w:szCs w:val="28"/>
        </w:rPr>
        <w:t>3</w:t>
      </w:r>
      <w:r>
        <w:rPr>
          <w:rFonts w:hint="eastAsia" w:ascii="宋体" w:hAnsi="宋体"/>
          <w:sz w:val="24"/>
          <w:szCs w:val="28"/>
        </w:rPr>
        <w:t>、文件分享</w:t>
      </w:r>
      <w:bookmarkEnd w:id="21"/>
    </w:p>
    <w:p>
      <w:pPr>
        <w:spacing w:after="120" w:line="360" w:lineRule="auto"/>
        <w:ind w:firstLine="420"/>
        <w:rPr>
          <w:rFonts w:ascii="宋体" w:hAnsi="宋体"/>
          <w:sz w:val="24"/>
          <w:szCs w:val="28"/>
        </w:rPr>
      </w:pPr>
      <w:r>
        <w:rPr>
          <w:rFonts w:hint="eastAsia" w:ascii="宋体" w:hAnsi="宋体"/>
          <w:sz w:val="24"/>
          <w:szCs w:val="28"/>
        </w:rPr>
        <w:t>支持链接分享，给内外部人员发送文件时，无需上传文件，即可快速发送，对方收到文件也无需下载，可直接在线查看。支持文件实时共享，链接内容为文件或文件夹最新状态。</w:t>
      </w:r>
    </w:p>
    <w:p>
      <w:pPr>
        <w:spacing w:after="120" w:line="360" w:lineRule="auto"/>
        <w:ind w:firstLine="420"/>
        <w:rPr>
          <w:rFonts w:ascii="宋体" w:hAnsi="宋体"/>
          <w:sz w:val="24"/>
          <w:szCs w:val="28"/>
        </w:rPr>
      </w:pPr>
      <w:r>
        <w:rPr>
          <w:rFonts w:hint="eastAsia" w:ascii="宋体" w:hAnsi="宋体"/>
          <w:sz w:val="24"/>
          <w:szCs w:val="28"/>
        </w:rPr>
        <w:t>支持链接安全性设置，可设置访问者限制，确保只有被分享的用户可访问链接，防止数据泄露。支持设置有效期、自定义水印等。支持分享链接的查看、修改和关闭。支持查看分享详情，如已访问、预览、保存下载的次数，支持关闭分享。</w:t>
      </w:r>
    </w:p>
    <w:bookmarkEnd w:id="22"/>
    <w:p>
      <w:pPr>
        <w:spacing w:after="120" w:line="360" w:lineRule="auto"/>
        <w:ind w:firstLine="420"/>
        <w:outlineLvl w:val="1"/>
        <w:rPr>
          <w:rFonts w:ascii="宋体" w:hAnsi="宋体"/>
          <w:sz w:val="24"/>
          <w:szCs w:val="28"/>
        </w:rPr>
      </w:pPr>
      <w:bookmarkStart w:id="23" w:name="_Toc42777874"/>
      <w:r>
        <w:rPr>
          <w:rFonts w:ascii="宋体" w:hAnsi="宋体"/>
          <w:sz w:val="24"/>
          <w:szCs w:val="28"/>
        </w:rPr>
        <w:t>4</w:t>
      </w:r>
      <w:r>
        <w:rPr>
          <w:rFonts w:hint="eastAsia" w:ascii="宋体" w:hAnsi="宋体"/>
          <w:sz w:val="24"/>
          <w:szCs w:val="28"/>
        </w:rPr>
        <w:t>、文件备份</w:t>
      </w:r>
      <w:bookmarkEnd w:id="23"/>
    </w:p>
    <w:p>
      <w:pPr>
        <w:spacing w:after="120" w:line="360" w:lineRule="auto"/>
        <w:ind w:firstLine="420"/>
        <w:rPr>
          <w:rFonts w:ascii="宋体" w:hAnsi="宋体"/>
          <w:sz w:val="24"/>
          <w:szCs w:val="28"/>
        </w:rPr>
      </w:pPr>
      <w:r>
        <w:rPr>
          <w:rFonts w:hint="eastAsia" w:ascii="宋体" w:hAnsi="宋体"/>
          <w:sz w:val="24"/>
          <w:szCs w:val="28"/>
        </w:rPr>
        <w:t>支持已删除文件恢复（回收站恢复），支持彻底删除文件，支持文件历史版本，可随时查阅文件的历史版本，历史版本存储时间支持6-</w:t>
      </w:r>
      <w:r>
        <w:rPr>
          <w:rFonts w:ascii="宋体" w:hAnsi="宋体"/>
          <w:sz w:val="24"/>
          <w:szCs w:val="28"/>
        </w:rPr>
        <w:t>12</w:t>
      </w:r>
      <w:r>
        <w:rPr>
          <w:rFonts w:hint="eastAsia" w:ascii="宋体" w:hAnsi="宋体"/>
          <w:sz w:val="24"/>
          <w:szCs w:val="28"/>
        </w:rPr>
        <w:t>个月或至少80个以上历史版本，可恢复文件的任意历史版本。支持同一文档多历史版本展示（或</w:t>
      </w:r>
      <w:r>
        <w:rPr>
          <w:rFonts w:ascii="宋体" w:hAnsi="宋体"/>
          <w:sz w:val="24"/>
          <w:szCs w:val="28"/>
        </w:rPr>
        <w:t>版本标注</w:t>
      </w:r>
      <w:r>
        <w:rPr>
          <w:rFonts w:hint="eastAsia" w:ascii="宋体" w:hAnsi="宋体"/>
          <w:sz w:val="24"/>
          <w:szCs w:val="28"/>
        </w:rPr>
        <w:t>）。多人协同办公时，记录文件/文件夹的传、新建、删除、修改等动作。</w:t>
      </w:r>
    </w:p>
    <w:p>
      <w:pPr>
        <w:spacing w:after="120" w:line="360" w:lineRule="auto"/>
        <w:ind w:firstLine="420"/>
        <w:outlineLvl w:val="1"/>
        <w:rPr>
          <w:rFonts w:ascii="宋体" w:hAnsi="宋体"/>
          <w:sz w:val="24"/>
          <w:szCs w:val="28"/>
        </w:rPr>
      </w:pPr>
      <w:bookmarkStart w:id="24" w:name="_Toc42777875"/>
      <w:r>
        <w:rPr>
          <w:rFonts w:ascii="宋体" w:hAnsi="宋体"/>
          <w:sz w:val="24"/>
          <w:szCs w:val="28"/>
        </w:rPr>
        <w:t>5</w:t>
      </w:r>
      <w:r>
        <w:rPr>
          <w:rFonts w:hint="eastAsia" w:ascii="宋体" w:hAnsi="宋体"/>
          <w:sz w:val="24"/>
          <w:szCs w:val="28"/>
        </w:rPr>
        <w:t>、跨平台移动办公</w:t>
      </w:r>
      <w:bookmarkEnd w:id="24"/>
    </w:p>
    <w:p>
      <w:pPr>
        <w:spacing w:after="120" w:line="360" w:lineRule="auto"/>
        <w:ind w:firstLine="420"/>
        <w:rPr>
          <w:rFonts w:ascii="宋体" w:hAnsi="宋体"/>
          <w:sz w:val="24"/>
          <w:szCs w:val="28"/>
        </w:rPr>
      </w:pPr>
      <w:r>
        <w:rPr>
          <w:rFonts w:ascii="宋体" w:hAnsi="宋体"/>
          <w:sz w:val="24"/>
          <w:szCs w:val="28"/>
        </w:rPr>
        <w:t>iPhone/iPad</w:t>
      </w:r>
      <w:r>
        <w:rPr>
          <w:rFonts w:hint="eastAsia" w:ascii="宋体" w:hAnsi="宋体"/>
          <w:sz w:val="24"/>
          <w:szCs w:val="28"/>
        </w:rPr>
        <w:t>、</w:t>
      </w:r>
      <w:r>
        <w:rPr>
          <w:rFonts w:ascii="宋体" w:hAnsi="宋体"/>
          <w:sz w:val="24"/>
          <w:szCs w:val="28"/>
        </w:rPr>
        <w:t>macOS</w:t>
      </w:r>
      <w:r>
        <w:rPr>
          <w:rFonts w:hint="eastAsia" w:ascii="宋体" w:hAnsi="宋体"/>
          <w:sz w:val="24"/>
          <w:szCs w:val="28"/>
        </w:rPr>
        <w:t>、</w:t>
      </w:r>
      <w:r>
        <w:rPr>
          <w:rFonts w:ascii="宋体" w:hAnsi="宋体"/>
          <w:sz w:val="24"/>
          <w:szCs w:val="28"/>
        </w:rPr>
        <w:t>Linux</w:t>
      </w:r>
      <w:r>
        <w:rPr>
          <w:rFonts w:hint="eastAsia" w:ascii="宋体" w:hAnsi="宋体"/>
          <w:sz w:val="24"/>
          <w:szCs w:val="28"/>
        </w:rPr>
        <w:t>、</w:t>
      </w:r>
      <w:r>
        <w:rPr>
          <w:rFonts w:ascii="宋体" w:hAnsi="宋体"/>
          <w:sz w:val="24"/>
          <w:szCs w:val="28"/>
        </w:rPr>
        <w:t>Android</w:t>
      </w:r>
      <w:r>
        <w:rPr>
          <w:rFonts w:hint="eastAsia" w:ascii="宋体" w:hAnsi="宋体"/>
          <w:sz w:val="24"/>
          <w:szCs w:val="28"/>
        </w:rPr>
        <w:t>以及</w:t>
      </w:r>
      <w:r>
        <w:rPr>
          <w:rFonts w:ascii="宋体" w:hAnsi="宋体"/>
          <w:sz w:val="24"/>
          <w:szCs w:val="28"/>
        </w:rPr>
        <w:t>Windows</w:t>
      </w:r>
      <w:r>
        <w:rPr>
          <w:rFonts w:hint="eastAsia" w:ascii="宋体" w:hAnsi="宋体"/>
          <w:sz w:val="24"/>
          <w:szCs w:val="28"/>
        </w:rPr>
        <w:t>（</w:t>
      </w:r>
      <w:r>
        <w:rPr>
          <w:rFonts w:ascii="宋体" w:hAnsi="宋体"/>
          <w:sz w:val="24"/>
          <w:szCs w:val="28"/>
        </w:rPr>
        <w:t>7\10</w:t>
      </w:r>
      <w:r>
        <w:rPr>
          <w:rFonts w:hint="eastAsia" w:ascii="宋体" w:hAnsi="宋体"/>
          <w:sz w:val="24"/>
          <w:szCs w:val="28"/>
        </w:rPr>
        <w:t>）等全平台支持，随时随地移动办公，随时随地访问文件。自动智能同步，自动备份移动端指定数据。支持快捷查阅最近使用的文档及常用文件。</w:t>
      </w:r>
    </w:p>
    <w:p>
      <w:pPr>
        <w:spacing w:after="120" w:line="360" w:lineRule="auto"/>
        <w:ind w:firstLine="420"/>
        <w:outlineLvl w:val="1"/>
        <w:rPr>
          <w:rFonts w:ascii="宋体" w:hAnsi="宋体"/>
          <w:sz w:val="24"/>
          <w:szCs w:val="28"/>
        </w:rPr>
      </w:pPr>
      <w:bookmarkStart w:id="25" w:name="_Toc42777876"/>
      <w:r>
        <w:rPr>
          <w:rFonts w:hint="eastAsia" w:ascii="宋体" w:hAnsi="宋体"/>
          <w:sz w:val="24"/>
          <w:szCs w:val="28"/>
        </w:rPr>
        <w:t>6、管理工具</w:t>
      </w:r>
      <w:bookmarkEnd w:id="25"/>
    </w:p>
    <w:p>
      <w:pPr>
        <w:spacing w:after="120" w:line="360" w:lineRule="auto"/>
        <w:ind w:firstLine="420"/>
        <w:rPr>
          <w:rFonts w:ascii="宋体" w:hAnsi="宋体"/>
          <w:sz w:val="24"/>
          <w:szCs w:val="28"/>
        </w:rPr>
      </w:pPr>
      <w:r>
        <w:rPr>
          <w:rFonts w:hint="eastAsia" w:ascii="宋体" w:hAnsi="宋体"/>
          <w:sz w:val="24"/>
          <w:szCs w:val="28"/>
        </w:rPr>
        <w:t>支持对共有文件夹的访问进行权限管理，支持群组管理，支持部门分级管理，可将空间管理、权限管理的工作分派给二级部门。可对共享文件夹针对不同人员设置不同权限。权限管理包括上传下载、仅下载、仅预览、仅上传、管理员和拥有者等权限。</w:t>
      </w:r>
    </w:p>
    <w:p>
      <w:pPr>
        <w:spacing w:after="120" w:line="360" w:lineRule="auto"/>
        <w:ind w:firstLine="420"/>
        <w:rPr>
          <w:rFonts w:ascii="宋体" w:hAnsi="宋体"/>
          <w:sz w:val="24"/>
          <w:szCs w:val="28"/>
        </w:rPr>
      </w:pPr>
      <w:r>
        <w:rPr>
          <w:rFonts w:hint="eastAsia" w:ascii="宋体" w:hAnsi="宋体"/>
          <w:sz w:val="24"/>
          <w:szCs w:val="28"/>
        </w:rPr>
        <w:t>可定制设置成员的空间，支持云盘接口利用（如WebDAV协议、API或SDK）。支持离职人员或指定人员权限交接。</w:t>
      </w:r>
    </w:p>
    <w:p>
      <w:pPr>
        <w:spacing w:after="120" w:line="360" w:lineRule="auto"/>
        <w:ind w:firstLine="420"/>
        <w:rPr>
          <w:rFonts w:ascii="宋体" w:hAnsi="宋体"/>
          <w:sz w:val="24"/>
          <w:szCs w:val="28"/>
        </w:rPr>
      </w:pPr>
      <w:r>
        <w:rPr>
          <w:rFonts w:hint="eastAsia" w:ascii="宋体" w:hAnsi="宋体"/>
          <w:sz w:val="24"/>
          <w:szCs w:val="28"/>
        </w:rPr>
        <w:t>支持统计云盘访问情况，查询空间分配和人员使用概况。支持日志行为审计，可按操作人、操作类型和文件关键词进行查询。支持管理员/成员登录手机短信二次认证。支持外发文件分享管理或审批。支持生成云盘使用概况、存储空间、安全等维度的数据可视化。</w:t>
      </w:r>
    </w:p>
    <w:p>
      <w:pPr>
        <w:spacing w:after="120" w:line="360" w:lineRule="auto"/>
        <w:ind w:firstLine="420"/>
        <w:outlineLvl w:val="1"/>
        <w:rPr>
          <w:rFonts w:ascii="宋体" w:hAnsi="宋体"/>
          <w:sz w:val="24"/>
          <w:szCs w:val="28"/>
        </w:rPr>
      </w:pPr>
      <w:bookmarkStart w:id="26" w:name="_Toc42777877"/>
      <w:bookmarkStart w:id="27" w:name="_Hlk36514398"/>
      <w:r>
        <w:rPr>
          <w:rFonts w:ascii="宋体" w:hAnsi="宋体"/>
          <w:sz w:val="24"/>
          <w:szCs w:val="28"/>
        </w:rPr>
        <w:t>7</w:t>
      </w:r>
      <w:r>
        <w:rPr>
          <w:rFonts w:hint="eastAsia" w:ascii="宋体" w:hAnsi="宋体"/>
          <w:sz w:val="24"/>
          <w:szCs w:val="28"/>
        </w:rPr>
        <w:t>、操作习惯</w:t>
      </w:r>
      <w:bookmarkEnd w:id="26"/>
    </w:p>
    <w:p>
      <w:pPr>
        <w:spacing w:after="120" w:line="360" w:lineRule="auto"/>
        <w:ind w:firstLine="420"/>
        <w:rPr>
          <w:rFonts w:ascii="宋体" w:hAnsi="宋体"/>
          <w:sz w:val="24"/>
          <w:szCs w:val="28"/>
        </w:rPr>
      </w:pPr>
      <w:r>
        <w:rPr>
          <w:rFonts w:hint="eastAsia" w:ascii="宋体" w:hAnsi="宋体"/>
          <w:sz w:val="24"/>
          <w:szCs w:val="28"/>
        </w:rPr>
        <w:t>支持中英文语言切换，生成专用虚拟盘符，展示云盘云端的所有目录及文件，保持原生态操作习惯。支持云端文件夹有选择性地同步到本地，如文件没有同步到本地，则不占用本地磁盘空间。</w:t>
      </w:r>
    </w:p>
    <w:p>
      <w:pPr>
        <w:spacing w:after="120" w:line="360" w:lineRule="auto"/>
        <w:ind w:firstLine="420"/>
        <w:rPr>
          <w:rFonts w:ascii="宋体" w:hAnsi="宋体"/>
          <w:sz w:val="24"/>
          <w:szCs w:val="28"/>
        </w:rPr>
      </w:pPr>
      <w:r>
        <w:rPr>
          <w:rFonts w:hint="eastAsia" w:ascii="宋体" w:hAnsi="宋体"/>
          <w:sz w:val="24"/>
          <w:szCs w:val="28"/>
        </w:rPr>
        <w:t>支持精确/模糊搜索云盘内的全部文件，支持本地化检索。支持本地化路径访问与调用。支持压缩包在线解压预览。支持书签/标签/收藏夹功能。</w:t>
      </w:r>
    </w:p>
    <w:p>
      <w:pPr>
        <w:spacing w:after="120" w:line="360" w:lineRule="auto"/>
        <w:ind w:firstLine="420"/>
        <w:rPr>
          <w:rFonts w:ascii="宋体" w:hAnsi="宋体"/>
          <w:sz w:val="24"/>
          <w:szCs w:val="28"/>
        </w:rPr>
      </w:pPr>
      <w:r>
        <w:rPr>
          <w:rFonts w:hint="eastAsia" w:ascii="宋体" w:hAnsi="宋体"/>
          <w:sz w:val="24"/>
          <w:szCs w:val="28"/>
        </w:rPr>
        <w:t>支持多人在线编辑文档表格（在线Office）。支持包括Office（Word/Excel/PPT）文档、图片、PDF、CAD等专业设计类文件格式预览（含移动端）。支持</w:t>
      </w:r>
      <w:r>
        <w:rPr>
          <w:rFonts w:ascii="宋体" w:hAnsi="宋体"/>
          <w:sz w:val="24"/>
          <w:szCs w:val="28"/>
        </w:rPr>
        <w:t>文件预览水印，</w:t>
      </w:r>
      <w:r>
        <w:rPr>
          <w:rFonts w:hint="eastAsia" w:ascii="宋体" w:hAnsi="宋体"/>
          <w:sz w:val="24"/>
          <w:szCs w:val="28"/>
        </w:rPr>
        <w:t>支持查看/管理所有登录了当前帐号的设备，支持强制退出。</w:t>
      </w:r>
    </w:p>
    <w:p>
      <w:pPr>
        <w:spacing w:after="120" w:line="360" w:lineRule="auto"/>
        <w:ind w:firstLine="420"/>
        <w:rPr>
          <w:rFonts w:ascii="宋体" w:hAnsi="宋体"/>
          <w:sz w:val="24"/>
          <w:szCs w:val="28"/>
        </w:rPr>
      </w:pPr>
      <w:r>
        <w:rPr>
          <w:rFonts w:hint="eastAsia" w:ascii="宋体" w:hAnsi="宋体"/>
          <w:sz w:val="24"/>
          <w:szCs w:val="28"/>
        </w:rPr>
        <w:t>支持通过绑定的邮箱或手机重设密码，显示上传/离线的日志 ，支持缓存管理，支持设置是否仅在Wi-Fi下上传下载。</w:t>
      </w:r>
    </w:p>
    <w:p>
      <w:pPr>
        <w:spacing w:after="120" w:line="360" w:lineRule="auto"/>
        <w:ind w:firstLine="420"/>
        <w:outlineLvl w:val="0"/>
        <w:rPr>
          <w:rFonts w:ascii="华文中宋" w:hAnsi="华文中宋" w:eastAsia="华文中宋"/>
          <w:sz w:val="28"/>
          <w:szCs w:val="32"/>
        </w:rPr>
      </w:pPr>
      <w:bookmarkStart w:id="28" w:name="_Toc42777878"/>
      <w:r>
        <w:rPr>
          <w:rFonts w:hint="eastAsia" w:ascii="华文中宋" w:hAnsi="华文中宋" w:eastAsia="华文中宋"/>
          <w:sz w:val="28"/>
          <w:szCs w:val="32"/>
        </w:rPr>
        <w:t>四、实施要求</w:t>
      </w:r>
      <w:bookmarkEnd w:id="28"/>
    </w:p>
    <w:p>
      <w:pPr>
        <w:spacing w:after="120" w:line="360" w:lineRule="auto"/>
        <w:ind w:firstLine="420"/>
        <w:outlineLvl w:val="1"/>
        <w:rPr>
          <w:rFonts w:ascii="宋体" w:hAnsi="宋体"/>
          <w:sz w:val="24"/>
          <w:szCs w:val="28"/>
        </w:rPr>
      </w:pPr>
      <w:bookmarkStart w:id="29" w:name="_Toc42777879"/>
      <w:r>
        <w:rPr>
          <w:rFonts w:ascii="宋体" w:hAnsi="宋体"/>
          <w:sz w:val="24"/>
          <w:szCs w:val="28"/>
        </w:rPr>
        <w:t>1</w:t>
      </w:r>
      <w:r>
        <w:rPr>
          <w:rFonts w:hint="eastAsia" w:ascii="宋体" w:hAnsi="宋体"/>
          <w:sz w:val="24"/>
          <w:szCs w:val="28"/>
        </w:rPr>
        <w:t>、资源要求</w:t>
      </w:r>
      <w:bookmarkEnd w:id="29"/>
    </w:p>
    <w:p>
      <w:pPr>
        <w:spacing w:after="120" w:line="360" w:lineRule="auto"/>
        <w:ind w:firstLine="420"/>
        <w:rPr>
          <w:rFonts w:ascii="宋体" w:hAnsi="宋体"/>
          <w:sz w:val="24"/>
          <w:szCs w:val="28"/>
        </w:rPr>
      </w:pPr>
      <w:r>
        <w:rPr>
          <w:rFonts w:hint="eastAsia" w:ascii="宋体" w:hAnsi="宋体"/>
          <w:sz w:val="24"/>
          <w:szCs w:val="28"/>
        </w:rPr>
        <w:t>本次建设要求为南通大学提供不少于4</w:t>
      </w:r>
      <w:r>
        <w:rPr>
          <w:rFonts w:ascii="宋体" w:hAnsi="宋体"/>
          <w:sz w:val="24"/>
          <w:szCs w:val="28"/>
        </w:rPr>
        <w:t>000</w:t>
      </w:r>
      <w:r>
        <w:rPr>
          <w:rFonts w:hint="eastAsia" w:ascii="宋体" w:hAnsi="宋体"/>
          <w:sz w:val="24"/>
          <w:szCs w:val="28"/>
        </w:rPr>
        <w:t>个账户授权，在职教职工总数约3</w:t>
      </w:r>
      <w:r>
        <w:rPr>
          <w:rFonts w:ascii="宋体" w:hAnsi="宋体"/>
          <w:sz w:val="24"/>
          <w:szCs w:val="28"/>
        </w:rPr>
        <w:t>000</w:t>
      </w:r>
      <w:r>
        <w:rPr>
          <w:rFonts w:hint="eastAsia" w:ascii="宋体" w:hAnsi="宋体"/>
          <w:sz w:val="24"/>
          <w:szCs w:val="28"/>
        </w:rPr>
        <w:t>。存储有效可用空间首年不小于1</w:t>
      </w:r>
      <w:r>
        <w:rPr>
          <w:rFonts w:ascii="宋体" w:hAnsi="宋体"/>
          <w:sz w:val="24"/>
          <w:szCs w:val="28"/>
        </w:rPr>
        <w:t>0T</w:t>
      </w:r>
      <w:r>
        <w:rPr>
          <w:rFonts w:hint="eastAsia" w:ascii="宋体" w:hAnsi="宋体"/>
          <w:sz w:val="24"/>
          <w:szCs w:val="28"/>
        </w:rPr>
        <w:t>，每年有效可用空间增长不小于</w:t>
      </w:r>
      <w:r>
        <w:rPr>
          <w:rFonts w:ascii="宋体" w:hAnsi="宋体"/>
          <w:sz w:val="24"/>
          <w:szCs w:val="28"/>
        </w:rPr>
        <w:t>5T</w:t>
      </w:r>
      <w:r>
        <w:rPr>
          <w:rFonts w:hint="eastAsia" w:ascii="宋体" w:hAnsi="宋体"/>
          <w:sz w:val="24"/>
          <w:szCs w:val="28"/>
        </w:rPr>
        <w:t>。支持学校文件夹、部门文件夹、个人文件夹以及对外协作文件夹。（说明</w:t>
      </w:r>
      <w:r>
        <w:rPr>
          <w:rFonts w:ascii="宋体" w:hAnsi="宋体"/>
          <w:sz w:val="24"/>
          <w:szCs w:val="28"/>
        </w:rPr>
        <w:t>：</w:t>
      </w:r>
      <w:r>
        <w:rPr>
          <w:rFonts w:hint="eastAsia" w:ascii="宋体" w:hAnsi="宋体"/>
          <w:sz w:val="24"/>
          <w:szCs w:val="28"/>
        </w:rPr>
        <w:t>教师A能够利用学校文件夹、部门文件夹、个人文件夹，</w:t>
      </w:r>
      <w:r>
        <w:rPr>
          <w:rFonts w:ascii="宋体" w:hAnsi="宋体"/>
          <w:sz w:val="24"/>
          <w:szCs w:val="28"/>
        </w:rPr>
        <w:t>但无法查阅</w:t>
      </w:r>
      <w:r>
        <w:rPr>
          <w:rFonts w:hint="eastAsia" w:ascii="宋体" w:hAnsi="宋体"/>
          <w:sz w:val="24"/>
          <w:szCs w:val="28"/>
        </w:rPr>
        <w:t>教师B所在</w:t>
      </w:r>
      <w:r>
        <w:rPr>
          <w:rFonts w:ascii="宋体" w:hAnsi="宋体"/>
          <w:sz w:val="24"/>
          <w:szCs w:val="28"/>
        </w:rPr>
        <w:t>部门</w:t>
      </w:r>
      <w:r>
        <w:rPr>
          <w:rFonts w:hint="eastAsia" w:ascii="宋体" w:hAnsi="宋体"/>
          <w:sz w:val="24"/>
          <w:szCs w:val="28"/>
        </w:rPr>
        <w:t>的</w:t>
      </w:r>
      <w:r>
        <w:rPr>
          <w:rFonts w:ascii="宋体" w:hAnsi="宋体"/>
          <w:sz w:val="24"/>
          <w:szCs w:val="28"/>
        </w:rPr>
        <w:t>部门文件夹。</w:t>
      </w:r>
      <w:r>
        <w:rPr>
          <w:rFonts w:hint="eastAsia" w:ascii="宋体" w:hAnsi="宋体"/>
          <w:sz w:val="24"/>
          <w:szCs w:val="28"/>
        </w:rPr>
        <w:t>教师</w:t>
      </w:r>
      <w:r>
        <w:rPr>
          <w:rFonts w:ascii="宋体" w:hAnsi="宋体"/>
          <w:sz w:val="24"/>
          <w:szCs w:val="28"/>
        </w:rPr>
        <w:t>C</w:t>
      </w:r>
      <w:r>
        <w:rPr>
          <w:rFonts w:hint="eastAsia" w:ascii="宋体" w:hAnsi="宋体"/>
          <w:sz w:val="24"/>
          <w:szCs w:val="28"/>
        </w:rPr>
        <w:t>所在</w:t>
      </w:r>
      <w:r>
        <w:rPr>
          <w:rFonts w:ascii="宋体" w:hAnsi="宋体"/>
          <w:sz w:val="24"/>
          <w:szCs w:val="28"/>
        </w:rPr>
        <w:t>部门</w:t>
      </w:r>
      <w:r>
        <w:rPr>
          <w:rFonts w:hint="eastAsia" w:ascii="宋体" w:hAnsi="宋体"/>
          <w:sz w:val="24"/>
          <w:szCs w:val="28"/>
        </w:rPr>
        <w:t>管理员</w:t>
      </w:r>
      <w:r>
        <w:rPr>
          <w:rFonts w:ascii="宋体" w:hAnsi="宋体"/>
          <w:sz w:val="24"/>
          <w:szCs w:val="28"/>
        </w:rPr>
        <w:t>可以管理本部门</w:t>
      </w:r>
      <w:r>
        <w:rPr>
          <w:rFonts w:hint="eastAsia" w:ascii="宋体" w:hAnsi="宋体"/>
          <w:sz w:val="24"/>
          <w:szCs w:val="28"/>
        </w:rPr>
        <w:t>的</w:t>
      </w:r>
      <w:r>
        <w:rPr>
          <w:rFonts w:ascii="宋体" w:hAnsi="宋体"/>
          <w:sz w:val="24"/>
          <w:szCs w:val="28"/>
        </w:rPr>
        <w:t>部门文件夹</w:t>
      </w:r>
      <w:r>
        <w:rPr>
          <w:rFonts w:hint="eastAsia" w:ascii="宋体" w:hAnsi="宋体"/>
          <w:sz w:val="24"/>
          <w:szCs w:val="28"/>
        </w:rPr>
        <w:t>。教师D可以</w:t>
      </w:r>
      <w:r>
        <w:rPr>
          <w:rFonts w:ascii="宋体" w:hAnsi="宋体"/>
          <w:sz w:val="24"/>
          <w:szCs w:val="28"/>
        </w:rPr>
        <w:t>被授权管理</w:t>
      </w:r>
      <w:r>
        <w:rPr>
          <w:rFonts w:hint="eastAsia" w:ascii="宋体" w:hAnsi="宋体"/>
          <w:sz w:val="24"/>
          <w:szCs w:val="28"/>
        </w:rPr>
        <w:t>学校</w:t>
      </w:r>
      <w:r>
        <w:rPr>
          <w:rFonts w:ascii="宋体" w:hAnsi="宋体"/>
          <w:sz w:val="24"/>
          <w:szCs w:val="28"/>
        </w:rPr>
        <w:t>文件夹。</w:t>
      </w:r>
      <w:r>
        <w:rPr>
          <w:rFonts w:hint="eastAsia" w:ascii="宋体" w:hAnsi="宋体"/>
          <w:sz w:val="24"/>
          <w:szCs w:val="28"/>
        </w:rPr>
        <w:t>）公共账号/对外协作/虚拟帐号不少于5</w:t>
      </w:r>
      <w:r>
        <w:rPr>
          <w:rFonts w:ascii="宋体" w:hAnsi="宋体"/>
          <w:sz w:val="24"/>
          <w:szCs w:val="28"/>
        </w:rPr>
        <w:t>0</w:t>
      </w:r>
      <w:r>
        <w:rPr>
          <w:rFonts w:hint="eastAsia" w:ascii="宋体" w:hAnsi="宋体"/>
          <w:sz w:val="24"/>
          <w:szCs w:val="28"/>
        </w:rPr>
        <w:t>个。投标人服务履约期须三年或以上。</w:t>
      </w:r>
    </w:p>
    <w:p>
      <w:pPr>
        <w:spacing w:after="120" w:line="360" w:lineRule="auto"/>
        <w:ind w:firstLine="420"/>
        <w:rPr>
          <w:rFonts w:ascii="宋体" w:hAnsi="宋体"/>
          <w:sz w:val="24"/>
          <w:szCs w:val="28"/>
        </w:rPr>
      </w:pPr>
      <w:r>
        <w:rPr>
          <w:rFonts w:hint="eastAsia" w:ascii="宋体" w:hAnsi="宋体"/>
          <w:sz w:val="24"/>
          <w:szCs w:val="28"/>
        </w:rPr>
        <w:t>投标人在方案中以三年服务期阐述用户授权和存储资源配置方案，并分别以5</w:t>
      </w:r>
      <w:r>
        <w:rPr>
          <w:rFonts w:ascii="宋体" w:hAnsi="宋体"/>
          <w:sz w:val="24"/>
          <w:szCs w:val="28"/>
        </w:rPr>
        <w:t>00</w:t>
      </w:r>
      <w:r>
        <w:rPr>
          <w:rFonts w:hint="eastAsia" w:ascii="宋体" w:hAnsi="宋体"/>
          <w:sz w:val="24"/>
          <w:szCs w:val="28"/>
        </w:rPr>
        <w:t>用户/年和</w:t>
      </w:r>
      <w:r>
        <w:rPr>
          <w:rFonts w:ascii="宋体" w:hAnsi="宋体"/>
          <w:sz w:val="24"/>
          <w:szCs w:val="28"/>
        </w:rPr>
        <w:t>5T/</w:t>
      </w:r>
      <w:r>
        <w:rPr>
          <w:rFonts w:hint="eastAsia" w:ascii="宋体" w:hAnsi="宋体"/>
          <w:sz w:val="24"/>
          <w:szCs w:val="28"/>
        </w:rPr>
        <w:t>年为单位提供资源扩展方案（含预算）。</w:t>
      </w:r>
    </w:p>
    <w:p>
      <w:pPr>
        <w:spacing w:after="120" w:line="360" w:lineRule="auto"/>
        <w:ind w:firstLine="420"/>
        <w:rPr>
          <w:rFonts w:ascii="宋体" w:hAnsi="宋体"/>
          <w:sz w:val="24"/>
          <w:szCs w:val="28"/>
        </w:rPr>
      </w:pPr>
      <w:r>
        <w:rPr>
          <w:rFonts w:hint="eastAsia" w:ascii="宋体" w:hAnsi="宋体"/>
          <w:sz w:val="24"/>
          <w:szCs w:val="28"/>
        </w:rPr>
        <w:t>投标人提供全部部署实施服务，南通大学开箱即用。投标人为系统管理员提供运维管理培训服务，包括运维管理、服务巡检和故障排错等。投标人提供至少一次用户使用现场培训，以线上方式为终端用户提供7*</w:t>
      </w:r>
      <w:r>
        <w:rPr>
          <w:rFonts w:ascii="宋体" w:hAnsi="宋体"/>
          <w:sz w:val="24"/>
          <w:szCs w:val="28"/>
        </w:rPr>
        <w:t>24</w:t>
      </w:r>
      <w:r>
        <w:rPr>
          <w:rFonts w:hint="eastAsia" w:ascii="宋体" w:hAnsi="宋体"/>
          <w:sz w:val="24"/>
          <w:szCs w:val="28"/>
        </w:rPr>
        <w:t>咨询服务。</w:t>
      </w:r>
    </w:p>
    <w:p>
      <w:pPr>
        <w:spacing w:after="120" w:line="360" w:lineRule="auto"/>
        <w:ind w:firstLine="420"/>
        <w:outlineLvl w:val="1"/>
        <w:rPr>
          <w:rFonts w:ascii="宋体" w:hAnsi="宋体"/>
          <w:sz w:val="24"/>
          <w:szCs w:val="28"/>
        </w:rPr>
      </w:pPr>
      <w:bookmarkStart w:id="30" w:name="_Toc42777880"/>
      <w:r>
        <w:rPr>
          <w:rFonts w:hint="eastAsia" w:ascii="宋体" w:hAnsi="宋体"/>
          <w:sz w:val="24"/>
          <w:szCs w:val="28"/>
        </w:rPr>
        <w:t>2、智慧校园对接</w:t>
      </w:r>
      <w:bookmarkEnd w:id="30"/>
    </w:p>
    <w:p>
      <w:pPr>
        <w:spacing w:after="120" w:line="360" w:lineRule="auto"/>
        <w:ind w:firstLine="420"/>
        <w:rPr>
          <w:rFonts w:ascii="宋体" w:hAnsi="宋体"/>
          <w:sz w:val="24"/>
          <w:szCs w:val="28"/>
        </w:rPr>
      </w:pPr>
      <w:r>
        <w:rPr>
          <w:rFonts w:hint="eastAsia" w:ascii="宋体" w:hAnsi="宋体"/>
          <w:sz w:val="24"/>
          <w:szCs w:val="28"/>
        </w:rPr>
        <w:t>用户账户体系和认证机制与学校统一身份认证对接，包括所有W</w:t>
      </w:r>
      <w:r>
        <w:rPr>
          <w:rFonts w:ascii="宋体" w:hAnsi="宋体"/>
          <w:sz w:val="24"/>
          <w:szCs w:val="28"/>
        </w:rPr>
        <w:t>EB</w:t>
      </w:r>
      <w:r>
        <w:rPr>
          <w:rFonts w:hint="eastAsia" w:ascii="宋体" w:hAnsi="宋体"/>
          <w:sz w:val="24"/>
          <w:szCs w:val="28"/>
        </w:rPr>
        <w:t>端、客户端和移动客户端方式，须提供南通大学专属域名服务。服务期内提供所有标准版本的免费升级。</w:t>
      </w:r>
    </w:p>
    <w:p>
      <w:pPr>
        <w:spacing w:after="120" w:line="360" w:lineRule="auto"/>
        <w:ind w:firstLine="420"/>
        <w:rPr>
          <w:rFonts w:ascii="宋体" w:hAnsi="宋体"/>
          <w:sz w:val="24"/>
          <w:szCs w:val="28"/>
        </w:rPr>
      </w:pPr>
      <w:r>
        <w:rPr>
          <w:rFonts w:hint="eastAsia" w:ascii="宋体" w:hAnsi="宋体"/>
          <w:sz w:val="24"/>
          <w:szCs w:val="28"/>
        </w:rPr>
        <w:t>对接要求</w:t>
      </w:r>
      <w:r>
        <w:rPr>
          <w:rFonts w:ascii="宋体" w:hAnsi="宋体"/>
          <w:sz w:val="24"/>
          <w:szCs w:val="28"/>
        </w:rPr>
        <w:t>开箱即用，</w:t>
      </w:r>
      <w:r>
        <w:rPr>
          <w:rFonts w:hint="eastAsia" w:ascii="宋体" w:hAnsi="宋体"/>
          <w:sz w:val="24"/>
          <w:szCs w:val="28"/>
        </w:rPr>
        <w:t>实现用户、组织架构的标准化产品化对接，可兼容企业微信、钉钉等的标准对接。须支持</w:t>
      </w:r>
      <w:r>
        <w:rPr>
          <w:rFonts w:ascii="宋体" w:hAnsi="宋体"/>
          <w:sz w:val="24"/>
          <w:szCs w:val="28"/>
        </w:rPr>
        <w:t>开放给指定</w:t>
      </w:r>
      <w:r>
        <w:rPr>
          <w:rFonts w:hint="eastAsia" w:ascii="宋体" w:hAnsi="宋体"/>
          <w:sz w:val="24"/>
          <w:szCs w:val="28"/>
        </w:rPr>
        <w:t>用户群体。须缓存用户</w:t>
      </w:r>
      <w:r>
        <w:rPr>
          <w:rFonts w:ascii="宋体" w:hAnsi="宋体"/>
          <w:sz w:val="24"/>
          <w:szCs w:val="28"/>
        </w:rPr>
        <w:t>数据，</w:t>
      </w:r>
      <w:r>
        <w:rPr>
          <w:rFonts w:hint="eastAsia" w:ascii="宋体" w:hAnsi="宋体"/>
          <w:sz w:val="24"/>
          <w:szCs w:val="28"/>
        </w:rPr>
        <w:t>如校方身份认证服务</w:t>
      </w:r>
      <w:r>
        <w:rPr>
          <w:rFonts w:ascii="宋体" w:hAnsi="宋体"/>
          <w:sz w:val="24"/>
          <w:szCs w:val="28"/>
        </w:rPr>
        <w:t>失败时，</w:t>
      </w:r>
      <w:r>
        <w:rPr>
          <w:rFonts w:hint="eastAsia" w:ascii="宋体" w:hAnsi="宋体"/>
          <w:sz w:val="24"/>
          <w:szCs w:val="28"/>
        </w:rPr>
        <w:t>不</w:t>
      </w:r>
      <w:r>
        <w:rPr>
          <w:rFonts w:ascii="宋体" w:hAnsi="宋体"/>
          <w:sz w:val="24"/>
          <w:szCs w:val="28"/>
        </w:rPr>
        <w:t>影响网盘使用。</w:t>
      </w:r>
      <w:r>
        <w:rPr>
          <w:rFonts w:hint="eastAsia" w:ascii="宋体" w:hAnsi="宋体"/>
          <w:sz w:val="24"/>
          <w:szCs w:val="28"/>
        </w:rPr>
        <w:t>南通大学身份认证服务商为</w:t>
      </w:r>
      <w:r>
        <w:rPr>
          <w:rFonts w:ascii="宋体" w:hAnsi="宋体"/>
          <w:sz w:val="24"/>
          <w:szCs w:val="28"/>
        </w:rPr>
        <w:t>江苏金智</w:t>
      </w:r>
      <w:r>
        <w:rPr>
          <w:rFonts w:hint="eastAsia" w:ascii="宋体" w:hAnsi="宋体"/>
          <w:sz w:val="24"/>
          <w:szCs w:val="28"/>
        </w:rPr>
        <w:t>（V</w:t>
      </w:r>
      <w:r>
        <w:rPr>
          <w:rFonts w:ascii="宋体" w:hAnsi="宋体"/>
          <w:sz w:val="24"/>
          <w:szCs w:val="28"/>
        </w:rPr>
        <w:t>6.2.18_TR2</w:t>
      </w:r>
      <w:r>
        <w:rPr>
          <w:rFonts w:hint="eastAsia" w:ascii="宋体" w:hAnsi="宋体"/>
          <w:sz w:val="24"/>
          <w:szCs w:val="28"/>
        </w:rPr>
        <w:t>）。</w:t>
      </w:r>
    </w:p>
    <w:p>
      <w:pPr>
        <w:spacing w:after="120" w:line="360" w:lineRule="auto"/>
        <w:ind w:firstLine="420"/>
        <w:rPr>
          <w:rFonts w:ascii="宋体" w:hAnsi="宋体"/>
          <w:sz w:val="24"/>
          <w:szCs w:val="28"/>
        </w:rPr>
      </w:pPr>
      <w:r>
        <w:rPr>
          <w:rFonts w:hint="eastAsia" w:ascii="宋体" w:hAnsi="宋体"/>
          <w:sz w:val="24"/>
          <w:szCs w:val="28"/>
        </w:rPr>
        <w:t>面向南通大学教学、行政管理和科研人员定制化推广方案，为教师提供教学资源共享互动，为管理提供协同办公服务，为科研提供资源协作共享服务。</w:t>
      </w:r>
    </w:p>
    <w:bookmarkEnd w:id="27"/>
    <w:p>
      <w:pPr>
        <w:spacing w:after="120" w:line="360" w:lineRule="auto"/>
        <w:ind w:firstLine="420"/>
        <w:outlineLvl w:val="1"/>
        <w:rPr>
          <w:rFonts w:ascii="宋体" w:hAnsi="宋体"/>
          <w:sz w:val="24"/>
          <w:szCs w:val="28"/>
        </w:rPr>
      </w:pPr>
      <w:bookmarkStart w:id="31" w:name="_Toc42777881"/>
      <w:r>
        <w:rPr>
          <w:rFonts w:ascii="宋体" w:hAnsi="宋体"/>
          <w:sz w:val="24"/>
          <w:szCs w:val="28"/>
        </w:rPr>
        <w:t>3</w:t>
      </w:r>
      <w:r>
        <w:rPr>
          <w:rFonts w:hint="eastAsia" w:ascii="宋体" w:hAnsi="宋体"/>
          <w:sz w:val="24"/>
          <w:szCs w:val="28"/>
        </w:rPr>
        <w:t>、其他要求</w:t>
      </w:r>
      <w:bookmarkEnd w:id="31"/>
    </w:p>
    <w:p>
      <w:pPr>
        <w:spacing w:after="120" w:line="360" w:lineRule="auto"/>
        <w:ind w:firstLine="420"/>
        <w:rPr>
          <w:rFonts w:ascii="宋体" w:hAnsi="宋体"/>
          <w:sz w:val="24"/>
          <w:szCs w:val="28"/>
        </w:rPr>
      </w:pPr>
      <w:r>
        <w:rPr>
          <w:rFonts w:hint="eastAsia" w:ascii="宋体" w:hAnsi="宋体"/>
          <w:sz w:val="24"/>
          <w:szCs w:val="28"/>
        </w:rPr>
        <w:t>支持开箱即用生产力工具，如在线绘制流程图、在线大纲笔记、信息</w:t>
      </w:r>
      <w:r>
        <w:rPr>
          <w:rFonts w:ascii="宋体" w:hAnsi="宋体"/>
          <w:sz w:val="24"/>
          <w:szCs w:val="28"/>
        </w:rPr>
        <w:t>收集工具（</w:t>
      </w:r>
      <w:r>
        <w:rPr>
          <w:rFonts w:hint="eastAsia" w:ascii="宋体" w:hAnsi="宋体"/>
          <w:sz w:val="24"/>
          <w:szCs w:val="28"/>
        </w:rPr>
        <w:t>如通过链接及二维码发布文件收集任务，对指定成员发起收集任务）。</w:t>
      </w:r>
    </w:p>
    <w:p>
      <w:pPr>
        <w:widowControl/>
        <w:jc w:val="left"/>
        <w:rPr>
          <w:rFonts w:ascii="宋体" w:hAnsi="宋体"/>
          <w:sz w:val="28"/>
          <w:szCs w:val="28"/>
        </w:rPr>
      </w:pPr>
      <w:r>
        <w:rPr>
          <w:rFonts w:ascii="宋体" w:hAnsi="宋体"/>
          <w:sz w:val="28"/>
          <w:szCs w:val="28"/>
        </w:rPr>
        <w:br w:type="page"/>
      </w:r>
    </w:p>
    <w:p>
      <w:pPr>
        <w:pStyle w:val="2"/>
        <w:jc w:val="center"/>
      </w:pPr>
      <w:bookmarkStart w:id="32" w:name="_Toc42777882"/>
      <w:r>
        <w:rPr>
          <w:rFonts w:hint="eastAsia"/>
        </w:rPr>
        <w:t>第四部分</w:t>
      </w:r>
      <w:r>
        <w:t xml:space="preserve"> </w:t>
      </w:r>
      <w:r>
        <w:rPr>
          <w:rFonts w:hint="eastAsia"/>
        </w:rPr>
        <w:t>合同主要条款</w:t>
      </w:r>
      <w:bookmarkEnd w:id="32"/>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1、交付时间</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中标公告结束之日起</w:t>
      </w:r>
      <w:r>
        <w:rPr>
          <w:rFonts w:asciiTheme="minorEastAsia" w:hAnsiTheme="minorEastAsia" w:eastAsiaTheme="minorEastAsia"/>
          <w:bCs/>
          <w:color w:val="000000" w:themeColor="text1"/>
          <w:sz w:val="24"/>
          <w14:textFill>
            <w14:solidFill>
              <w14:schemeClr w14:val="tx1"/>
            </w14:solidFill>
          </w14:textFill>
        </w:rPr>
        <w:t>20</w:t>
      </w:r>
      <w:r>
        <w:rPr>
          <w:rFonts w:hint="eastAsia" w:asciiTheme="minorEastAsia" w:hAnsiTheme="minorEastAsia" w:eastAsiaTheme="minorEastAsia"/>
          <w:bCs/>
          <w:color w:val="000000" w:themeColor="text1"/>
          <w:sz w:val="24"/>
          <w14:textFill>
            <w14:solidFill>
              <w14:schemeClr w14:val="tx1"/>
            </w14:solidFill>
          </w14:textFill>
        </w:rPr>
        <w:t>个自然日内完成。</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2</w:t>
      </w:r>
      <w:r>
        <w:rPr>
          <w:rFonts w:hint="eastAsia" w:asciiTheme="minorEastAsia" w:hAnsiTheme="minorEastAsia" w:eastAsiaTheme="minorEastAsia"/>
          <w:bCs/>
          <w:color w:val="000000" w:themeColor="text1"/>
          <w:sz w:val="24"/>
          <w14:textFill>
            <w14:solidFill>
              <w14:schemeClr w14:val="tx1"/>
            </w14:solidFill>
          </w14:textFill>
        </w:rPr>
        <w:t>、服务期限</w:t>
      </w:r>
    </w:p>
    <w:p>
      <w:pPr>
        <w:spacing w:line="480" w:lineRule="exact"/>
        <w:ind w:firstLine="480" w:firstLineChars="200"/>
        <w:rPr>
          <w:rFonts w:asciiTheme="minorEastAsia" w:hAnsiTheme="minorEastAsia" w:eastAsiaTheme="minorEastAsia"/>
          <w:bCs/>
          <w:sz w:val="24"/>
        </w:rPr>
      </w:pPr>
      <w:r>
        <w:rPr>
          <w:rFonts w:hint="eastAsia" w:asciiTheme="minorEastAsia" w:hAnsiTheme="minorEastAsia" w:eastAsiaTheme="minorEastAsia"/>
          <w:bCs/>
          <w:sz w:val="24"/>
        </w:rPr>
        <w:t>服务期限为三年（2020年-202</w:t>
      </w:r>
      <w:r>
        <w:rPr>
          <w:rFonts w:asciiTheme="minorEastAsia" w:hAnsiTheme="minorEastAsia" w:eastAsiaTheme="minorEastAsia"/>
          <w:bCs/>
          <w:sz w:val="24"/>
        </w:rPr>
        <w:t>2</w:t>
      </w:r>
      <w:r>
        <w:rPr>
          <w:rFonts w:hint="eastAsia" w:asciiTheme="minorEastAsia" w:hAnsiTheme="minorEastAsia" w:eastAsiaTheme="minorEastAsia"/>
          <w:bCs/>
          <w:sz w:val="24"/>
        </w:rPr>
        <w:t>年）（具体时间以合同为准）。合同一年一签，甲方对乙方年度服务情况无异议</w:t>
      </w:r>
      <w:r>
        <w:rPr>
          <w:rFonts w:asciiTheme="minorEastAsia" w:hAnsiTheme="minorEastAsia" w:eastAsiaTheme="minorEastAsia"/>
          <w:bCs/>
          <w:sz w:val="24"/>
        </w:rPr>
        <w:t>则</w:t>
      </w:r>
      <w:r>
        <w:rPr>
          <w:rFonts w:hint="eastAsia" w:asciiTheme="minorEastAsia" w:hAnsiTheme="minorEastAsia" w:eastAsiaTheme="minorEastAsia"/>
          <w:bCs/>
          <w:sz w:val="24"/>
        </w:rPr>
        <w:t>续签下一年合同，</w:t>
      </w:r>
      <w:r>
        <w:rPr>
          <w:rFonts w:asciiTheme="minorEastAsia" w:hAnsiTheme="minorEastAsia" w:eastAsiaTheme="minorEastAsia"/>
          <w:bCs/>
          <w:sz w:val="24"/>
        </w:rPr>
        <w:t>乙方年度服务情况不合格的，甲方有权终止合同。</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3</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验收标准</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本项目为交钥匙工程，乙方根据甲方招标文件完成项目全部工作，实现总体功能目标，系统试运行并符合甲方招标文件定制化建设要求后，才能进行最终验收。</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4</w:t>
      </w:r>
      <w:r>
        <w:rPr>
          <w:rFonts w:hint="eastAsia" w:asciiTheme="minorEastAsia" w:hAnsiTheme="minorEastAsia" w:eastAsiaTheme="minorEastAsia"/>
          <w:bCs/>
          <w:color w:val="000000" w:themeColor="text1"/>
          <w:sz w:val="24"/>
          <w14:textFill>
            <w14:solidFill>
              <w14:schemeClr w14:val="tx1"/>
            </w14:solidFill>
          </w14:textFill>
        </w:rPr>
        <w:t>、</w:t>
      </w:r>
      <w:r>
        <w:rPr>
          <w:rFonts w:asciiTheme="minorEastAsia" w:hAnsiTheme="minorEastAsia" w:eastAsiaTheme="minorEastAsia"/>
          <w:bCs/>
          <w:color w:val="000000" w:themeColor="text1"/>
          <w:sz w:val="24"/>
          <w14:textFill>
            <w14:solidFill>
              <w14:schemeClr w14:val="tx1"/>
            </w14:solidFill>
          </w14:textFill>
        </w:rPr>
        <w:t>质保要求</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乙方应当保证其交付给甲方的项目成果不侵犯任何第三方的合法权益。如发生第三方指控甲方实施的技术侵犯的，乙方应当为甲方提供足以证明此技术侵犯不成立的证据，并由乙方进行法律诉讼，如确因本项目成果引起的侵权，乙方应承担所有的赔偿责任，包括因诉讼产生的一切费用。</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提供与平台相关的操作系统、运行环境、附属第三方软件、备份、备份恢复、调优、日常维护、漏洞修补均须提供完善的免费技术服务。服务期内提供免费版本升级，与学校统一身份认证基础平台对接集成的模块升级免费。系统正式验收前，保证部署在校方的</w:t>
      </w:r>
      <w:r>
        <w:rPr>
          <w:rFonts w:asciiTheme="minorEastAsia" w:hAnsiTheme="minorEastAsia" w:eastAsiaTheme="minorEastAsia"/>
          <w:bCs/>
          <w:color w:val="000000" w:themeColor="text1"/>
          <w:sz w:val="24"/>
          <w14:textFill>
            <w14:solidFill>
              <w14:schemeClr w14:val="tx1"/>
            </w14:solidFill>
          </w14:textFill>
        </w:rPr>
        <w:t>平台</w:t>
      </w:r>
      <w:r>
        <w:rPr>
          <w:rFonts w:hint="eastAsia" w:asciiTheme="minorEastAsia" w:hAnsiTheme="minorEastAsia" w:eastAsiaTheme="minorEastAsia"/>
          <w:bCs/>
          <w:color w:val="000000" w:themeColor="text1"/>
          <w:sz w:val="24"/>
          <w14:textFill>
            <w14:solidFill>
              <w14:schemeClr w14:val="tx1"/>
            </w14:solidFill>
          </w14:textFill>
        </w:rPr>
        <w:t>所有功能模块为中标人同类产品（同类产品的认定由校方认定）最新版本。</w:t>
      </w:r>
    </w:p>
    <w:p>
      <w:pPr>
        <w:spacing w:line="480" w:lineRule="exact"/>
        <w:ind w:firstLine="480" w:firstLineChars="200"/>
        <w:rPr>
          <w:rFonts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响应服务：对于售后服务请求，15分钟内响应，常规技术故障应在4小时内解决。升级服务：在服务期内提供云存储</w:t>
      </w:r>
      <w:r>
        <w:rPr>
          <w:rFonts w:asciiTheme="minorEastAsia" w:hAnsiTheme="minorEastAsia" w:eastAsiaTheme="minorEastAsia"/>
          <w:bCs/>
          <w:color w:val="000000" w:themeColor="text1"/>
          <w:sz w:val="24"/>
          <w14:textFill>
            <w14:solidFill>
              <w14:schemeClr w14:val="tx1"/>
            </w14:solidFill>
          </w14:textFill>
        </w:rPr>
        <w:t>服务以及相关客户端的</w:t>
      </w:r>
      <w:r>
        <w:rPr>
          <w:rFonts w:hint="eastAsia" w:asciiTheme="minorEastAsia" w:hAnsiTheme="minorEastAsia" w:eastAsiaTheme="minorEastAsia"/>
          <w:bCs/>
          <w:color w:val="000000" w:themeColor="text1"/>
          <w:sz w:val="24"/>
          <w14:textFill>
            <w14:solidFill>
              <w14:schemeClr w14:val="tx1"/>
            </w14:solidFill>
          </w14:textFill>
        </w:rPr>
        <w:t>免费升级服务。</w:t>
      </w:r>
    </w:p>
    <w:p>
      <w:pPr>
        <w:spacing w:line="480" w:lineRule="exact"/>
        <w:ind w:firstLine="480" w:firstLineChars="20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5</w:t>
      </w:r>
      <w:r>
        <w:rPr>
          <w:rFonts w:hint="eastAsia" w:asciiTheme="minorEastAsia" w:hAnsiTheme="minorEastAsia" w:eastAsiaTheme="minorEastAsia"/>
          <w:color w:val="000000" w:themeColor="text1"/>
          <w:sz w:val="24"/>
          <w14:textFill>
            <w14:solidFill>
              <w14:schemeClr w14:val="tx1"/>
            </w14:solidFill>
          </w14:textFill>
        </w:rPr>
        <w:t>、付款方式</w:t>
      </w:r>
    </w:p>
    <w:p>
      <w:pPr>
        <w:spacing w:line="480" w:lineRule="exact"/>
        <w:ind w:firstLine="480" w:firstLineChars="200"/>
        <w:jc w:val="left"/>
        <w:rPr>
          <w:b/>
          <w:bCs/>
          <w:kern w:val="44"/>
          <w:sz w:val="44"/>
          <w:szCs w:val="44"/>
        </w:rPr>
      </w:pPr>
      <w:r>
        <w:rPr>
          <w:rFonts w:hint="eastAsia" w:asciiTheme="minorEastAsia" w:hAnsiTheme="minorEastAsia" w:eastAsiaTheme="minorEastAsia"/>
          <w:sz w:val="24"/>
        </w:rPr>
        <w:t>本服务为年费制，首年在系统上线并稳定运行不少于一个月后付款，次年起在服务年度开始</w:t>
      </w:r>
      <w:r>
        <w:rPr>
          <w:rFonts w:asciiTheme="minorEastAsia" w:hAnsiTheme="minorEastAsia" w:eastAsiaTheme="minorEastAsia"/>
          <w:sz w:val="24"/>
        </w:rPr>
        <w:t>的三个月内完成</w:t>
      </w:r>
      <w:r>
        <w:rPr>
          <w:rFonts w:hint="eastAsia" w:asciiTheme="minorEastAsia" w:hAnsiTheme="minorEastAsia" w:eastAsiaTheme="minorEastAsia"/>
          <w:sz w:val="24"/>
        </w:rPr>
        <w:t>付款。</w:t>
      </w:r>
      <w:r>
        <w:rPr>
          <w:rFonts w:ascii="宋体" w:hAnsi="宋体"/>
          <w:szCs w:val="21"/>
        </w:rPr>
        <w:br w:type="page"/>
      </w:r>
      <w:bookmarkEnd w:id="15"/>
      <w:r>
        <w:rPr>
          <w:rFonts w:hint="eastAsia" w:ascii="宋体" w:hAnsi="宋体"/>
          <w:szCs w:val="21"/>
          <w:lang w:val="en-US" w:eastAsia="zh-CN"/>
        </w:rPr>
        <w:t xml:space="preserve">                     </w:t>
      </w:r>
      <w:bookmarkStart w:id="41" w:name="_GoBack"/>
      <w:bookmarkEnd w:id="41"/>
      <w:r>
        <w:rPr>
          <w:rFonts w:hint="eastAsia"/>
          <w:b/>
          <w:bCs/>
          <w:kern w:val="44"/>
          <w:sz w:val="44"/>
          <w:szCs w:val="44"/>
        </w:rPr>
        <w:t>第五部分</w:t>
      </w:r>
      <w:r>
        <w:rPr>
          <w:b/>
          <w:bCs/>
          <w:kern w:val="44"/>
          <w:sz w:val="44"/>
          <w:szCs w:val="44"/>
        </w:rPr>
        <w:t xml:space="preserve">  </w:t>
      </w:r>
      <w:r>
        <w:rPr>
          <w:rFonts w:hint="eastAsia"/>
          <w:b/>
          <w:bCs/>
          <w:kern w:val="44"/>
          <w:sz w:val="44"/>
          <w:szCs w:val="44"/>
        </w:rPr>
        <w:t>附</w:t>
      </w:r>
      <w:r>
        <w:rPr>
          <w:b/>
          <w:bCs/>
          <w:kern w:val="44"/>
          <w:sz w:val="44"/>
          <w:szCs w:val="44"/>
        </w:rPr>
        <w:t xml:space="preserve">  </w:t>
      </w:r>
      <w:r>
        <w:rPr>
          <w:rFonts w:hint="eastAsia"/>
          <w:b/>
          <w:bCs/>
          <w:kern w:val="44"/>
          <w:sz w:val="44"/>
          <w:szCs w:val="44"/>
        </w:rPr>
        <w:t>件</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：投标报价总表</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3</w:t>
      </w:r>
      <w:r>
        <w:rPr>
          <w:rFonts w:hint="eastAsia" w:ascii="宋体" w:hAnsi="宋体"/>
          <w:color w:val="000000" w:themeColor="text1"/>
          <w:spacing w:val="4"/>
          <w:sz w:val="24"/>
          <w14:textFill>
            <w14:solidFill>
              <w14:schemeClr w14:val="tx1"/>
            </w14:solidFill>
          </w14:textFill>
        </w:rPr>
        <w:t>：配置清单及分项报价表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4</w:t>
      </w:r>
      <w:r>
        <w:rPr>
          <w:rFonts w:hint="eastAsia" w:ascii="宋体" w:hAnsi="宋体"/>
          <w:color w:val="000000" w:themeColor="text1"/>
          <w:spacing w:val="4"/>
          <w:sz w:val="24"/>
          <w14:textFill>
            <w14:solidFill>
              <w14:schemeClr w14:val="tx1"/>
            </w14:solidFill>
          </w14:textFill>
        </w:rPr>
        <w:t>：技术规格响应</w:t>
      </w:r>
      <w:r>
        <w:rPr>
          <w:rFonts w:ascii="宋体" w:hAnsi="宋体"/>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偏</w:t>
      </w:r>
      <w:r>
        <w:rPr>
          <w:rFonts w:hint="eastAsia"/>
          <w:color w:val="000000" w:themeColor="text1"/>
          <w:sz w:val="24"/>
          <w14:textFill>
            <w14:solidFill>
              <w14:schemeClr w14:val="tx1"/>
            </w14:solidFill>
          </w14:textFill>
        </w:rPr>
        <w:t>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5</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商务条款响应</w:t>
      </w:r>
      <w:r>
        <w:rPr>
          <w:rFonts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偏离表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6</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法定代表人资格证明</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7</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法定代表人授权书</w:t>
      </w:r>
    </w:p>
    <w:p>
      <w:pPr>
        <w:spacing w:line="360" w:lineRule="auto"/>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附件8：南通大学采购谈判二次报价单</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p>
    <w:p>
      <w:pPr>
        <w:pStyle w:val="3"/>
        <w:rPr>
          <w:rFonts w:ascii="宋体" w:hAnsi="宋体"/>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33" w:name="_Toc42777883"/>
      <w:r>
        <w:rPr>
          <w:rFonts w:hint="eastAsia" w:ascii="宋体" w:hAnsi="宋体"/>
          <w:color w:val="000000" w:themeColor="text1"/>
          <w:sz w:val="21"/>
          <w:szCs w:val="21"/>
          <w14:textFill>
            <w14:solidFill>
              <w14:schemeClr w14:val="tx1"/>
            </w14:solidFill>
          </w14:textFill>
        </w:rPr>
        <w:t>附件</w:t>
      </w:r>
      <w:r>
        <w:rPr>
          <w:rFonts w:ascii="宋体" w:hAnsi="宋体"/>
          <w:color w:val="000000" w:themeColor="text1"/>
          <w:sz w:val="21"/>
          <w:szCs w:val="21"/>
          <w14:textFill>
            <w14:solidFill>
              <w14:schemeClr w14:val="tx1"/>
            </w14:solidFill>
          </w14:textFill>
        </w:rPr>
        <w:t>1</w:t>
      </w:r>
      <w:r>
        <w:rPr>
          <w:rFonts w:hint="eastAsia" w:ascii="宋体" w:hAnsi="宋体"/>
          <w:color w:val="000000" w:themeColor="text1"/>
          <w:sz w:val="21"/>
          <w:szCs w:val="21"/>
          <w14:textFill>
            <w14:solidFill>
              <w14:schemeClr w14:val="tx1"/>
            </w14:solidFill>
          </w14:textFill>
        </w:rPr>
        <w:t>：投标函</w:t>
      </w:r>
      <w:bookmarkEnd w:id="33"/>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标</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函</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项目竞争性磋商文件（项目编号</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），已完全了解竞争性磋商文件中的所有条款及要求，决定参加投标，同时做出如下承诺：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、我公司与本竞争性磋商项目及该项目相关人员之间均不存在可能影响竞争性磋商公正性的任何利害关系。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、愿按竞争性磋商文件的要求提供货物和服务，投标货物及服务的投标总价为：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rFonts w:ascii="宋体" w:hAnsi="宋体"/>
          <w:bCs/>
          <w:color w:val="000000" w:themeColor="text1"/>
          <w:sz w:val="52"/>
          <w:szCs w:val="52"/>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、接受竞争性磋商文件的所有条款、条件和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放弃对竞争性磋商文件提出质疑的权利。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、同意按照竞争性磋商文件的要求提供所有资料、数据或信息。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、我方如中标，将保证遵守竞争性磋商文件对投标人的所有要求和规定，履行自己在投标文件中承诺的全部责任和义务。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1"/>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投标人名称（章）：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机</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E  m  a  i  l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址</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期</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pStyle w:val="3"/>
        <w:rPr>
          <w:rFonts w:ascii="宋体" w:hAnsi="宋体"/>
          <w:b w:val="0"/>
          <w:color w:val="000000" w:themeColor="text1"/>
          <w:sz w:val="21"/>
          <w:szCs w:val="21"/>
          <w14:textFill>
            <w14:solidFill>
              <w14:schemeClr w14:val="tx1"/>
            </w14:solidFill>
          </w14:textFill>
        </w:rPr>
      </w:pPr>
      <w:bookmarkStart w:id="34" w:name="_Toc42777884"/>
      <w:r>
        <w:rPr>
          <w:rFonts w:hint="eastAsia" w:ascii="宋体" w:hAnsi="宋体"/>
          <w:b w:val="0"/>
          <w:color w:val="000000" w:themeColor="text1"/>
          <w:sz w:val="21"/>
          <w:szCs w:val="21"/>
          <w14:textFill>
            <w14:solidFill>
              <w14:schemeClr w14:val="tx1"/>
            </w14:solidFill>
          </w14:textFill>
        </w:rPr>
        <w:t>附件</w:t>
      </w:r>
      <w:r>
        <w:rPr>
          <w:rFonts w:ascii="宋体" w:hAnsi="宋体"/>
          <w:b w:val="0"/>
          <w:color w:val="000000" w:themeColor="text1"/>
          <w:sz w:val="21"/>
          <w:szCs w:val="21"/>
          <w14:textFill>
            <w14:solidFill>
              <w14:schemeClr w14:val="tx1"/>
            </w14:solidFill>
          </w14:textFill>
        </w:rPr>
        <w:t>2</w:t>
      </w:r>
      <w:r>
        <w:rPr>
          <w:rFonts w:hint="eastAsia" w:ascii="宋体" w:hAnsi="宋体"/>
          <w:b w:val="0"/>
          <w:color w:val="000000" w:themeColor="text1"/>
          <w:sz w:val="21"/>
          <w:szCs w:val="21"/>
          <w14:textFill>
            <w14:solidFill>
              <w14:schemeClr w14:val="tx1"/>
            </w14:solidFill>
          </w14:textFill>
        </w:rPr>
        <w:t>：投</w:t>
      </w:r>
      <w:r>
        <w:rPr>
          <w:rFonts w:ascii="宋体" w:hAnsi="宋体"/>
          <w:b w:val="0"/>
          <w:color w:val="000000" w:themeColor="text1"/>
          <w:sz w:val="21"/>
          <w:szCs w:val="21"/>
          <w14:textFill>
            <w14:solidFill>
              <w14:schemeClr w14:val="tx1"/>
            </w14:solidFill>
          </w14:textFill>
        </w:rPr>
        <w:t xml:space="preserve"> </w:t>
      </w:r>
      <w:r>
        <w:rPr>
          <w:rFonts w:hint="eastAsia" w:ascii="宋体" w:hAnsi="宋体"/>
          <w:b w:val="0"/>
          <w:color w:val="000000" w:themeColor="text1"/>
          <w:sz w:val="21"/>
          <w:szCs w:val="21"/>
          <w14:textFill>
            <w14:solidFill>
              <w14:schemeClr w14:val="tx1"/>
            </w14:solidFill>
          </w14:textFill>
        </w:rPr>
        <w:t>标</w:t>
      </w:r>
      <w:r>
        <w:rPr>
          <w:rFonts w:ascii="宋体" w:hAnsi="宋体"/>
          <w:b w:val="0"/>
          <w:color w:val="000000" w:themeColor="text1"/>
          <w:sz w:val="21"/>
          <w:szCs w:val="21"/>
          <w14:textFill>
            <w14:solidFill>
              <w14:schemeClr w14:val="tx1"/>
            </w14:solidFill>
          </w14:textFill>
        </w:rPr>
        <w:t xml:space="preserve"> </w:t>
      </w:r>
      <w:r>
        <w:rPr>
          <w:rFonts w:hint="eastAsia" w:ascii="宋体" w:hAnsi="宋体"/>
          <w:b w:val="0"/>
          <w:color w:val="000000" w:themeColor="text1"/>
          <w:sz w:val="21"/>
          <w:szCs w:val="21"/>
          <w14:textFill>
            <w14:solidFill>
              <w14:schemeClr w14:val="tx1"/>
            </w14:solidFill>
          </w14:textFill>
        </w:rPr>
        <w:t>报</w:t>
      </w:r>
      <w:r>
        <w:rPr>
          <w:rFonts w:ascii="宋体" w:hAnsi="宋体"/>
          <w:b w:val="0"/>
          <w:color w:val="000000" w:themeColor="text1"/>
          <w:sz w:val="21"/>
          <w:szCs w:val="21"/>
          <w14:textFill>
            <w14:solidFill>
              <w14:schemeClr w14:val="tx1"/>
            </w14:solidFill>
          </w14:textFill>
        </w:rPr>
        <w:t xml:space="preserve"> </w:t>
      </w:r>
      <w:r>
        <w:rPr>
          <w:rFonts w:hint="eastAsia" w:ascii="宋体" w:hAnsi="宋体"/>
          <w:b w:val="0"/>
          <w:color w:val="000000" w:themeColor="text1"/>
          <w:sz w:val="21"/>
          <w:szCs w:val="21"/>
          <w14:textFill>
            <w14:solidFill>
              <w14:schemeClr w14:val="tx1"/>
            </w14:solidFill>
          </w14:textFill>
        </w:rPr>
        <w:t>价</w:t>
      </w:r>
      <w:r>
        <w:rPr>
          <w:rFonts w:ascii="宋体" w:hAnsi="宋体"/>
          <w:b w:val="0"/>
          <w:color w:val="000000" w:themeColor="text1"/>
          <w:sz w:val="21"/>
          <w:szCs w:val="21"/>
          <w14:textFill>
            <w14:solidFill>
              <w14:schemeClr w14:val="tx1"/>
            </w14:solidFill>
          </w14:textFill>
        </w:rPr>
        <w:t xml:space="preserve"> </w:t>
      </w:r>
      <w:r>
        <w:rPr>
          <w:rFonts w:hint="eastAsia" w:ascii="宋体" w:hAnsi="宋体"/>
          <w:b w:val="0"/>
          <w:color w:val="000000" w:themeColor="text1"/>
          <w:sz w:val="21"/>
          <w:szCs w:val="21"/>
          <w14:textFill>
            <w14:solidFill>
              <w14:schemeClr w14:val="tx1"/>
            </w14:solidFill>
          </w14:textFill>
        </w:rPr>
        <w:t>总</w:t>
      </w:r>
      <w:r>
        <w:rPr>
          <w:rFonts w:ascii="宋体" w:hAnsi="宋体"/>
          <w:b w:val="0"/>
          <w:color w:val="000000" w:themeColor="text1"/>
          <w:sz w:val="21"/>
          <w:szCs w:val="21"/>
          <w14:textFill>
            <w14:solidFill>
              <w14:schemeClr w14:val="tx1"/>
            </w14:solidFill>
          </w14:textFill>
        </w:rPr>
        <w:t xml:space="preserve"> </w:t>
      </w:r>
      <w:r>
        <w:rPr>
          <w:rFonts w:hint="eastAsia" w:ascii="宋体" w:hAnsi="宋体"/>
          <w:b w:val="0"/>
          <w:color w:val="000000" w:themeColor="text1"/>
          <w:sz w:val="21"/>
          <w:szCs w:val="21"/>
          <w14:textFill>
            <w14:solidFill>
              <w14:schemeClr w14:val="tx1"/>
            </w14:solidFill>
          </w14:textFill>
        </w:rPr>
        <w:t>表</w:t>
      </w:r>
      <w:bookmarkEnd w:id="34"/>
    </w:p>
    <w:p>
      <w:pPr>
        <w:snapToGrid w:val="0"/>
        <w:spacing w:line="360" w:lineRule="auto"/>
        <w:ind w:right="-351" w:rightChars="-167"/>
        <w:rPr>
          <w:rFonts w:ascii="宋体"/>
          <w:b/>
          <w:color w:val="000000" w:themeColor="text1"/>
          <w:sz w:val="36"/>
          <w:szCs w:val="36"/>
          <w14:textFill>
            <w14:solidFill>
              <w14:schemeClr w14:val="tx1"/>
            </w14:solidFill>
          </w14:textFill>
        </w:rPr>
      </w:pPr>
    </w:p>
    <w:p>
      <w:pPr>
        <w:snapToGrid w:val="0"/>
        <w:spacing w:line="360" w:lineRule="auto"/>
        <w:ind w:right="-351" w:rightChars="-167" w:firstLine="5251" w:firstLineChars="1453"/>
        <w:rPr>
          <w:rFonts w:asci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标</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报</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价</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总</w:t>
      </w:r>
      <w:r>
        <w:rPr>
          <w:rFonts w:ascii="宋体" w:hAnsi="宋体"/>
          <w:b/>
          <w:color w:val="000000" w:themeColor="text1"/>
          <w:sz w:val="36"/>
          <w:szCs w:val="36"/>
          <w14:textFill>
            <w14:solidFill>
              <w14:schemeClr w14:val="tx1"/>
            </w14:solidFill>
          </w14:textFill>
        </w:rPr>
        <w:t xml:space="preserve"> </w:t>
      </w:r>
      <w:r>
        <w:rPr>
          <w:rFonts w:hint="eastAsia" w:ascii="宋体" w:hAnsi="宋体"/>
          <w:b/>
          <w:color w:val="000000" w:themeColor="text1"/>
          <w:sz w:val="36"/>
          <w:szCs w:val="36"/>
          <w14:textFill>
            <w14:solidFill>
              <w14:schemeClr w14:val="tx1"/>
            </w14:solidFill>
          </w14:textFill>
        </w:rPr>
        <w:t>表</w:t>
      </w:r>
    </w:p>
    <w:tbl>
      <w:tblPr>
        <w:tblStyle w:val="21"/>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768"/>
        <w:gridCol w:w="850"/>
        <w:gridCol w:w="644"/>
        <w:gridCol w:w="2371"/>
        <w:gridCol w:w="2357"/>
        <w:gridCol w:w="683"/>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668"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222" w:type="dxa"/>
            <w:gridSpan w:val="4"/>
            <w:vAlign w:val="center"/>
          </w:tcPr>
          <w:p>
            <w:pPr>
              <w:spacing w:line="360" w:lineRule="auto"/>
              <w:jc w:val="center"/>
              <w:rPr>
                <w:rFonts w:ascii="宋体"/>
                <w:b/>
                <w:color w:val="000000" w:themeColor="text1"/>
                <w:szCs w:val="21"/>
                <w14:textFill>
                  <w14:solidFill>
                    <w14:schemeClr w14:val="tx1"/>
                  </w14:solidFill>
                </w14:textFill>
              </w:rPr>
            </w:pPr>
          </w:p>
        </w:tc>
        <w:tc>
          <w:tcPr>
            <w:tcW w:w="1659"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625" w:type="dxa"/>
            <w:gridSpan w:val="4"/>
            <w:vAlign w:val="center"/>
          </w:tcPr>
          <w:p>
            <w:pPr>
              <w:spacing w:line="360" w:lineRule="auto"/>
              <w:jc w:val="center"/>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262" w:type="dxa"/>
            <w:gridSpan w:val="3"/>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项目名称</w:t>
            </w:r>
          </w:p>
        </w:tc>
        <w:tc>
          <w:tcPr>
            <w:tcW w:w="2371"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规格型号</w:t>
            </w:r>
          </w:p>
        </w:tc>
        <w:tc>
          <w:tcPr>
            <w:tcW w:w="2357"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生产厂商</w:t>
            </w:r>
          </w:p>
        </w:tc>
        <w:tc>
          <w:tcPr>
            <w:tcW w:w="683"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976"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货币</w:t>
            </w:r>
          </w:p>
        </w:tc>
        <w:tc>
          <w:tcPr>
            <w:tcW w:w="1191"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单价（元）</w:t>
            </w:r>
          </w:p>
        </w:tc>
        <w:tc>
          <w:tcPr>
            <w:tcW w:w="119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总价（元）</w:t>
            </w:r>
          </w:p>
        </w:tc>
        <w:tc>
          <w:tcPr>
            <w:tcW w:w="935"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保修期</w:t>
            </w:r>
          </w:p>
        </w:tc>
        <w:tc>
          <w:tcPr>
            <w:tcW w:w="1307"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2371"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2371"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2371"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2371"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2371"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2371"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3015" w:type="dxa"/>
            <w:gridSpan w:val="2"/>
            <w:vAlign w:val="center"/>
          </w:tcPr>
          <w:p>
            <w:pPr>
              <w:spacing w:line="360" w:lineRule="auto"/>
              <w:jc w:val="center"/>
              <w:rPr>
                <w:rFonts w:ascii="宋体"/>
                <w:b/>
                <w:color w:val="000000" w:themeColor="text1"/>
                <w:sz w:val="24"/>
                <w14:textFill>
                  <w14:solidFill>
                    <w14:schemeClr w14:val="tx1"/>
                  </w14:solidFill>
                </w14:textFill>
              </w:rPr>
            </w:pPr>
          </w:p>
        </w:tc>
        <w:tc>
          <w:tcPr>
            <w:tcW w:w="2357"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2850" w:type="dxa"/>
            <w:gridSpan w:val="3"/>
            <w:vAlign w:val="center"/>
          </w:tcPr>
          <w:p>
            <w:pPr>
              <w:spacing w:line="360" w:lineRule="auto"/>
              <w:jc w:val="center"/>
              <w:rPr>
                <w:rFonts w:ascii="宋体"/>
                <w:b/>
                <w:color w:val="000000" w:themeColor="text1"/>
                <w:sz w:val="24"/>
                <w14:textFill>
                  <w14:solidFill>
                    <w14:schemeClr w14:val="tx1"/>
                  </w14:solidFill>
                </w14:textFill>
              </w:rPr>
            </w:pPr>
          </w:p>
        </w:tc>
        <w:tc>
          <w:tcPr>
            <w:tcW w:w="1192"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2242" w:type="dxa"/>
            <w:gridSpan w:val="2"/>
            <w:vAlign w:val="center"/>
          </w:tcPr>
          <w:p>
            <w:pPr>
              <w:spacing w:line="360" w:lineRule="auto"/>
              <w:jc w:val="center"/>
              <w:rPr>
                <w:rFonts w:ascii="宋体"/>
                <w:b/>
                <w:color w:val="000000" w:themeColor="text1"/>
                <w:sz w:val="24"/>
                <w14:textFill>
                  <w14:solidFill>
                    <w14:schemeClr w14:val="tx1"/>
                  </w14:solidFill>
                </w14:textFill>
              </w:rPr>
            </w:pPr>
          </w:p>
        </w:tc>
      </w:tr>
    </w:tbl>
    <w:p>
      <w:pPr>
        <w:spacing w:line="360" w:lineRule="auto"/>
        <w:rPr>
          <w:rFonts w:ascii="宋体"/>
          <w:color w:val="000000" w:themeColor="text1"/>
          <w:sz w:val="24"/>
          <w14:textFill>
            <w14:solidFill>
              <w14:schemeClr w14:val="tx1"/>
            </w14:solidFill>
          </w14:textFill>
        </w:rPr>
      </w:pPr>
    </w:p>
    <w:p>
      <w:pPr>
        <w:pStyle w:val="3"/>
        <w:rPr>
          <w:rFonts w:ascii="宋体"/>
          <w:b w:val="0"/>
          <w:color w:val="000000" w:themeColor="text1"/>
          <w:sz w:val="36"/>
          <w:szCs w:val="36"/>
          <w14:textFill>
            <w14:solidFill>
              <w14:schemeClr w14:val="tx1"/>
            </w14:solidFill>
          </w14:textFill>
        </w:rPr>
      </w:pPr>
      <w:r>
        <w:rPr>
          <w:rFonts w:ascii="宋体"/>
          <w:color w:val="000000" w:themeColor="text1"/>
          <w:spacing w:val="4"/>
          <w:sz w:val="24"/>
          <w14:textFill>
            <w14:solidFill>
              <w14:schemeClr w14:val="tx1"/>
            </w14:solidFill>
          </w14:textFill>
        </w:rPr>
        <w:br w:type="page"/>
      </w:r>
      <w:bookmarkStart w:id="35" w:name="_Toc42777885"/>
      <w:r>
        <w:rPr>
          <w:rFonts w:hint="eastAsia" w:ascii="宋体" w:hAnsi="宋体"/>
          <w:b w:val="0"/>
          <w:color w:val="000000" w:themeColor="text1"/>
          <w:sz w:val="21"/>
          <w:szCs w:val="21"/>
          <w14:textFill>
            <w14:solidFill>
              <w14:schemeClr w14:val="tx1"/>
            </w14:solidFill>
          </w14:textFill>
        </w:rPr>
        <w:t>附件</w:t>
      </w:r>
      <w:r>
        <w:rPr>
          <w:rFonts w:ascii="宋体" w:hAnsi="宋体"/>
          <w:b w:val="0"/>
          <w:color w:val="000000" w:themeColor="text1"/>
          <w:sz w:val="21"/>
          <w:szCs w:val="21"/>
          <w14:textFill>
            <w14:solidFill>
              <w14:schemeClr w14:val="tx1"/>
            </w14:solidFill>
          </w14:textFill>
        </w:rPr>
        <w:t>3</w:t>
      </w:r>
      <w:r>
        <w:rPr>
          <w:rFonts w:hint="eastAsia" w:ascii="宋体" w:hAnsi="宋体"/>
          <w:b w:val="0"/>
          <w:color w:val="000000" w:themeColor="text1"/>
          <w:sz w:val="21"/>
          <w:szCs w:val="21"/>
          <w14:textFill>
            <w14:solidFill>
              <w14:schemeClr w14:val="tx1"/>
            </w14:solidFill>
          </w14:textFill>
        </w:rPr>
        <w:t>：配置清单及分项报价表</w:t>
      </w:r>
      <w:bookmarkEnd w:id="35"/>
    </w:p>
    <w:p>
      <w:pPr>
        <w:snapToGrid w:val="0"/>
        <w:spacing w:line="360" w:lineRule="auto"/>
        <w:ind w:right="-351" w:rightChars="-167" w:firstLine="5251" w:firstLineChars="1453"/>
        <w:rPr>
          <w:rFonts w:asci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配置清单及分项报价表</w:t>
      </w:r>
    </w:p>
    <w:tbl>
      <w:tblPr>
        <w:tblStyle w:val="21"/>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626"/>
        <w:gridCol w:w="992"/>
        <w:gridCol w:w="1276"/>
        <w:gridCol w:w="1739"/>
        <w:gridCol w:w="2357"/>
        <w:gridCol w:w="683"/>
        <w:gridCol w:w="976"/>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526"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364" w:type="dxa"/>
            <w:gridSpan w:val="4"/>
            <w:vAlign w:val="center"/>
          </w:tcPr>
          <w:p>
            <w:pPr>
              <w:spacing w:line="360" w:lineRule="auto"/>
              <w:jc w:val="center"/>
              <w:rPr>
                <w:rFonts w:ascii="宋体"/>
                <w:b/>
                <w:color w:val="000000" w:themeColor="text1"/>
                <w:szCs w:val="21"/>
                <w14:textFill>
                  <w14:solidFill>
                    <w14:schemeClr w14:val="tx1"/>
                  </w14:solidFill>
                </w14:textFill>
              </w:rPr>
            </w:pPr>
          </w:p>
        </w:tc>
        <w:tc>
          <w:tcPr>
            <w:tcW w:w="1659"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625" w:type="dxa"/>
            <w:gridSpan w:val="3"/>
            <w:vAlign w:val="center"/>
          </w:tcPr>
          <w:p>
            <w:pPr>
              <w:spacing w:line="360" w:lineRule="auto"/>
              <w:jc w:val="center"/>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主机（部件、配件等）名称</w:t>
            </w:r>
          </w:p>
        </w:tc>
        <w:tc>
          <w:tcPr>
            <w:tcW w:w="1739"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规格型号</w:t>
            </w:r>
          </w:p>
        </w:tc>
        <w:tc>
          <w:tcPr>
            <w:tcW w:w="2357"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生产厂商</w:t>
            </w:r>
          </w:p>
        </w:tc>
        <w:tc>
          <w:tcPr>
            <w:tcW w:w="683"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976"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货币</w:t>
            </w:r>
          </w:p>
        </w:tc>
        <w:tc>
          <w:tcPr>
            <w:tcW w:w="1191"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单价（元）</w:t>
            </w:r>
          </w:p>
        </w:tc>
        <w:tc>
          <w:tcPr>
            <w:tcW w:w="119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总价（元）</w:t>
            </w:r>
          </w:p>
        </w:tc>
        <w:tc>
          <w:tcPr>
            <w:tcW w:w="224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jc w:val="left"/>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3015" w:type="dxa"/>
            <w:gridSpan w:val="2"/>
            <w:vAlign w:val="center"/>
          </w:tcPr>
          <w:p>
            <w:pPr>
              <w:spacing w:line="360" w:lineRule="auto"/>
              <w:jc w:val="center"/>
              <w:rPr>
                <w:rFonts w:ascii="宋体"/>
                <w:b/>
                <w:color w:val="000000" w:themeColor="text1"/>
                <w:sz w:val="24"/>
                <w14:textFill>
                  <w14:solidFill>
                    <w14:schemeClr w14:val="tx1"/>
                  </w14:solidFill>
                </w14:textFill>
              </w:rPr>
            </w:pPr>
          </w:p>
        </w:tc>
        <w:tc>
          <w:tcPr>
            <w:tcW w:w="2357"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2850" w:type="dxa"/>
            <w:gridSpan w:val="3"/>
            <w:vAlign w:val="center"/>
          </w:tcPr>
          <w:p>
            <w:pPr>
              <w:spacing w:line="360" w:lineRule="auto"/>
              <w:jc w:val="center"/>
              <w:rPr>
                <w:rFonts w:ascii="宋体"/>
                <w:b/>
                <w:color w:val="000000" w:themeColor="text1"/>
                <w:sz w:val="24"/>
                <w14:textFill>
                  <w14:solidFill>
                    <w14:schemeClr w14:val="tx1"/>
                  </w14:solidFill>
                </w14:textFill>
              </w:rPr>
            </w:pPr>
          </w:p>
        </w:tc>
        <w:tc>
          <w:tcPr>
            <w:tcW w:w="1192"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2242" w:type="dxa"/>
            <w:vAlign w:val="center"/>
          </w:tcPr>
          <w:p>
            <w:pPr>
              <w:spacing w:line="360" w:lineRule="auto"/>
              <w:jc w:val="center"/>
              <w:rPr>
                <w:rFonts w:ascii="宋体"/>
                <w:b/>
                <w:color w:val="000000" w:themeColor="text1"/>
                <w:sz w:val="24"/>
                <w14:textFill>
                  <w14:solidFill>
                    <w14:schemeClr w14:val="tx1"/>
                  </w14:solidFill>
                </w14:textFill>
              </w:rPr>
            </w:pPr>
          </w:p>
        </w:tc>
      </w:tr>
    </w:tbl>
    <w:p>
      <w:pPr>
        <w:pStyle w:val="3"/>
        <w:rPr>
          <w:rFonts w:ascii="宋体"/>
          <w:b w:val="0"/>
          <w:color w:val="000000" w:themeColor="text1"/>
          <w:sz w:val="36"/>
          <w:szCs w:val="36"/>
          <w14:textFill>
            <w14:solidFill>
              <w14:schemeClr w14:val="tx1"/>
            </w14:solidFill>
          </w14:textFill>
        </w:rPr>
      </w:pPr>
      <w:r>
        <w:rPr>
          <w:rFonts w:ascii="宋体" w:hAnsi="宋体"/>
          <w:color w:val="000000" w:themeColor="text1"/>
          <w:spacing w:val="4"/>
          <w:sz w:val="24"/>
          <w14:textFill>
            <w14:solidFill>
              <w14:schemeClr w14:val="tx1"/>
            </w14:solidFill>
          </w14:textFill>
        </w:rPr>
        <w:br w:type="page"/>
      </w:r>
      <w:bookmarkStart w:id="36" w:name="_Toc42777886"/>
      <w:r>
        <w:rPr>
          <w:rFonts w:hint="eastAsia" w:ascii="宋体" w:hAnsi="宋体"/>
          <w:b w:val="0"/>
          <w:color w:val="000000" w:themeColor="text1"/>
          <w:sz w:val="21"/>
          <w:szCs w:val="21"/>
          <w14:textFill>
            <w14:solidFill>
              <w14:schemeClr w14:val="tx1"/>
            </w14:solidFill>
          </w14:textFill>
        </w:rPr>
        <w:t>附件</w:t>
      </w:r>
      <w:r>
        <w:rPr>
          <w:rFonts w:ascii="宋体" w:hAnsi="宋体"/>
          <w:b w:val="0"/>
          <w:color w:val="000000" w:themeColor="text1"/>
          <w:sz w:val="21"/>
          <w:szCs w:val="21"/>
          <w14:textFill>
            <w14:solidFill>
              <w14:schemeClr w14:val="tx1"/>
            </w14:solidFill>
          </w14:textFill>
        </w:rPr>
        <w:t>4</w:t>
      </w:r>
      <w:r>
        <w:rPr>
          <w:rFonts w:hint="eastAsia" w:ascii="宋体" w:hAnsi="宋体"/>
          <w:b w:val="0"/>
          <w:color w:val="000000" w:themeColor="text1"/>
          <w:sz w:val="21"/>
          <w:szCs w:val="21"/>
          <w14:textFill>
            <w14:solidFill>
              <w14:schemeClr w14:val="tx1"/>
            </w14:solidFill>
          </w14:textFill>
        </w:rPr>
        <w:t>：技术规格响应</w:t>
      </w:r>
      <w:r>
        <w:rPr>
          <w:rFonts w:ascii="宋体" w:hAnsi="宋体"/>
          <w:b w:val="0"/>
          <w:color w:val="000000" w:themeColor="text1"/>
          <w:sz w:val="21"/>
          <w:szCs w:val="21"/>
          <w14:textFill>
            <w14:solidFill>
              <w14:schemeClr w14:val="tx1"/>
            </w14:solidFill>
          </w14:textFill>
        </w:rPr>
        <w:t>/</w:t>
      </w:r>
      <w:r>
        <w:rPr>
          <w:rFonts w:hint="eastAsia" w:ascii="宋体" w:hAnsi="宋体"/>
          <w:b w:val="0"/>
          <w:color w:val="000000" w:themeColor="text1"/>
          <w:sz w:val="21"/>
          <w:szCs w:val="21"/>
          <w14:textFill>
            <w14:solidFill>
              <w14:schemeClr w14:val="tx1"/>
            </w14:solidFill>
          </w14:textFill>
        </w:rPr>
        <w:t>偏离表</w:t>
      </w:r>
      <w:bookmarkEnd w:id="36"/>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技术规格响应</w:t>
      </w:r>
      <w:r>
        <w:rPr>
          <w:rFonts w:ascii="宋体"/>
          <w:b/>
          <w:color w:val="000000" w:themeColor="text1"/>
          <w:sz w:val="36"/>
          <w:szCs w:val="36"/>
          <w14:textFill>
            <w14:solidFill>
              <w14:schemeClr w14:val="tx1"/>
            </w14:solidFill>
          </w14:textFill>
        </w:rPr>
        <w:t>/</w:t>
      </w:r>
      <w:r>
        <w:rPr>
          <w:rFonts w:hint="eastAsia" w:ascii="宋体"/>
          <w:b/>
          <w:color w:val="000000" w:themeColor="text1"/>
          <w:sz w:val="36"/>
          <w:szCs w:val="36"/>
          <w14:textFill>
            <w14:solidFill>
              <w14:schemeClr w14:val="tx1"/>
            </w14:solidFill>
          </w14:textFill>
        </w:rPr>
        <w:t>偏离表</w:t>
      </w:r>
    </w:p>
    <w:tbl>
      <w:tblPr>
        <w:tblStyle w:val="21"/>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color w:val="000000" w:themeColor="text1"/>
                <w:kern w:val="0"/>
                <w:sz w:val="24"/>
                <w14:textFill>
                  <w14:solidFill>
                    <w14:schemeClr w14:val="tx1"/>
                  </w14:solidFill>
                </w14:textFill>
              </w:rPr>
            </w:pPr>
          </w:p>
        </w:tc>
        <w:tc>
          <w:tcPr>
            <w:tcW w:w="1418" w:type="dxa"/>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采购规格</w:t>
            </w:r>
          </w:p>
        </w:tc>
        <w:tc>
          <w:tcPr>
            <w:tcW w:w="4252"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响应</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偏离</w:t>
            </w:r>
          </w:p>
        </w:tc>
        <w:tc>
          <w:tcPr>
            <w:tcW w:w="4006"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268" w:type="dxa"/>
            <w:vAlign w:val="center"/>
          </w:tcPr>
          <w:p>
            <w:pPr>
              <w:ind w:left="-90"/>
              <w:jc w:val="center"/>
              <w:rPr>
                <w:rFonts w:ascii="Mincho"/>
                <w:color w:val="000000" w:themeColor="text1"/>
                <w:kern w:val="0"/>
                <w:sz w:val="20"/>
                <w14:textFill>
                  <w14:solidFill>
                    <w14:schemeClr w14:val="tx1"/>
                  </w14:solidFill>
                </w14:textFill>
              </w:rPr>
            </w:pPr>
          </w:p>
        </w:tc>
        <w:tc>
          <w:tcPr>
            <w:tcW w:w="2693"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1559" w:type="dxa"/>
            <w:vAlign w:val="center"/>
          </w:tcPr>
          <w:p>
            <w:pPr>
              <w:ind w:left="-90"/>
              <w:jc w:val="center"/>
              <w:rPr>
                <w:rFonts w:ascii="Mincho"/>
                <w:color w:val="000000" w:themeColor="text1"/>
                <w:kern w:val="0"/>
                <w:sz w:val="20"/>
                <w14:textFill>
                  <w14:solidFill>
                    <w14:schemeClr w14:val="tx1"/>
                  </w14:solidFill>
                </w14:textFill>
              </w:rPr>
            </w:pPr>
          </w:p>
        </w:tc>
        <w:tc>
          <w:tcPr>
            <w:tcW w:w="1418"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4006" w:type="dxa"/>
            <w:vAlign w:val="center"/>
          </w:tcPr>
          <w:p>
            <w:pPr>
              <w:ind w:left="-90"/>
              <w:jc w:val="center"/>
              <w:rPr>
                <w:rFonts w:ascii="Mincho"/>
                <w:color w:val="000000" w:themeColor="text1"/>
                <w:kern w:val="0"/>
                <w:sz w:val="20"/>
                <w14:textFill>
                  <w14:solidFill>
                    <w14:schemeClr w14:val="tx1"/>
                  </w14:solidFill>
                </w14:textFill>
              </w:rPr>
            </w:pPr>
          </w:p>
        </w:tc>
      </w:tr>
    </w:tbl>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注：投标人应对照用户需求表中的技术规格，逐条核对所提供货物/服务是否做出了实质性的响应，有偏离的必须做出说明，对有具体参数要求的指标项，投标人必须提供本次投标项目的具体参数值。</w:t>
      </w:r>
    </w:p>
    <w:p>
      <w:pPr>
        <w:pStyle w:val="3"/>
        <w:rPr>
          <w:rFonts w:ascii="宋体"/>
          <w:b w:val="0"/>
          <w:color w:val="000000" w:themeColor="text1"/>
          <w:sz w:val="36"/>
          <w:szCs w:val="36"/>
          <w14:textFill>
            <w14:solidFill>
              <w14:schemeClr w14:val="tx1"/>
            </w14:solidFill>
          </w14:textFill>
        </w:rPr>
      </w:pPr>
      <w:r>
        <w:rPr>
          <w:rFonts w:ascii="宋体"/>
          <w:color w:val="000000" w:themeColor="text1"/>
          <w:sz w:val="24"/>
          <w14:textFill>
            <w14:solidFill>
              <w14:schemeClr w14:val="tx1"/>
            </w14:solidFill>
          </w14:textFill>
        </w:rPr>
        <w:br w:type="page"/>
      </w:r>
      <w:bookmarkStart w:id="37" w:name="_Toc42777887"/>
      <w:r>
        <w:rPr>
          <w:rFonts w:hint="eastAsia" w:ascii="宋体" w:hAnsi="宋体"/>
          <w:b w:val="0"/>
          <w:color w:val="000000" w:themeColor="text1"/>
          <w:sz w:val="21"/>
          <w:szCs w:val="21"/>
          <w14:textFill>
            <w14:solidFill>
              <w14:schemeClr w14:val="tx1"/>
            </w14:solidFill>
          </w14:textFill>
        </w:rPr>
        <w:t>附件</w:t>
      </w:r>
      <w:r>
        <w:rPr>
          <w:rFonts w:ascii="宋体" w:hAnsi="宋体"/>
          <w:b w:val="0"/>
          <w:color w:val="000000" w:themeColor="text1"/>
          <w:sz w:val="21"/>
          <w:szCs w:val="21"/>
          <w14:textFill>
            <w14:solidFill>
              <w14:schemeClr w14:val="tx1"/>
            </w14:solidFill>
          </w14:textFill>
        </w:rPr>
        <w:t>5</w:t>
      </w:r>
      <w:r>
        <w:rPr>
          <w:rFonts w:hint="eastAsia" w:ascii="宋体" w:hAnsi="宋体"/>
          <w:b w:val="0"/>
          <w:color w:val="000000" w:themeColor="text1"/>
          <w:sz w:val="21"/>
          <w:szCs w:val="21"/>
          <w14:textFill>
            <w14:solidFill>
              <w14:schemeClr w14:val="tx1"/>
            </w14:solidFill>
          </w14:textFill>
        </w:rPr>
        <w:t>：商务条款响应</w:t>
      </w:r>
      <w:r>
        <w:rPr>
          <w:rFonts w:ascii="宋体" w:hAnsi="宋体"/>
          <w:b w:val="0"/>
          <w:color w:val="000000" w:themeColor="text1"/>
          <w:sz w:val="21"/>
          <w:szCs w:val="21"/>
          <w14:textFill>
            <w14:solidFill>
              <w14:schemeClr w14:val="tx1"/>
            </w14:solidFill>
          </w14:textFill>
        </w:rPr>
        <w:t>/</w:t>
      </w:r>
      <w:r>
        <w:rPr>
          <w:rFonts w:hint="eastAsia" w:ascii="宋体" w:hAnsi="宋体"/>
          <w:b w:val="0"/>
          <w:color w:val="000000" w:themeColor="text1"/>
          <w:sz w:val="21"/>
          <w:szCs w:val="21"/>
          <w14:textFill>
            <w14:solidFill>
              <w14:schemeClr w14:val="tx1"/>
            </w14:solidFill>
          </w14:textFill>
        </w:rPr>
        <w:t>偏离表</w:t>
      </w:r>
      <w:bookmarkEnd w:id="37"/>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商务条款响应</w:t>
      </w:r>
      <w:r>
        <w:rPr>
          <w:rFonts w:ascii="宋体" w:hAnsi="宋体"/>
          <w:b/>
          <w:bCs/>
          <w:color w:val="000000" w:themeColor="text1"/>
          <w:sz w:val="36"/>
          <w:szCs w:val="36"/>
          <w14:textFill>
            <w14:solidFill>
              <w14:schemeClr w14:val="tx1"/>
            </w14:solidFill>
          </w14:textFill>
        </w:rPr>
        <w:t>/</w:t>
      </w:r>
      <w:r>
        <w:rPr>
          <w:rFonts w:hint="eastAsia" w:ascii="宋体" w:hAnsi="宋体"/>
          <w:b/>
          <w:bCs/>
          <w:color w:val="000000" w:themeColor="text1"/>
          <w:sz w:val="36"/>
          <w:szCs w:val="36"/>
          <w14:textFill>
            <w14:solidFill>
              <w14:schemeClr w14:val="tx1"/>
            </w14:solidFill>
          </w14:textFill>
        </w:rPr>
        <w:t>偏离表</w:t>
      </w:r>
    </w:p>
    <w:tbl>
      <w:tblPr>
        <w:tblStyle w:val="21"/>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color w:val="000000" w:themeColor="text1"/>
                <w:kern w:val="0"/>
                <w:sz w:val="24"/>
                <w14:textFill>
                  <w14:solidFill>
                    <w14:schemeClr w14:val="tx1"/>
                  </w14:solidFill>
                </w14:textFill>
              </w:rPr>
            </w:pPr>
          </w:p>
        </w:tc>
        <w:tc>
          <w:tcPr>
            <w:tcW w:w="1418" w:type="dxa"/>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采购条款</w:t>
            </w:r>
          </w:p>
        </w:tc>
        <w:tc>
          <w:tcPr>
            <w:tcW w:w="4252"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投标条款</w:t>
            </w:r>
          </w:p>
        </w:tc>
        <w:tc>
          <w:tcPr>
            <w:tcW w:w="1418"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响应</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偏离</w:t>
            </w:r>
          </w:p>
        </w:tc>
        <w:tc>
          <w:tcPr>
            <w:tcW w:w="4006"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268" w:type="dxa"/>
            <w:vAlign w:val="center"/>
          </w:tcPr>
          <w:p>
            <w:pPr>
              <w:ind w:left="-90"/>
              <w:jc w:val="center"/>
              <w:rPr>
                <w:rFonts w:ascii="Mincho"/>
                <w:color w:val="000000" w:themeColor="text1"/>
                <w:kern w:val="0"/>
                <w:sz w:val="20"/>
                <w14:textFill>
                  <w14:solidFill>
                    <w14:schemeClr w14:val="tx1"/>
                  </w14:solidFill>
                </w14:textFill>
              </w:rPr>
            </w:pPr>
          </w:p>
        </w:tc>
        <w:tc>
          <w:tcPr>
            <w:tcW w:w="2693"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1559" w:type="dxa"/>
            <w:vAlign w:val="center"/>
          </w:tcPr>
          <w:p>
            <w:pPr>
              <w:ind w:left="-90"/>
              <w:jc w:val="center"/>
              <w:rPr>
                <w:rFonts w:ascii="Mincho"/>
                <w:color w:val="000000" w:themeColor="text1"/>
                <w:kern w:val="0"/>
                <w:sz w:val="20"/>
                <w14:textFill>
                  <w14:solidFill>
                    <w14:schemeClr w14:val="tx1"/>
                  </w14:solidFill>
                </w14:textFill>
              </w:rPr>
            </w:pPr>
          </w:p>
        </w:tc>
        <w:tc>
          <w:tcPr>
            <w:tcW w:w="1418"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4006" w:type="dxa"/>
            <w:vAlign w:val="center"/>
          </w:tcPr>
          <w:p>
            <w:pPr>
              <w:ind w:left="-90"/>
              <w:jc w:val="center"/>
              <w:rPr>
                <w:rFonts w:ascii="Mincho"/>
                <w:color w:val="000000" w:themeColor="text1"/>
                <w:kern w:val="0"/>
                <w:sz w:val="20"/>
                <w14:textFill>
                  <w14:solidFill>
                    <w14:schemeClr w14:val="tx1"/>
                  </w14:solidFill>
                </w14:textFill>
              </w:rPr>
            </w:pPr>
          </w:p>
        </w:tc>
      </w:tr>
    </w:tbl>
    <w:p>
      <w:pPr>
        <w:spacing w:line="360" w:lineRule="auto"/>
        <w:ind w:firstLine="480" w:firstLineChars="200"/>
        <w:rPr>
          <w:rFonts w:ascii="宋体"/>
          <w:color w:val="000000" w:themeColor="text1"/>
          <w:sz w:val="24"/>
          <w14:textFill>
            <w14:solidFill>
              <w14:schemeClr w14:val="tx1"/>
            </w14:solidFill>
          </w14:textFill>
        </w:rPr>
        <w:sectPr>
          <w:pgSz w:w="16838" w:h="11906" w:orient="landscape"/>
          <w:pgMar w:top="1644" w:right="1440" w:bottom="1644" w:left="1440" w:header="851" w:footer="992" w:gutter="0"/>
          <w:cols w:space="425" w:num="1"/>
          <w:docGrid w:type="lines" w:linePitch="312" w:charSpace="0"/>
        </w:sectPr>
      </w:pPr>
      <w:r>
        <w:rPr>
          <w:rFonts w:hint="eastAsia" w:ascii="宋体" w:hAnsi="宋体"/>
          <w:color w:val="000000" w:themeColor="text1"/>
          <w:sz w:val="24"/>
          <w14:textFill>
            <w14:solidFill>
              <w14:schemeClr w14:val="tx1"/>
            </w14:solidFill>
          </w14:textFill>
        </w:rPr>
        <w:t>注：投标人应对照竞争性磋商文件的商务条款，逐条核对是否做出了实质性的响应，有偏离的必须做出说明。</w:t>
      </w:r>
    </w:p>
    <w:p>
      <w:pPr>
        <w:pStyle w:val="3"/>
        <w:rPr>
          <w:rFonts w:ascii="宋体" w:hAnsi="宋体"/>
          <w:b w:val="0"/>
          <w:color w:val="000000" w:themeColor="text1"/>
          <w:sz w:val="21"/>
          <w:szCs w:val="21"/>
          <w14:textFill>
            <w14:solidFill>
              <w14:schemeClr w14:val="tx1"/>
            </w14:solidFill>
          </w14:textFill>
        </w:rPr>
      </w:pPr>
      <w:bookmarkStart w:id="38" w:name="_Toc42777888"/>
      <w:r>
        <w:rPr>
          <w:rFonts w:hint="eastAsia" w:ascii="宋体" w:hAnsi="宋体"/>
          <w:b w:val="0"/>
          <w:color w:val="000000" w:themeColor="text1"/>
          <w:sz w:val="21"/>
          <w:szCs w:val="21"/>
          <w14:textFill>
            <w14:solidFill>
              <w14:schemeClr w14:val="tx1"/>
            </w14:solidFill>
          </w14:textFill>
        </w:rPr>
        <w:t>附件</w:t>
      </w:r>
      <w:r>
        <w:rPr>
          <w:rFonts w:ascii="宋体" w:hAnsi="宋体"/>
          <w:b w:val="0"/>
          <w:color w:val="000000" w:themeColor="text1"/>
          <w:sz w:val="21"/>
          <w:szCs w:val="21"/>
          <w14:textFill>
            <w14:solidFill>
              <w14:schemeClr w14:val="tx1"/>
            </w14:solidFill>
          </w14:textFill>
        </w:rPr>
        <w:t>6</w:t>
      </w:r>
      <w:r>
        <w:rPr>
          <w:rFonts w:hint="eastAsia" w:ascii="宋体" w:hAnsi="宋体"/>
          <w:b w:val="0"/>
          <w:color w:val="000000" w:themeColor="text1"/>
          <w:sz w:val="21"/>
          <w:szCs w:val="21"/>
          <w14:textFill>
            <w14:solidFill>
              <w14:schemeClr w14:val="tx1"/>
            </w14:solidFill>
          </w14:textFill>
        </w:rPr>
        <w:t>：法定代表人资格证明</w:t>
      </w:r>
      <w:bookmarkEnd w:id="38"/>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法定代表人资格证明</w:t>
      </w:r>
    </w:p>
    <w:p>
      <w:pPr>
        <w:spacing w:after="312" w:afterLines="100" w:line="480" w:lineRule="auto"/>
        <w:ind w:left="-136" w:right="-350"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系我公司的法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投标人名称：</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0" w:rightChars="-167"/>
        <w:rPr>
          <w:color w:val="000000" w:themeColor="text1"/>
          <w:sz w:val="28"/>
          <w:szCs w:val="28"/>
          <w14:textFill>
            <w14:solidFill>
              <w14:schemeClr w14:val="tx1"/>
            </w14:solidFill>
          </w14:textFill>
        </w:rPr>
      </w:pPr>
    </w:p>
    <w:p>
      <w:pPr>
        <w:pStyle w:val="3"/>
        <w:rPr>
          <w:color w:val="000000" w:themeColor="text1"/>
          <w14:textFill>
            <w14:solidFill>
              <w14:schemeClr w14:val="tx1"/>
            </w14:solidFill>
          </w14:textFill>
        </w:rPr>
      </w:pPr>
      <w:bookmarkStart w:id="39" w:name="_Toc42777889"/>
      <w:r>
        <w:rPr>
          <w:color w:val="000000" w:themeColor="text1"/>
          <w:sz w:val="21"/>
          <w:szCs w:val="24"/>
          <w14:textFill>
            <w14:solidFill>
              <w14:schemeClr w14:val="tx1"/>
            </w14:solidFill>
          </w14:textFill>
        </w:rPr>
        <mc:AlternateContent>
          <mc:Choice Requires="wps">
            <w:drawing>
              <wp:anchor distT="0" distB="0" distL="114300" distR="114300" simplePos="0" relativeHeight="251657216" behindDoc="0" locked="0" layoutInCell="1" allowOverlap="1">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pPr>
                              <w:jc w:val="center"/>
                            </w:pPr>
                          </w:p>
                          <w:p>
                            <w:pPr>
                              <w:jc w:val="center"/>
                            </w:pPr>
                          </w:p>
                          <w:p>
                            <w:pPr>
                              <w:jc w:val="center"/>
                            </w:pPr>
                          </w:p>
                          <w:p>
                            <w:pPr>
                              <w:jc w:val="center"/>
                            </w:pPr>
                          </w:p>
                          <w:p>
                            <w:pPr>
                              <w:jc w:val="center"/>
                            </w:pPr>
                          </w:p>
                          <w:p>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1.85pt;margin-top:57.4pt;height:175pt;width:221.1pt;z-index:251657216;mso-width-relative:page;mso-height-relative:page;" fillcolor="#F9FBF8" filled="t" stroked="t" coordsize="21600,21600" o:gfxdata="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3tzWnYAAAACwEAAA8A&#10;AAAAAAAAAQAgAAAAIgAAAGRycy9kb3ducmV2LnhtbFBLAQIUABQAAAAIAIdO4kAYDAqCFwIAADkE&#10;AAAOAAAAAAAAAAEAIAAAACcBAABkcnMvZTJvRG9jLnhtbFBLBQYAAAAABgAGAFkBAACwBQAAAAA=&#10;">
                <v:fill on="t" focussize="0,0"/>
                <v:stroke weight="0.5pt" color="#000000 [3213]" miterlimit="8" joinstyle="miter"/>
                <v:imagedata o:title=""/>
                <o:lock v:ext="edit" aspectratio="f"/>
                <v:textbox>
                  <w:txbxContent>
                    <w:p>
                      <w:pPr>
                        <w:jc w:val="center"/>
                      </w:pPr>
                    </w:p>
                    <w:p>
                      <w:pPr>
                        <w:jc w:val="center"/>
                      </w:pPr>
                    </w:p>
                    <w:p>
                      <w:pPr>
                        <w:jc w:val="center"/>
                      </w:pPr>
                    </w:p>
                    <w:p>
                      <w:pPr>
                        <w:jc w:val="center"/>
                      </w:pPr>
                    </w:p>
                    <w:p>
                      <w:pPr>
                        <w:jc w:val="center"/>
                      </w:pPr>
                    </w:p>
                    <w:p>
                      <w:r>
                        <w:rPr>
                          <w:rFonts w:hint="eastAsia"/>
                          <w:sz w:val="24"/>
                        </w:rPr>
                        <w:t>法人代表人身份证复印件粘贴处（正面）</w:t>
                      </w:r>
                    </w:p>
                  </w:txbxContent>
                </v:textbox>
              </v:shape>
            </w:pict>
          </mc:Fallback>
        </mc:AlternateContent>
      </w:r>
      <w:r>
        <w:rPr>
          <w:color w:val="000000" w:themeColor="text1"/>
          <w:sz w:val="2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 xmlns:a="http://schemas.openxmlformats.org/drawingml/2006/main">
                  <a:graphicData uri="http://schemas.microsoft.com/office/word/2010/wordprocessingShape">
                    <wps:wsp>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sz w:val="24"/>
                              </w:rPr>
                            </w:pPr>
                          </w:p>
                          <w:p>
                            <w:pPr>
                              <w:jc w:val="center"/>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法人代表人身份证复印件粘贴处（背面）</w:t>
                            </w:r>
                          </w:p>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5.1pt;margin-top:55.4pt;height:175.5pt;width:223.95pt;z-index:251659264;v-text-anchor:middle;mso-width-relative:page;mso-height-relative:page;" fillcolor="#F9FBF8" filled="t" stroked="t" coordsize="21600,21600" o:gfxdata="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H7VAmTXAAAACwEA&#10;AA8AAAAAAAAAAQAgAAAAIgAAAGRycy9kb3ducmV2LnhtbFBLAQIUABQAAAAIAIdO4kB3d5RhVAIA&#10;AJoEAAAOAAAAAAAAAAEAIAAAACYBAABkcnMvZTJvRG9jLnhtbFBLBQYAAAAABgAGAFkBAADsBQAA&#10;AAA=&#10;">
                <v:fill on="t" focussize="0,0"/>
                <v:stroke weight="0.5pt" color="#000000 [3213]" joinstyle="round"/>
                <v:imagedata o:title=""/>
                <o:lock v:ext="edit" aspectratio="f"/>
                <v:textbox>
                  <w:txbxContent>
                    <w:p>
                      <w:pPr>
                        <w:jc w:val="center"/>
                        <w:rPr>
                          <w:sz w:val="24"/>
                        </w:rPr>
                      </w:pPr>
                    </w:p>
                    <w:p>
                      <w:pPr>
                        <w:jc w:val="center"/>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法人代表人身份证复印件粘贴处（背面）</w:t>
                      </w:r>
                    </w:p>
                    <w:p>
                      <w:pPr>
                        <w:jc w:val="center"/>
                      </w:pPr>
                    </w:p>
                  </w:txbxContent>
                </v:textbox>
              </v:rect>
            </w:pict>
          </mc:Fallback>
        </mc:AlternateContent>
      </w:r>
      <w:r>
        <w:rPr>
          <w:rFonts w:ascii="宋体"/>
          <w:color w:val="000000" w:themeColor="text1"/>
          <w:sz w:val="30"/>
          <w14:textFill>
            <w14:solidFill>
              <w14:schemeClr w14:val="tx1"/>
            </w14:solidFill>
          </w14:textFill>
        </w:rPr>
        <w:br w:type="page"/>
      </w:r>
      <w:r>
        <w:rPr>
          <w:rFonts w:hint="eastAsia" w:ascii="宋体" w:hAnsi="宋体"/>
          <w:b w:val="0"/>
          <w:color w:val="000000" w:themeColor="text1"/>
          <w:sz w:val="21"/>
          <w:szCs w:val="21"/>
          <w14:textFill>
            <w14:solidFill>
              <w14:schemeClr w14:val="tx1"/>
            </w14:solidFill>
          </w14:textFill>
        </w:rPr>
        <w:t>附件</w:t>
      </w:r>
      <w:r>
        <w:rPr>
          <w:rFonts w:ascii="宋体" w:hAnsi="宋体"/>
          <w:b w:val="0"/>
          <w:color w:val="000000" w:themeColor="text1"/>
          <w:sz w:val="21"/>
          <w:szCs w:val="21"/>
          <w14:textFill>
            <w14:solidFill>
              <w14:schemeClr w14:val="tx1"/>
            </w14:solidFill>
          </w14:textFill>
        </w:rPr>
        <w:t>7</w:t>
      </w:r>
      <w:r>
        <w:rPr>
          <w:rFonts w:hint="eastAsia" w:ascii="宋体" w:hAnsi="宋体"/>
          <w:b w:val="0"/>
          <w:color w:val="000000" w:themeColor="text1"/>
          <w:sz w:val="21"/>
          <w:szCs w:val="21"/>
          <w14:textFill>
            <w14:solidFill>
              <w14:schemeClr w14:val="tx1"/>
            </w14:solidFill>
          </w14:textFill>
        </w:rPr>
        <w:t>：法定代表人授权书</w:t>
      </w:r>
      <w:bookmarkEnd w:id="39"/>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法定代表人授权书</w:t>
      </w:r>
    </w:p>
    <w:p>
      <w:pPr>
        <w:spacing w:line="480" w:lineRule="auto"/>
        <w:ind w:left="-137" w:right="-350"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（单位名称）</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投标人名称：</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0" w:rightChars="-167"/>
        <w:rPr>
          <w:color w:val="000000" w:themeColor="text1"/>
          <w:sz w:val="28"/>
          <w:szCs w:val="28"/>
          <w14:textFill>
            <w14:solidFill>
              <w14:schemeClr w14:val="tx1"/>
            </w14:solidFill>
          </w14:textFill>
        </w:rPr>
      </w:pPr>
    </w:p>
    <w:p>
      <w:pPr>
        <w:spacing w:line="360" w:lineRule="auto"/>
        <w:ind w:right="-350" w:rightChars="-167"/>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p/>
                          <w:p/>
                          <w:p/>
                          <w:p>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1.25pt;margin-top:11pt;height:171.6pt;width:230.45pt;z-index:251658240;mso-width-relative:page;mso-height-relative:page;" fillcolor="#FFFFFF" filled="t" stroked="t" coordsize="21600,21600" o:gfxdata="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UejdbaAAAACgEA&#10;AA8AAAAAAAAAAQAgAAAAIgAAAGRycy9kb3ducmV2LnhtbFBLAQIUABQAAAAIAIdO4kBaFR7cGAIA&#10;ADkEAAAOAAAAAAAAAAEAIAAAACkBAABkcnMvZTJvRG9jLnhtbFBLBQYAAAAABgAGAFkBAACzBQAA&#10;AAA=&#10;">
                <v:fill on="t" focussize="0,0"/>
                <v:stroke color="#000000" miterlimit="8" joinstyle="miter"/>
                <v:imagedata o:title=""/>
                <o:lock v:ext="edit" aspectratio="f"/>
                <v:textbox>
                  <w:txbxContent>
                    <w:p/>
                    <w:p/>
                    <w:p/>
                    <w:p/>
                    <w:p>
                      <w:pPr>
                        <w:jc w:val="center"/>
                      </w:pPr>
                      <w:r>
                        <w:rPr>
                          <w:rFonts w:hint="eastAsia"/>
                          <w:sz w:val="24"/>
                        </w:rPr>
                        <w:t>被授权人身份证复印件粘贴处（正面）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 xmlns:a="http://schemas.openxmlformats.org/drawingml/2006/main">
                  <a:graphicData uri="http://schemas.microsoft.com/office/word/2010/wordprocessingShape">
                    <wps:wsp>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法人代表人身份证复印件粘贴处（背面）</w:t>
                            </w:r>
                          </w:p>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6.35pt;margin-top:9.9pt;height:171pt;width:236.55pt;z-index:251660288;v-text-anchor:middle;mso-width-relative:page;mso-height-relative:page;" fillcolor="#F9FBF8" filled="t" stroked="t" coordsize="21600,21600" o:gfxdata="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4iNWJtcAAAAKAQAADwAAAAAAAAABACAAAAAiAAAAZHJzL2Rvd25yZXYueG1sUEsBAhQA&#10;FAAAAAgAh07iQDixvOplAgAAuwQAAA4AAAAAAAAAAQAgAAAAJgEAAGRycy9lMm9Eb2MueG1sUEsF&#10;BgAAAAAGAAYAWQEAAP0FAAAAAA==&#10;">
                <v:fill on="t" focussize="0,0"/>
                <v:stroke weight="0.5pt" color="#385D8A [3204]" joinstyle="round"/>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法人代表人身份证复印件粘贴处（背面）</w:t>
                      </w:r>
                    </w:p>
                    <w:p/>
                  </w:txbxContent>
                </v:textbox>
              </v:rect>
            </w:pict>
          </mc:Fallback>
        </mc:AlternateContent>
      </w:r>
    </w:p>
    <w:p>
      <w:pPr>
        <w:spacing w:line="360" w:lineRule="auto"/>
        <w:ind w:right="-350" w:rightChars="-167"/>
        <w:rPr>
          <w:color w:val="000000" w:themeColor="text1"/>
          <w:sz w:val="28"/>
          <w:szCs w:val="28"/>
          <w14:textFill>
            <w14:solidFill>
              <w14:schemeClr w14:val="tx1"/>
            </w14:solidFill>
          </w14:textFill>
        </w:rPr>
      </w:pPr>
    </w:p>
    <w:p>
      <w:pPr>
        <w:spacing w:line="360" w:lineRule="auto"/>
        <w:ind w:right="-350" w:rightChars="-167"/>
        <w:rPr>
          <w:color w:val="000000" w:themeColor="text1"/>
          <w:sz w:val="28"/>
          <w:szCs w:val="28"/>
          <w14:textFill>
            <w14:solidFill>
              <w14:schemeClr w14:val="tx1"/>
            </w14:solidFill>
          </w14:textFill>
        </w:rPr>
      </w:pPr>
    </w:p>
    <w:p>
      <w:pPr>
        <w:pStyle w:val="43"/>
        <w:shd w:val="clear" w:color="auto" w:fill="FFFFFF"/>
        <w:spacing w:before="0" w:beforeAutospacing="0" w:after="0" w:afterAutospacing="0" w:line="216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pStyle w:val="2"/>
        <w:jc w:val="center"/>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3"/>
        <w:rPr>
          <w:rFonts w:ascii="宋体" w:hAnsi="宋体"/>
          <w:b w:val="0"/>
          <w:color w:val="000000" w:themeColor="text1"/>
          <w:sz w:val="21"/>
          <w:szCs w:val="21"/>
          <w14:textFill>
            <w14:solidFill>
              <w14:schemeClr w14:val="tx1"/>
            </w14:solidFill>
          </w14:textFill>
        </w:rPr>
      </w:pPr>
      <w:bookmarkStart w:id="40" w:name="_Toc42777890"/>
      <w:r>
        <w:rPr>
          <w:rFonts w:hint="eastAsia" w:ascii="宋体" w:hAnsi="宋体"/>
          <w:b w:val="0"/>
          <w:color w:val="000000" w:themeColor="text1"/>
          <w:sz w:val="21"/>
          <w:szCs w:val="21"/>
          <w14:textFill>
            <w14:solidFill>
              <w14:schemeClr w14:val="tx1"/>
            </w14:solidFill>
          </w14:textFill>
        </w:rPr>
        <w:t>附件8：南通大学采购谈判二次报价单</w:t>
      </w:r>
      <w:bookmarkEnd w:id="40"/>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sz w:val="28"/>
                <w:szCs w:val="28"/>
              </w:rPr>
            </w:pPr>
            <w:r>
              <w:rPr>
                <w:rFonts w:hint="eastAsia"/>
                <w:sz w:val="28"/>
                <w:szCs w:val="28"/>
              </w:rPr>
              <w:t>项目名称</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sz w:val="28"/>
                <w:szCs w:val="28"/>
              </w:rPr>
            </w:pPr>
            <w:r>
              <w:rPr>
                <w:rFonts w:hint="eastAsia"/>
                <w:sz w:val="28"/>
                <w:szCs w:val="28"/>
              </w:rPr>
              <w:t>报    价</w:t>
            </w:r>
          </w:p>
        </w:tc>
        <w:tc>
          <w:tcPr>
            <w:tcW w:w="2126" w:type="dxa"/>
            <w:shd w:val="clear" w:color="auto" w:fill="auto"/>
            <w:vAlign w:val="center"/>
          </w:tcPr>
          <w:p>
            <w:pPr>
              <w:jc w:val="left"/>
              <w:rPr>
                <w:sz w:val="28"/>
                <w:szCs w:val="28"/>
              </w:rPr>
            </w:pPr>
            <w:r>
              <w:rPr>
                <w:rFonts w:hint="eastAsia"/>
                <w:sz w:val="28"/>
                <w:szCs w:val="28"/>
              </w:rPr>
              <w:t>（小写）</w:t>
            </w:r>
          </w:p>
          <w:p>
            <w:pPr>
              <w:jc w:val="left"/>
              <w:rPr>
                <w:sz w:val="28"/>
                <w:szCs w:val="28"/>
              </w:rPr>
            </w:pPr>
          </w:p>
        </w:tc>
        <w:tc>
          <w:tcPr>
            <w:tcW w:w="4728" w:type="dxa"/>
            <w:shd w:val="clear" w:color="auto" w:fill="auto"/>
            <w:vAlign w:val="center"/>
          </w:tcPr>
          <w:p>
            <w:pPr>
              <w:jc w:val="left"/>
              <w:rPr>
                <w:sz w:val="28"/>
                <w:szCs w:val="28"/>
              </w:rPr>
            </w:pPr>
            <w:r>
              <w:rPr>
                <w:rFonts w:hint="eastAsia"/>
                <w:sz w:val="28"/>
                <w:szCs w:val="28"/>
              </w:rPr>
              <w:t>（大写）</w:t>
            </w:r>
          </w:p>
          <w:p>
            <w:pPr>
              <w:jc w:val="left"/>
              <w:rPr>
                <w:sz w:val="28"/>
                <w:szCs w:val="28"/>
              </w:rPr>
            </w:pPr>
            <w:r>
              <w:rPr>
                <w:rFonts w:hint="eastAsia"/>
                <w:sz w:val="28"/>
                <w:szCs w:val="28"/>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sz w:val="28"/>
                <w:szCs w:val="28"/>
              </w:rPr>
            </w:pPr>
            <w:r>
              <w:rPr>
                <w:rFonts w:hint="eastAsia"/>
                <w:sz w:val="28"/>
                <w:szCs w:val="28"/>
              </w:rPr>
              <w:t>质保&amp;赠送配件、耗材等优惠承诺</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sz w:val="28"/>
                <w:szCs w:val="28"/>
              </w:rPr>
            </w:pPr>
            <w:r>
              <w:rPr>
                <w:rFonts w:hint="eastAsia"/>
                <w:sz w:val="28"/>
                <w:szCs w:val="28"/>
              </w:rPr>
              <w:t>投标单位</w:t>
            </w:r>
          </w:p>
        </w:tc>
        <w:tc>
          <w:tcPr>
            <w:tcW w:w="6854" w:type="dxa"/>
            <w:gridSpan w:val="2"/>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sz w:val="28"/>
                <w:szCs w:val="28"/>
              </w:rPr>
            </w:pPr>
            <w:r>
              <w:rPr>
                <w:rFonts w:hint="eastAsia"/>
                <w:sz w:val="28"/>
                <w:szCs w:val="28"/>
              </w:rPr>
              <w:t>报 价 人</w:t>
            </w:r>
          </w:p>
          <w:p>
            <w:pPr>
              <w:jc w:val="center"/>
              <w:rPr>
                <w:sz w:val="28"/>
                <w:szCs w:val="28"/>
              </w:rPr>
            </w:pPr>
            <w:r>
              <w:rPr>
                <w:rFonts w:hint="eastAsia"/>
                <w:sz w:val="28"/>
                <w:szCs w:val="28"/>
              </w:rPr>
              <w:t>联系方式</w:t>
            </w:r>
          </w:p>
        </w:tc>
        <w:tc>
          <w:tcPr>
            <w:tcW w:w="6854" w:type="dxa"/>
            <w:gridSpan w:val="2"/>
            <w:tcBorders>
              <w:bottom w:val="dashSmallGap" w:color="auto" w:sz="12" w:space="0"/>
            </w:tcBorders>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sz w:val="28"/>
                <w:szCs w:val="28"/>
              </w:rPr>
            </w:pPr>
            <w:r>
              <w:rPr>
                <w:rFonts w:hint="eastAsia"/>
                <w:sz w:val="28"/>
                <w:szCs w:val="28"/>
              </w:rPr>
              <w:t>使用部门</w:t>
            </w:r>
          </w:p>
        </w:tc>
        <w:tc>
          <w:tcPr>
            <w:tcW w:w="6854" w:type="dxa"/>
            <w:gridSpan w:val="2"/>
            <w:tcBorders>
              <w:top w:val="dashSmallGap" w:color="auto" w:sz="12" w:space="0"/>
            </w:tcBorders>
            <w:shd w:val="clear" w:color="auto" w:fill="auto"/>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sz w:val="28"/>
                <w:szCs w:val="28"/>
              </w:rPr>
            </w:pPr>
            <w:r>
              <w:rPr>
                <w:rFonts w:hint="eastAsia"/>
                <w:sz w:val="28"/>
                <w:szCs w:val="28"/>
              </w:rPr>
              <w:t>联 系 人</w:t>
            </w:r>
          </w:p>
          <w:p>
            <w:pPr>
              <w:jc w:val="center"/>
              <w:rPr>
                <w:sz w:val="28"/>
                <w:szCs w:val="28"/>
              </w:rPr>
            </w:pPr>
            <w:r>
              <w:rPr>
                <w:rFonts w:hint="eastAsia"/>
                <w:sz w:val="28"/>
                <w:szCs w:val="28"/>
              </w:rPr>
              <w:t>联系方式</w:t>
            </w:r>
          </w:p>
        </w:tc>
        <w:tc>
          <w:tcPr>
            <w:tcW w:w="6854" w:type="dxa"/>
            <w:gridSpan w:val="2"/>
            <w:shd w:val="clear" w:color="auto" w:fill="auto"/>
            <w:vAlign w:val="center"/>
          </w:tcPr>
          <w:p>
            <w:pPr>
              <w:jc w:val="center"/>
            </w:pPr>
          </w:p>
        </w:tc>
      </w:tr>
    </w:tbl>
    <w:p>
      <w:pPr>
        <w:rPr>
          <w:szCs w:val="21"/>
        </w:rPr>
      </w:pPr>
      <w:r>
        <w:rPr>
          <w:rFonts w:hint="eastAsia"/>
          <w:szCs w:val="21"/>
        </w:rPr>
        <w:t>备注：商务标开标后，请各授权代表二次报价签字盖章后通过pdf发送到ztb@ntu.edu.cn，联系方式0513-85012138。</w:t>
      </w:r>
    </w:p>
    <w:p>
      <w:pPr>
        <w:rPr>
          <w:szCs w:val="21"/>
        </w:rPr>
      </w:pPr>
    </w:p>
    <w:p>
      <w:pPr>
        <w:ind w:firstLine="6020" w:firstLineChars="2150"/>
        <w:rPr>
          <w:sz w:val="28"/>
          <w:szCs w:val="28"/>
        </w:rPr>
      </w:pPr>
      <w:r>
        <w:rPr>
          <w:rFonts w:hint="eastAsia"/>
          <w:sz w:val="28"/>
          <w:szCs w:val="28"/>
        </w:rPr>
        <w:t>年    月    日</w:t>
      </w:r>
    </w:p>
    <w:sectPr>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华文中宋">
    <w:altName w:val="宋体"/>
    <w:panose1 w:val="02010600040101010101"/>
    <w:charset w:val="86"/>
    <w:family w:val="auto"/>
    <w:pitch w:val="default"/>
    <w:sig w:usb0="00000000" w:usb1="00000000" w:usb2="00000010" w:usb3="00000000" w:csb0="0004009F" w:csb1="00000000"/>
  </w:font>
  <w:font w:name="Mincho">
    <w:altName w:val="MS Mincho"/>
    <w:panose1 w:val="02020609040305080305"/>
    <w:charset w:val="80"/>
    <w:family w:val="roma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rPr>
        <w:rStyle w:val="24"/>
      </w:rPr>
      <w:fldChar w:fldCharType="begin"/>
    </w:r>
    <w:r>
      <w:rPr>
        <w:rStyle w:val="24"/>
      </w:rPr>
      <w:instrText xml:space="preserve">PAGE  </w:instrText>
    </w:r>
    <w:r>
      <w:rPr>
        <w:rStyle w:val="24"/>
      </w:rPr>
      <w:fldChar w:fldCharType="separate"/>
    </w:r>
    <w:r>
      <w:rPr>
        <w:rStyle w:val="24"/>
      </w:rPr>
      <w:t>3</w:t>
    </w:r>
    <w:r>
      <w:rPr>
        <w:rStyle w:val="24"/>
      </w:rP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rPr>
        <w:rStyle w:val="24"/>
      </w:rPr>
      <w:fldChar w:fldCharType="begin"/>
    </w:r>
    <w:r>
      <w:rPr>
        <w:rStyle w:val="24"/>
      </w:rPr>
      <w:instrText xml:space="preserve">PAGE  </w:instrText>
    </w:r>
    <w:r>
      <w:rPr>
        <w:rStyle w:val="24"/>
      </w:rP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41173"/>
    <w:multiLevelType w:val="multilevel"/>
    <w:tmpl w:val="79341173"/>
    <w:lvl w:ilvl="0" w:tentative="0">
      <w:start w:val="3"/>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0099"/>
    <w:rsid w:val="00031B24"/>
    <w:rsid w:val="00032D17"/>
    <w:rsid w:val="00034A43"/>
    <w:rsid w:val="000351C0"/>
    <w:rsid w:val="00040D31"/>
    <w:rsid w:val="000417FF"/>
    <w:rsid w:val="00041FEE"/>
    <w:rsid w:val="000429A4"/>
    <w:rsid w:val="00042A55"/>
    <w:rsid w:val="000434FE"/>
    <w:rsid w:val="00043D8D"/>
    <w:rsid w:val="000443C4"/>
    <w:rsid w:val="00044B37"/>
    <w:rsid w:val="00045790"/>
    <w:rsid w:val="00046E5B"/>
    <w:rsid w:val="000477CA"/>
    <w:rsid w:val="00051515"/>
    <w:rsid w:val="00051925"/>
    <w:rsid w:val="00053728"/>
    <w:rsid w:val="00054989"/>
    <w:rsid w:val="000568DD"/>
    <w:rsid w:val="00057B03"/>
    <w:rsid w:val="00060724"/>
    <w:rsid w:val="00060ADA"/>
    <w:rsid w:val="00063B20"/>
    <w:rsid w:val="00064112"/>
    <w:rsid w:val="0006616B"/>
    <w:rsid w:val="00066248"/>
    <w:rsid w:val="00066555"/>
    <w:rsid w:val="0006702C"/>
    <w:rsid w:val="00071B1D"/>
    <w:rsid w:val="0007344D"/>
    <w:rsid w:val="00074438"/>
    <w:rsid w:val="00076040"/>
    <w:rsid w:val="0007612C"/>
    <w:rsid w:val="000767E7"/>
    <w:rsid w:val="00080F08"/>
    <w:rsid w:val="00083DFC"/>
    <w:rsid w:val="00084163"/>
    <w:rsid w:val="000848A3"/>
    <w:rsid w:val="00086B43"/>
    <w:rsid w:val="00087074"/>
    <w:rsid w:val="00087254"/>
    <w:rsid w:val="00091ECB"/>
    <w:rsid w:val="0009236E"/>
    <w:rsid w:val="000925D5"/>
    <w:rsid w:val="00092BB9"/>
    <w:rsid w:val="00093765"/>
    <w:rsid w:val="00093C27"/>
    <w:rsid w:val="00093C37"/>
    <w:rsid w:val="000961F3"/>
    <w:rsid w:val="000A3FA7"/>
    <w:rsid w:val="000A4287"/>
    <w:rsid w:val="000A4D56"/>
    <w:rsid w:val="000A5CC0"/>
    <w:rsid w:val="000A7148"/>
    <w:rsid w:val="000A77D0"/>
    <w:rsid w:val="000B0A28"/>
    <w:rsid w:val="000B2555"/>
    <w:rsid w:val="000B5752"/>
    <w:rsid w:val="000B696E"/>
    <w:rsid w:val="000B7409"/>
    <w:rsid w:val="000B79AB"/>
    <w:rsid w:val="000B7EDF"/>
    <w:rsid w:val="000C0A43"/>
    <w:rsid w:val="000C31B5"/>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1C4C"/>
    <w:rsid w:val="0010301A"/>
    <w:rsid w:val="0010325F"/>
    <w:rsid w:val="00103D20"/>
    <w:rsid w:val="00104693"/>
    <w:rsid w:val="001049F0"/>
    <w:rsid w:val="00106C11"/>
    <w:rsid w:val="00114146"/>
    <w:rsid w:val="00114DB4"/>
    <w:rsid w:val="00116BA0"/>
    <w:rsid w:val="00116DDF"/>
    <w:rsid w:val="00117B99"/>
    <w:rsid w:val="001210ED"/>
    <w:rsid w:val="0012182C"/>
    <w:rsid w:val="00121B51"/>
    <w:rsid w:val="00123177"/>
    <w:rsid w:val="001260E1"/>
    <w:rsid w:val="00126F73"/>
    <w:rsid w:val="00127B70"/>
    <w:rsid w:val="0013026B"/>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6A1C"/>
    <w:rsid w:val="001610DE"/>
    <w:rsid w:val="001612D9"/>
    <w:rsid w:val="00161B09"/>
    <w:rsid w:val="00161C3C"/>
    <w:rsid w:val="00163CFE"/>
    <w:rsid w:val="00163DDD"/>
    <w:rsid w:val="00163F24"/>
    <w:rsid w:val="00165019"/>
    <w:rsid w:val="0016503B"/>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A7BC5"/>
    <w:rsid w:val="001B0CD7"/>
    <w:rsid w:val="001B1DD7"/>
    <w:rsid w:val="001B43BC"/>
    <w:rsid w:val="001B46F0"/>
    <w:rsid w:val="001B4AA5"/>
    <w:rsid w:val="001B65F9"/>
    <w:rsid w:val="001B6BCF"/>
    <w:rsid w:val="001B73D4"/>
    <w:rsid w:val="001B7CCB"/>
    <w:rsid w:val="001C00FD"/>
    <w:rsid w:val="001C23F7"/>
    <w:rsid w:val="001C4468"/>
    <w:rsid w:val="001C4A2D"/>
    <w:rsid w:val="001C5A8E"/>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4E5"/>
    <w:rsid w:val="001E25C2"/>
    <w:rsid w:val="001E31AE"/>
    <w:rsid w:val="001E3FDA"/>
    <w:rsid w:val="001E4EE1"/>
    <w:rsid w:val="001E6644"/>
    <w:rsid w:val="001E6BEA"/>
    <w:rsid w:val="001E6C13"/>
    <w:rsid w:val="001E7B3B"/>
    <w:rsid w:val="001F09D7"/>
    <w:rsid w:val="001F2289"/>
    <w:rsid w:val="001F2B74"/>
    <w:rsid w:val="001F2EA3"/>
    <w:rsid w:val="001F2F91"/>
    <w:rsid w:val="001F3D72"/>
    <w:rsid w:val="001F40CB"/>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6C"/>
    <w:rsid w:val="00224266"/>
    <w:rsid w:val="00225BBA"/>
    <w:rsid w:val="00225BED"/>
    <w:rsid w:val="00226002"/>
    <w:rsid w:val="00226832"/>
    <w:rsid w:val="00230F04"/>
    <w:rsid w:val="00231C80"/>
    <w:rsid w:val="002330D6"/>
    <w:rsid w:val="00234498"/>
    <w:rsid w:val="00234F9D"/>
    <w:rsid w:val="0023593C"/>
    <w:rsid w:val="002360F7"/>
    <w:rsid w:val="002362D7"/>
    <w:rsid w:val="00236657"/>
    <w:rsid w:val="002366D5"/>
    <w:rsid w:val="002370F2"/>
    <w:rsid w:val="00240E47"/>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699"/>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82F2B"/>
    <w:rsid w:val="0038346A"/>
    <w:rsid w:val="003841FE"/>
    <w:rsid w:val="00387F3E"/>
    <w:rsid w:val="00390D10"/>
    <w:rsid w:val="003915D5"/>
    <w:rsid w:val="00391C4C"/>
    <w:rsid w:val="00393A47"/>
    <w:rsid w:val="00393CBA"/>
    <w:rsid w:val="0039549D"/>
    <w:rsid w:val="00395B37"/>
    <w:rsid w:val="0039620C"/>
    <w:rsid w:val="00396A12"/>
    <w:rsid w:val="003977BF"/>
    <w:rsid w:val="003A037F"/>
    <w:rsid w:val="003A1A52"/>
    <w:rsid w:val="003A2EFE"/>
    <w:rsid w:val="003A7086"/>
    <w:rsid w:val="003A7A7E"/>
    <w:rsid w:val="003B376F"/>
    <w:rsid w:val="003C0236"/>
    <w:rsid w:val="003C255A"/>
    <w:rsid w:val="003C394B"/>
    <w:rsid w:val="003C7802"/>
    <w:rsid w:val="003C785A"/>
    <w:rsid w:val="003D0F40"/>
    <w:rsid w:val="003D1C34"/>
    <w:rsid w:val="003D2636"/>
    <w:rsid w:val="003D27A2"/>
    <w:rsid w:val="003D28A9"/>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131F"/>
    <w:rsid w:val="00413AA0"/>
    <w:rsid w:val="00413CC7"/>
    <w:rsid w:val="00414080"/>
    <w:rsid w:val="00415F44"/>
    <w:rsid w:val="004173A8"/>
    <w:rsid w:val="004175D0"/>
    <w:rsid w:val="00417F11"/>
    <w:rsid w:val="00420018"/>
    <w:rsid w:val="00421E54"/>
    <w:rsid w:val="00422AEE"/>
    <w:rsid w:val="004231DC"/>
    <w:rsid w:val="00424445"/>
    <w:rsid w:val="0042767A"/>
    <w:rsid w:val="00427A55"/>
    <w:rsid w:val="00430318"/>
    <w:rsid w:val="0043250B"/>
    <w:rsid w:val="00436C5A"/>
    <w:rsid w:val="0043762E"/>
    <w:rsid w:val="00440341"/>
    <w:rsid w:val="00440529"/>
    <w:rsid w:val="00442A94"/>
    <w:rsid w:val="00443318"/>
    <w:rsid w:val="0044460C"/>
    <w:rsid w:val="00446278"/>
    <w:rsid w:val="0044639A"/>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9B8"/>
    <w:rsid w:val="00490E9C"/>
    <w:rsid w:val="00491793"/>
    <w:rsid w:val="00493183"/>
    <w:rsid w:val="00493D4F"/>
    <w:rsid w:val="0049489F"/>
    <w:rsid w:val="00494DD3"/>
    <w:rsid w:val="004966DD"/>
    <w:rsid w:val="00497388"/>
    <w:rsid w:val="004A1D28"/>
    <w:rsid w:val="004A28F6"/>
    <w:rsid w:val="004A72D9"/>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805"/>
    <w:rsid w:val="005019BB"/>
    <w:rsid w:val="0050236A"/>
    <w:rsid w:val="005030BD"/>
    <w:rsid w:val="005048CF"/>
    <w:rsid w:val="00510683"/>
    <w:rsid w:val="00511F00"/>
    <w:rsid w:val="005142D9"/>
    <w:rsid w:val="00515AFE"/>
    <w:rsid w:val="00521600"/>
    <w:rsid w:val="00521ACC"/>
    <w:rsid w:val="005223D8"/>
    <w:rsid w:val="00524637"/>
    <w:rsid w:val="0052572A"/>
    <w:rsid w:val="005270F1"/>
    <w:rsid w:val="00527AA4"/>
    <w:rsid w:val="00527C7C"/>
    <w:rsid w:val="005309CF"/>
    <w:rsid w:val="00532285"/>
    <w:rsid w:val="00532593"/>
    <w:rsid w:val="00532C73"/>
    <w:rsid w:val="005359C9"/>
    <w:rsid w:val="00540564"/>
    <w:rsid w:val="00540766"/>
    <w:rsid w:val="00542383"/>
    <w:rsid w:val="005431C3"/>
    <w:rsid w:val="00547700"/>
    <w:rsid w:val="00547C24"/>
    <w:rsid w:val="00554066"/>
    <w:rsid w:val="00554D32"/>
    <w:rsid w:val="00556DA8"/>
    <w:rsid w:val="00557472"/>
    <w:rsid w:val="005643FF"/>
    <w:rsid w:val="0056594E"/>
    <w:rsid w:val="00566901"/>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43"/>
    <w:rsid w:val="00584A53"/>
    <w:rsid w:val="00585610"/>
    <w:rsid w:val="00586D77"/>
    <w:rsid w:val="00590268"/>
    <w:rsid w:val="0059128F"/>
    <w:rsid w:val="00593267"/>
    <w:rsid w:val="005952AF"/>
    <w:rsid w:val="00595646"/>
    <w:rsid w:val="00595822"/>
    <w:rsid w:val="00595A9F"/>
    <w:rsid w:val="00596258"/>
    <w:rsid w:val="00596502"/>
    <w:rsid w:val="005A2574"/>
    <w:rsid w:val="005A2A1F"/>
    <w:rsid w:val="005A48EC"/>
    <w:rsid w:val="005A5DAF"/>
    <w:rsid w:val="005A7E1C"/>
    <w:rsid w:val="005B10A4"/>
    <w:rsid w:val="005B267E"/>
    <w:rsid w:val="005B35A6"/>
    <w:rsid w:val="005B3FB8"/>
    <w:rsid w:val="005C1AB5"/>
    <w:rsid w:val="005C5228"/>
    <w:rsid w:val="005C5487"/>
    <w:rsid w:val="005C7DA2"/>
    <w:rsid w:val="005D0A12"/>
    <w:rsid w:val="005D0A6A"/>
    <w:rsid w:val="005D37F9"/>
    <w:rsid w:val="005D57A1"/>
    <w:rsid w:val="005D5E30"/>
    <w:rsid w:val="005D667C"/>
    <w:rsid w:val="005D67EF"/>
    <w:rsid w:val="005E01BF"/>
    <w:rsid w:val="005E0B67"/>
    <w:rsid w:val="005E213E"/>
    <w:rsid w:val="005E45BE"/>
    <w:rsid w:val="005E487A"/>
    <w:rsid w:val="005E4891"/>
    <w:rsid w:val="005E7B05"/>
    <w:rsid w:val="005F0F58"/>
    <w:rsid w:val="005F172C"/>
    <w:rsid w:val="005F20CB"/>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25D33"/>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77EA4"/>
    <w:rsid w:val="00680D07"/>
    <w:rsid w:val="00681003"/>
    <w:rsid w:val="006827BD"/>
    <w:rsid w:val="00684063"/>
    <w:rsid w:val="00684A5F"/>
    <w:rsid w:val="00685266"/>
    <w:rsid w:val="0069376A"/>
    <w:rsid w:val="0069396D"/>
    <w:rsid w:val="00694276"/>
    <w:rsid w:val="00694F40"/>
    <w:rsid w:val="00695596"/>
    <w:rsid w:val="006956A3"/>
    <w:rsid w:val="006961D2"/>
    <w:rsid w:val="00697188"/>
    <w:rsid w:val="006A026D"/>
    <w:rsid w:val="006A06A4"/>
    <w:rsid w:val="006A3D02"/>
    <w:rsid w:val="006A5F06"/>
    <w:rsid w:val="006A6A53"/>
    <w:rsid w:val="006A6CC3"/>
    <w:rsid w:val="006A7316"/>
    <w:rsid w:val="006A7DE6"/>
    <w:rsid w:val="006B0532"/>
    <w:rsid w:val="006B172C"/>
    <w:rsid w:val="006B1CE9"/>
    <w:rsid w:val="006B3094"/>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D61D7"/>
    <w:rsid w:val="006E0CBD"/>
    <w:rsid w:val="006E1107"/>
    <w:rsid w:val="006E17DC"/>
    <w:rsid w:val="006E2D0E"/>
    <w:rsid w:val="006E5F9F"/>
    <w:rsid w:val="006E6395"/>
    <w:rsid w:val="006E78A2"/>
    <w:rsid w:val="006E7FF4"/>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19C7"/>
    <w:rsid w:val="007622E3"/>
    <w:rsid w:val="0076316B"/>
    <w:rsid w:val="00764C4D"/>
    <w:rsid w:val="00765379"/>
    <w:rsid w:val="00765F40"/>
    <w:rsid w:val="00766C2D"/>
    <w:rsid w:val="00773E47"/>
    <w:rsid w:val="00773F45"/>
    <w:rsid w:val="007741D0"/>
    <w:rsid w:val="00775DEB"/>
    <w:rsid w:val="00776699"/>
    <w:rsid w:val="0078021A"/>
    <w:rsid w:val="007810CE"/>
    <w:rsid w:val="007834A5"/>
    <w:rsid w:val="00784936"/>
    <w:rsid w:val="00784D35"/>
    <w:rsid w:val="00785061"/>
    <w:rsid w:val="00785599"/>
    <w:rsid w:val="00786964"/>
    <w:rsid w:val="00786B98"/>
    <w:rsid w:val="00791F84"/>
    <w:rsid w:val="007927D4"/>
    <w:rsid w:val="00792F66"/>
    <w:rsid w:val="00793B18"/>
    <w:rsid w:val="007950C2"/>
    <w:rsid w:val="007951A6"/>
    <w:rsid w:val="007956AF"/>
    <w:rsid w:val="00795FE2"/>
    <w:rsid w:val="007963EF"/>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C7DB8"/>
    <w:rsid w:val="007D2036"/>
    <w:rsid w:val="007D255C"/>
    <w:rsid w:val="007D4700"/>
    <w:rsid w:val="007D4FD1"/>
    <w:rsid w:val="007D59AB"/>
    <w:rsid w:val="007D5E38"/>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47DC"/>
    <w:rsid w:val="00806924"/>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277"/>
    <w:rsid w:val="00841CE5"/>
    <w:rsid w:val="00843071"/>
    <w:rsid w:val="0084349B"/>
    <w:rsid w:val="00844BA1"/>
    <w:rsid w:val="00845B57"/>
    <w:rsid w:val="00845DD5"/>
    <w:rsid w:val="008464D2"/>
    <w:rsid w:val="00846B43"/>
    <w:rsid w:val="00846CCC"/>
    <w:rsid w:val="00847519"/>
    <w:rsid w:val="008516A2"/>
    <w:rsid w:val="00852F7C"/>
    <w:rsid w:val="00853677"/>
    <w:rsid w:val="00853EDA"/>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4F35"/>
    <w:rsid w:val="008B5C62"/>
    <w:rsid w:val="008C1348"/>
    <w:rsid w:val="008C1BE3"/>
    <w:rsid w:val="008C2596"/>
    <w:rsid w:val="008C28B8"/>
    <w:rsid w:val="008C311B"/>
    <w:rsid w:val="008C36AC"/>
    <w:rsid w:val="008C4EB6"/>
    <w:rsid w:val="008C580E"/>
    <w:rsid w:val="008C7608"/>
    <w:rsid w:val="008C7FD8"/>
    <w:rsid w:val="008D3054"/>
    <w:rsid w:val="008D30B7"/>
    <w:rsid w:val="008D4924"/>
    <w:rsid w:val="008D495C"/>
    <w:rsid w:val="008D4F73"/>
    <w:rsid w:val="008D5764"/>
    <w:rsid w:val="008D66C5"/>
    <w:rsid w:val="008D68FC"/>
    <w:rsid w:val="008D756A"/>
    <w:rsid w:val="008E4405"/>
    <w:rsid w:val="008E6242"/>
    <w:rsid w:val="008E67A3"/>
    <w:rsid w:val="008E75BA"/>
    <w:rsid w:val="008F1F1D"/>
    <w:rsid w:val="008F2D95"/>
    <w:rsid w:val="008F35F0"/>
    <w:rsid w:val="008F457E"/>
    <w:rsid w:val="008F47BA"/>
    <w:rsid w:val="008F4A55"/>
    <w:rsid w:val="008F7BC2"/>
    <w:rsid w:val="0090042B"/>
    <w:rsid w:val="00900EDE"/>
    <w:rsid w:val="00901E32"/>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1D4D"/>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2509"/>
    <w:rsid w:val="00964260"/>
    <w:rsid w:val="009646A4"/>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00F"/>
    <w:rsid w:val="009A3476"/>
    <w:rsid w:val="009A380D"/>
    <w:rsid w:val="009A3C0E"/>
    <w:rsid w:val="009A3ED2"/>
    <w:rsid w:val="009A4C5B"/>
    <w:rsid w:val="009A6093"/>
    <w:rsid w:val="009A72CF"/>
    <w:rsid w:val="009A7648"/>
    <w:rsid w:val="009A79AD"/>
    <w:rsid w:val="009A7E0B"/>
    <w:rsid w:val="009B008A"/>
    <w:rsid w:val="009B0E0C"/>
    <w:rsid w:val="009B1B65"/>
    <w:rsid w:val="009B2B8C"/>
    <w:rsid w:val="009B366D"/>
    <w:rsid w:val="009B580A"/>
    <w:rsid w:val="009B594D"/>
    <w:rsid w:val="009B5F55"/>
    <w:rsid w:val="009B74C0"/>
    <w:rsid w:val="009C0601"/>
    <w:rsid w:val="009C0A6E"/>
    <w:rsid w:val="009C1CB1"/>
    <w:rsid w:val="009C27FC"/>
    <w:rsid w:val="009C29C8"/>
    <w:rsid w:val="009C45B3"/>
    <w:rsid w:val="009C55E0"/>
    <w:rsid w:val="009D006D"/>
    <w:rsid w:val="009D1394"/>
    <w:rsid w:val="009D2900"/>
    <w:rsid w:val="009D2E5E"/>
    <w:rsid w:val="009D3763"/>
    <w:rsid w:val="009D4353"/>
    <w:rsid w:val="009D4481"/>
    <w:rsid w:val="009D4584"/>
    <w:rsid w:val="009D4F34"/>
    <w:rsid w:val="009D5E0A"/>
    <w:rsid w:val="009D7B7A"/>
    <w:rsid w:val="009E055D"/>
    <w:rsid w:val="009E0EFB"/>
    <w:rsid w:val="009E13FE"/>
    <w:rsid w:val="009E17B6"/>
    <w:rsid w:val="009E1FEF"/>
    <w:rsid w:val="009E2062"/>
    <w:rsid w:val="009E2E53"/>
    <w:rsid w:val="009E3013"/>
    <w:rsid w:val="009E42E9"/>
    <w:rsid w:val="009E5342"/>
    <w:rsid w:val="009F0225"/>
    <w:rsid w:val="009F047D"/>
    <w:rsid w:val="009F0663"/>
    <w:rsid w:val="009F0A45"/>
    <w:rsid w:val="009F0EEB"/>
    <w:rsid w:val="009F1B70"/>
    <w:rsid w:val="009F4DEB"/>
    <w:rsid w:val="009F66E0"/>
    <w:rsid w:val="009F6932"/>
    <w:rsid w:val="00A0067A"/>
    <w:rsid w:val="00A026CA"/>
    <w:rsid w:val="00A028BE"/>
    <w:rsid w:val="00A036ED"/>
    <w:rsid w:val="00A04176"/>
    <w:rsid w:val="00A063DC"/>
    <w:rsid w:val="00A12119"/>
    <w:rsid w:val="00A12ABD"/>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437C"/>
    <w:rsid w:val="00A806B5"/>
    <w:rsid w:val="00A81D73"/>
    <w:rsid w:val="00A83310"/>
    <w:rsid w:val="00A84CCF"/>
    <w:rsid w:val="00A8627D"/>
    <w:rsid w:val="00A86548"/>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3B0F"/>
    <w:rsid w:val="00AA4687"/>
    <w:rsid w:val="00AA471B"/>
    <w:rsid w:val="00AA5DA8"/>
    <w:rsid w:val="00AA5F1A"/>
    <w:rsid w:val="00AA70E0"/>
    <w:rsid w:val="00AB3B17"/>
    <w:rsid w:val="00AB48AE"/>
    <w:rsid w:val="00AB575C"/>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2782E"/>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5EDE"/>
    <w:rsid w:val="00B57180"/>
    <w:rsid w:val="00B604CB"/>
    <w:rsid w:val="00B61680"/>
    <w:rsid w:val="00B61AB6"/>
    <w:rsid w:val="00B61C74"/>
    <w:rsid w:val="00B61E89"/>
    <w:rsid w:val="00B62147"/>
    <w:rsid w:val="00B63AF3"/>
    <w:rsid w:val="00B64128"/>
    <w:rsid w:val="00B64130"/>
    <w:rsid w:val="00B64163"/>
    <w:rsid w:val="00B65F90"/>
    <w:rsid w:val="00B6634E"/>
    <w:rsid w:val="00B70DE3"/>
    <w:rsid w:val="00B715E3"/>
    <w:rsid w:val="00B72168"/>
    <w:rsid w:val="00B723D4"/>
    <w:rsid w:val="00B72AAC"/>
    <w:rsid w:val="00B735C5"/>
    <w:rsid w:val="00B75EDF"/>
    <w:rsid w:val="00B77E69"/>
    <w:rsid w:val="00B800C7"/>
    <w:rsid w:val="00B81EB9"/>
    <w:rsid w:val="00B82AD9"/>
    <w:rsid w:val="00B83227"/>
    <w:rsid w:val="00B85A4E"/>
    <w:rsid w:val="00B8755D"/>
    <w:rsid w:val="00B906CF"/>
    <w:rsid w:val="00B90A4C"/>
    <w:rsid w:val="00B92ACF"/>
    <w:rsid w:val="00B92DD2"/>
    <w:rsid w:val="00B92F00"/>
    <w:rsid w:val="00B933E6"/>
    <w:rsid w:val="00BA1A83"/>
    <w:rsid w:val="00BA37D5"/>
    <w:rsid w:val="00BA43D7"/>
    <w:rsid w:val="00BA70DF"/>
    <w:rsid w:val="00BB0324"/>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2732"/>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2E"/>
    <w:rsid w:val="00C965B6"/>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0F90"/>
    <w:rsid w:val="00CF1E57"/>
    <w:rsid w:val="00CF3051"/>
    <w:rsid w:val="00CF3F1C"/>
    <w:rsid w:val="00CF44DC"/>
    <w:rsid w:val="00CF4C32"/>
    <w:rsid w:val="00CF5F4A"/>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14B"/>
    <w:rsid w:val="00D8189F"/>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2BE"/>
    <w:rsid w:val="00E04154"/>
    <w:rsid w:val="00E07721"/>
    <w:rsid w:val="00E07E39"/>
    <w:rsid w:val="00E1084A"/>
    <w:rsid w:val="00E1126B"/>
    <w:rsid w:val="00E117C3"/>
    <w:rsid w:val="00E11B06"/>
    <w:rsid w:val="00E123B4"/>
    <w:rsid w:val="00E127AC"/>
    <w:rsid w:val="00E133C5"/>
    <w:rsid w:val="00E13CFD"/>
    <w:rsid w:val="00E150D9"/>
    <w:rsid w:val="00E15B9A"/>
    <w:rsid w:val="00E17905"/>
    <w:rsid w:val="00E17D7D"/>
    <w:rsid w:val="00E17EFC"/>
    <w:rsid w:val="00E21B34"/>
    <w:rsid w:val="00E2520E"/>
    <w:rsid w:val="00E255A7"/>
    <w:rsid w:val="00E2651C"/>
    <w:rsid w:val="00E301D6"/>
    <w:rsid w:val="00E30891"/>
    <w:rsid w:val="00E31989"/>
    <w:rsid w:val="00E3415B"/>
    <w:rsid w:val="00E35AB7"/>
    <w:rsid w:val="00E35F3C"/>
    <w:rsid w:val="00E4033C"/>
    <w:rsid w:val="00E42D2E"/>
    <w:rsid w:val="00E430AF"/>
    <w:rsid w:val="00E4324B"/>
    <w:rsid w:val="00E434B8"/>
    <w:rsid w:val="00E43975"/>
    <w:rsid w:val="00E43B42"/>
    <w:rsid w:val="00E44873"/>
    <w:rsid w:val="00E46797"/>
    <w:rsid w:val="00E50751"/>
    <w:rsid w:val="00E525F0"/>
    <w:rsid w:val="00E53DDE"/>
    <w:rsid w:val="00E573CE"/>
    <w:rsid w:val="00E60055"/>
    <w:rsid w:val="00E61322"/>
    <w:rsid w:val="00E61EA3"/>
    <w:rsid w:val="00E626F4"/>
    <w:rsid w:val="00E62A81"/>
    <w:rsid w:val="00E6315F"/>
    <w:rsid w:val="00E6319C"/>
    <w:rsid w:val="00E63FDB"/>
    <w:rsid w:val="00E64A73"/>
    <w:rsid w:val="00E6692B"/>
    <w:rsid w:val="00E669C3"/>
    <w:rsid w:val="00E70065"/>
    <w:rsid w:val="00E70A23"/>
    <w:rsid w:val="00E7126A"/>
    <w:rsid w:val="00E717F7"/>
    <w:rsid w:val="00E7206A"/>
    <w:rsid w:val="00E72330"/>
    <w:rsid w:val="00E72B8E"/>
    <w:rsid w:val="00E73526"/>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A63E8"/>
    <w:rsid w:val="00EA7692"/>
    <w:rsid w:val="00EB0CF1"/>
    <w:rsid w:val="00EB1B4F"/>
    <w:rsid w:val="00EB3B11"/>
    <w:rsid w:val="00EB4C22"/>
    <w:rsid w:val="00EB6CC8"/>
    <w:rsid w:val="00EC07EA"/>
    <w:rsid w:val="00EC1080"/>
    <w:rsid w:val="00EC1C75"/>
    <w:rsid w:val="00EC1D01"/>
    <w:rsid w:val="00EC2263"/>
    <w:rsid w:val="00EC36D4"/>
    <w:rsid w:val="00ED1269"/>
    <w:rsid w:val="00ED1335"/>
    <w:rsid w:val="00ED48A8"/>
    <w:rsid w:val="00ED4F16"/>
    <w:rsid w:val="00ED7851"/>
    <w:rsid w:val="00ED79BF"/>
    <w:rsid w:val="00ED7DDB"/>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51C3"/>
    <w:rsid w:val="00F1690C"/>
    <w:rsid w:val="00F1721A"/>
    <w:rsid w:val="00F20B20"/>
    <w:rsid w:val="00F20D19"/>
    <w:rsid w:val="00F21F62"/>
    <w:rsid w:val="00F22132"/>
    <w:rsid w:val="00F22691"/>
    <w:rsid w:val="00F22D48"/>
    <w:rsid w:val="00F23257"/>
    <w:rsid w:val="00F26E40"/>
    <w:rsid w:val="00F31135"/>
    <w:rsid w:val="00F316F1"/>
    <w:rsid w:val="00F31FC2"/>
    <w:rsid w:val="00F36CFE"/>
    <w:rsid w:val="00F43C02"/>
    <w:rsid w:val="00F442EA"/>
    <w:rsid w:val="00F45375"/>
    <w:rsid w:val="00F55681"/>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A7B62"/>
    <w:rsid w:val="00FB0017"/>
    <w:rsid w:val="00FB0213"/>
    <w:rsid w:val="00FB6146"/>
    <w:rsid w:val="00FB6435"/>
    <w:rsid w:val="00FB7380"/>
    <w:rsid w:val="00FC211A"/>
    <w:rsid w:val="00FC39A7"/>
    <w:rsid w:val="00FC4D32"/>
    <w:rsid w:val="00FC62EC"/>
    <w:rsid w:val="00FC67DB"/>
    <w:rsid w:val="00FD19BC"/>
    <w:rsid w:val="00FD1C5D"/>
    <w:rsid w:val="00FD342F"/>
    <w:rsid w:val="00FD38FC"/>
    <w:rsid w:val="00FE010B"/>
    <w:rsid w:val="00FE205A"/>
    <w:rsid w:val="00FE219D"/>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5ED47E0"/>
    <w:rsid w:val="07217CA2"/>
    <w:rsid w:val="07467332"/>
    <w:rsid w:val="078272A1"/>
    <w:rsid w:val="07AC4D89"/>
    <w:rsid w:val="0853095B"/>
    <w:rsid w:val="085E55CF"/>
    <w:rsid w:val="08961159"/>
    <w:rsid w:val="0A3C2F3F"/>
    <w:rsid w:val="0ABE7C21"/>
    <w:rsid w:val="0C8F48BF"/>
    <w:rsid w:val="0DF15074"/>
    <w:rsid w:val="0E0A223C"/>
    <w:rsid w:val="0E143F03"/>
    <w:rsid w:val="0E3C40D3"/>
    <w:rsid w:val="0E522F75"/>
    <w:rsid w:val="0E976037"/>
    <w:rsid w:val="0F275170"/>
    <w:rsid w:val="0F374311"/>
    <w:rsid w:val="0F3A2312"/>
    <w:rsid w:val="0F3A3C0A"/>
    <w:rsid w:val="0F8B217C"/>
    <w:rsid w:val="110E092B"/>
    <w:rsid w:val="11E65ADE"/>
    <w:rsid w:val="12D56BA8"/>
    <w:rsid w:val="153B6F5E"/>
    <w:rsid w:val="16BB3A6A"/>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290182B"/>
    <w:rsid w:val="246040B9"/>
    <w:rsid w:val="24E261A4"/>
    <w:rsid w:val="25314F80"/>
    <w:rsid w:val="2728184D"/>
    <w:rsid w:val="27574366"/>
    <w:rsid w:val="275931F0"/>
    <w:rsid w:val="27991DA3"/>
    <w:rsid w:val="287E1B47"/>
    <w:rsid w:val="29E90F70"/>
    <w:rsid w:val="2B434D9C"/>
    <w:rsid w:val="2B5842E5"/>
    <w:rsid w:val="2C2F2576"/>
    <w:rsid w:val="2C6D3AA5"/>
    <w:rsid w:val="2D856B32"/>
    <w:rsid w:val="2E024223"/>
    <w:rsid w:val="2EC15048"/>
    <w:rsid w:val="2EF8090B"/>
    <w:rsid w:val="2F152FE5"/>
    <w:rsid w:val="2F2F448E"/>
    <w:rsid w:val="3031525E"/>
    <w:rsid w:val="31014158"/>
    <w:rsid w:val="31782A7F"/>
    <w:rsid w:val="32AA4A33"/>
    <w:rsid w:val="33EE51E1"/>
    <w:rsid w:val="3567779C"/>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B8A0355"/>
    <w:rsid w:val="4C304E6D"/>
    <w:rsid w:val="4CEC6C84"/>
    <w:rsid w:val="4D48456F"/>
    <w:rsid w:val="4EB24639"/>
    <w:rsid w:val="4EB82B4F"/>
    <w:rsid w:val="4FFD7C53"/>
    <w:rsid w:val="502037D6"/>
    <w:rsid w:val="517D0B2C"/>
    <w:rsid w:val="528336F1"/>
    <w:rsid w:val="529A1E1D"/>
    <w:rsid w:val="534E0E09"/>
    <w:rsid w:val="53752E45"/>
    <w:rsid w:val="539F2F48"/>
    <w:rsid w:val="53F44615"/>
    <w:rsid w:val="559E2156"/>
    <w:rsid w:val="571C7042"/>
    <w:rsid w:val="57760B3B"/>
    <w:rsid w:val="583A5233"/>
    <w:rsid w:val="586A4B1E"/>
    <w:rsid w:val="596126D2"/>
    <w:rsid w:val="598D2075"/>
    <w:rsid w:val="59DD37FF"/>
    <w:rsid w:val="5A166687"/>
    <w:rsid w:val="5AF36861"/>
    <w:rsid w:val="5B522489"/>
    <w:rsid w:val="5BB60CF7"/>
    <w:rsid w:val="5BBF4DB5"/>
    <w:rsid w:val="5C9B4A5F"/>
    <w:rsid w:val="5D11539A"/>
    <w:rsid w:val="5D8703F6"/>
    <w:rsid w:val="5DAD2094"/>
    <w:rsid w:val="5EDA7E1E"/>
    <w:rsid w:val="5F901C59"/>
    <w:rsid w:val="5FB974F2"/>
    <w:rsid w:val="5FC660F6"/>
    <w:rsid w:val="5FD04E3D"/>
    <w:rsid w:val="61581ABA"/>
    <w:rsid w:val="629A2DA5"/>
    <w:rsid w:val="6347644E"/>
    <w:rsid w:val="642E6196"/>
    <w:rsid w:val="650214EA"/>
    <w:rsid w:val="65D40D7C"/>
    <w:rsid w:val="66530C9A"/>
    <w:rsid w:val="66E84B5A"/>
    <w:rsid w:val="67B2098B"/>
    <w:rsid w:val="67D660D6"/>
    <w:rsid w:val="680A53E8"/>
    <w:rsid w:val="6A015042"/>
    <w:rsid w:val="6A0A523B"/>
    <w:rsid w:val="6ADB2971"/>
    <w:rsid w:val="6B886928"/>
    <w:rsid w:val="6C3155E4"/>
    <w:rsid w:val="6C4E1EC8"/>
    <w:rsid w:val="6CDB2DB5"/>
    <w:rsid w:val="6D4929A7"/>
    <w:rsid w:val="6D51454B"/>
    <w:rsid w:val="6ED06961"/>
    <w:rsid w:val="6F3179F0"/>
    <w:rsid w:val="6F371152"/>
    <w:rsid w:val="702777D2"/>
    <w:rsid w:val="708527A7"/>
    <w:rsid w:val="71A950EB"/>
    <w:rsid w:val="72211D1B"/>
    <w:rsid w:val="72665A28"/>
    <w:rsid w:val="73140446"/>
    <w:rsid w:val="731C3925"/>
    <w:rsid w:val="74503FBE"/>
    <w:rsid w:val="74DB545F"/>
    <w:rsid w:val="75470775"/>
    <w:rsid w:val="76E148CE"/>
    <w:rsid w:val="76FA7458"/>
    <w:rsid w:val="77031CC1"/>
    <w:rsid w:val="77A30227"/>
    <w:rsid w:val="785254B0"/>
    <w:rsid w:val="78DA37B5"/>
    <w:rsid w:val="79CB1F53"/>
    <w:rsid w:val="79D644C8"/>
    <w:rsid w:val="7A564FAE"/>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 w:semiHidden="0" w:name="heading 2" w:locked="1"/>
    <w:lsdException w:qFormat="1" w:uiPriority="9" w:semiHidden="0" w:name="heading 3" w:locked="1"/>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iPriority="39" w:semiHidden="0" w:name="toc 1" w:locked="1"/>
    <w:lsdException w:qFormat="1" w:uiPriority="39" w:semiHidden="0"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qFormat="1"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qFormat="1"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29"/>
    <w:qFormat/>
    <w:locked/>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49"/>
    <w:unhideWhenUsed/>
    <w:qFormat/>
    <w:locked/>
    <w:uiPriority w:val="9"/>
    <w:pPr>
      <w:keepNext/>
      <w:keepLines/>
      <w:spacing w:before="260" w:after="260" w:line="416" w:lineRule="auto"/>
      <w:outlineLvl w:val="2"/>
    </w:pPr>
    <w:rPr>
      <w:b/>
      <w:bCs/>
      <w:sz w:val="32"/>
      <w:szCs w:val="32"/>
    </w:rPr>
  </w:style>
  <w:style w:type="paragraph" w:styleId="5">
    <w:name w:val="heading 4"/>
    <w:basedOn w:val="1"/>
    <w:next w:val="1"/>
    <w:link w:val="50"/>
    <w:unhideWhenUsed/>
    <w:qFormat/>
    <w:locked/>
    <w:uiPriority w:val="9"/>
    <w:pPr>
      <w:keepNext/>
      <w:keepLines/>
      <w:spacing w:before="280" w:after="290" w:line="376" w:lineRule="auto"/>
      <w:outlineLvl w:val="3"/>
    </w:pPr>
    <w:rPr>
      <w:rFonts w:ascii="Cambria" w:hAnsi="Cambria"/>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0"/>
    <w:semiHidden/>
    <w:qFormat/>
    <w:uiPriority w:val="99"/>
    <w:pPr>
      <w:shd w:val="clear" w:color="auto" w:fill="000080"/>
    </w:pPr>
    <w:rPr>
      <w:kern w:val="0"/>
      <w:sz w:val="2"/>
      <w:szCs w:val="20"/>
    </w:rPr>
  </w:style>
  <w:style w:type="paragraph" w:styleId="7">
    <w:name w:val="annotation text"/>
    <w:basedOn w:val="1"/>
    <w:link w:val="53"/>
    <w:semiHidden/>
    <w:unhideWhenUsed/>
    <w:qFormat/>
    <w:locked/>
    <w:uiPriority w:val="99"/>
    <w:pPr>
      <w:jc w:val="left"/>
    </w:pPr>
  </w:style>
  <w:style w:type="paragraph" w:styleId="8">
    <w:name w:val="Body Text"/>
    <w:basedOn w:val="1"/>
    <w:link w:val="31"/>
    <w:qFormat/>
    <w:uiPriority w:val="99"/>
    <w:pPr>
      <w:spacing w:after="120"/>
    </w:pPr>
    <w:rPr>
      <w:sz w:val="24"/>
      <w:szCs w:val="20"/>
    </w:rPr>
  </w:style>
  <w:style w:type="paragraph" w:styleId="9">
    <w:name w:val="Body Text Indent"/>
    <w:basedOn w:val="1"/>
    <w:link w:val="44"/>
    <w:qFormat/>
    <w:locked/>
    <w:uiPriority w:val="99"/>
    <w:pPr>
      <w:spacing w:after="120"/>
      <w:ind w:left="420" w:leftChars="200"/>
    </w:pPr>
  </w:style>
  <w:style w:type="paragraph" w:styleId="10">
    <w:name w:val="Plain Text"/>
    <w:basedOn w:val="1"/>
    <w:link w:val="32"/>
    <w:qFormat/>
    <w:uiPriority w:val="99"/>
    <w:pPr>
      <w:jc w:val="left"/>
    </w:pPr>
    <w:rPr>
      <w:rFonts w:ascii="宋体" w:hAnsi="Courier New"/>
      <w:kern w:val="0"/>
      <w:szCs w:val="20"/>
    </w:rPr>
  </w:style>
  <w:style w:type="paragraph" w:styleId="11">
    <w:name w:val="Date"/>
    <w:basedOn w:val="1"/>
    <w:next w:val="1"/>
    <w:link w:val="33"/>
    <w:qFormat/>
    <w:uiPriority w:val="99"/>
    <w:pPr>
      <w:ind w:left="2500" w:leftChars="2500"/>
    </w:pPr>
    <w:rPr>
      <w:rFonts w:eastAsia="黑体"/>
      <w:kern w:val="0"/>
      <w:sz w:val="24"/>
      <w:szCs w:val="20"/>
    </w:rPr>
  </w:style>
  <w:style w:type="paragraph" w:styleId="12">
    <w:name w:val="Balloon Text"/>
    <w:basedOn w:val="1"/>
    <w:link w:val="34"/>
    <w:semiHidden/>
    <w:qFormat/>
    <w:uiPriority w:val="99"/>
    <w:rPr>
      <w:sz w:val="18"/>
      <w:szCs w:val="20"/>
    </w:rPr>
  </w:style>
  <w:style w:type="paragraph" w:styleId="13">
    <w:name w:val="footer"/>
    <w:basedOn w:val="1"/>
    <w:link w:val="35"/>
    <w:qFormat/>
    <w:uiPriority w:val="99"/>
    <w:pPr>
      <w:tabs>
        <w:tab w:val="center" w:pos="4153"/>
        <w:tab w:val="right" w:pos="8306"/>
      </w:tabs>
      <w:snapToGrid w:val="0"/>
      <w:jc w:val="left"/>
    </w:pPr>
    <w:rPr>
      <w:sz w:val="18"/>
      <w:szCs w:val="20"/>
    </w:rPr>
  </w:style>
  <w:style w:type="paragraph" w:styleId="14">
    <w:name w:val="header"/>
    <w:basedOn w:val="1"/>
    <w:link w:val="36"/>
    <w:qFormat/>
    <w:uiPriority w:val="99"/>
    <w:pPr>
      <w:pBdr>
        <w:bottom w:val="single" w:color="auto" w:sz="6" w:space="1"/>
      </w:pBdr>
      <w:tabs>
        <w:tab w:val="center" w:pos="4153"/>
        <w:tab w:val="right" w:pos="8306"/>
      </w:tabs>
      <w:snapToGrid w:val="0"/>
      <w:jc w:val="center"/>
    </w:pPr>
    <w:rPr>
      <w:sz w:val="18"/>
      <w:szCs w:val="20"/>
    </w:rPr>
  </w:style>
  <w:style w:type="paragraph" w:styleId="15">
    <w:name w:val="toc 1"/>
    <w:basedOn w:val="1"/>
    <w:next w:val="1"/>
    <w:unhideWhenUsed/>
    <w:qFormat/>
    <w:locked/>
    <w:uiPriority w:val="39"/>
  </w:style>
  <w:style w:type="paragraph" w:styleId="16">
    <w:name w:val="toc 2"/>
    <w:basedOn w:val="1"/>
    <w:next w:val="1"/>
    <w:unhideWhenUsed/>
    <w:qFormat/>
    <w:locked/>
    <w:uiPriority w:val="39"/>
    <w:pPr>
      <w:ind w:left="420" w:leftChars="200"/>
    </w:pPr>
  </w:style>
  <w:style w:type="paragraph" w:styleId="17">
    <w:name w:val="HTML Preformatted"/>
    <w:basedOn w:val="1"/>
    <w:link w:val="3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8">
    <w:name w:val="Normal (Web)"/>
    <w:basedOn w:val="1"/>
    <w:qFormat/>
    <w:locked/>
    <w:uiPriority w:val="0"/>
    <w:pPr>
      <w:widowControl/>
      <w:spacing w:before="100" w:beforeAutospacing="1" w:after="100" w:afterAutospacing="1"/>
      <w:jc w:val="left"/>
    </w:pPr>
    <w:rPr>
      <w:rFonts w:ascii="宋体" w:hAnsi="宋体"/>
      <w:color w:val="000000"/>
      <w:kern w:val="0"/>
      <w:sz w:val="18"/>
      <w:szCs w:val="18"/>
    </w:rPr>
  </w:style>
  <w:style w:type="paragraph" w:styleId="19">
    <w:name w:val="annotation subject"/>
    <w:basedOn w:val="7"/>
    <w:next w:val="7"/>
    <w:link w:val="54"/>
    <w:semiHidden/>
    <w:unhideWhenUsed/>
    <w:qFormat/>
    <w:locked/>
    <w:uiPriority w:val="99"/>
    <w:rPr>
      <w:b/>
      <w:bCs/>
    </w:rPr>
  </w:style>
  <w:style w:type="paragraph" w:styleId="20">
    <w:name w:val="Body Text First Indent 2"/>
    <w:basedOn w:val="9"/>
    <w:link w:val="47"/>
    <w:semiHidden/>
    <w:unhideWhenUsed/>
    <w:qFormat/>
    <w:locked/>
    <w:uiPriority w:val="99"/>
    <w:pPr>
      <w:ind w:firstLine="420" w:firstLineChars="200"/>
    </w:pPr>
  </w:style>
  <w:style w:type="table" w:styleId="22">
    <w:name w:val="Table Grid"/>
    <w:basedOn w:val="2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page number"/>
    <w:qFormat/>
    <w:uiPriority w:val="99"/>
    <w:rPr>
      <w:rFonts w:cs="Times New Roman"/>
    </w:rPr>
  </w:style>
  <w:style w:type="character" w:styleId="25">
    <w:name w:val="FollowedHyperlink"/>
    <w:qFormat/>
    <w:uiPriority w:val="99"/>
    <w:rPr>
      <w:rFonts w:cs="Times New Roman"/>
      <w:color w:val="800080"/>
      <w:u w:val="single"/>
    </w:rPr>
  </w:style>
  <w:style w:type="character" w:styleId="26">
    <w:name w:val="Hyperlink"/>
    <w:qFormat/>
    <w:uiPriority w:val="99"/>
    <w:rPr>
      <w:rFonts w:cs="Times New Roman"/>
      <w:color w:val="0000FF"/>
      <w:u w:val="single"/>
    </w:rPr>
  </w:style>
  <w:style w:type="character" w:styleId="27">
    <w:name w:val="annotation reference"/>
    <w:basedOn w:val="23"/>
    <w:semiHidden/>
    <w:unhideWhenUsed/>
    <w:qFormat/>
    <w:locked/>
    <w:uiPriority w:val="99"/>
    <w:rPr>
      <w:sz w:val="21"/>
      <w:szCs w:val="21"/>
    </w:rPr>
  </w:style>
  <w:style w:type="character" w:customStyle="1" w:styleId="28">
    <w:name w:val="标题 1 字符"/>
    <w:link w:val="2"/>
    <w:qFormat/>
    <w:locked/>
    <w:uiPriority w:val="99"/>
    <w:rPr>
      <w:rFonts w:cs="Times New Roman"/>
      <w:b/>
      <w:kern w:val="44"/>
      <w:sz w:val="44"/>
    </w:rPr>
  </w:style>
  <w:style w:type="character" w:customStyle="1" w:styleId="29">
    <w:name w:val="标题 2 字符"/>
    <w:link w:val="3"/>
    <w:qFormat/>
    <w:locked/>
    <w:uiPriority w:val="9"/>
    <w:rPr>
      <w:rFonts w:ascii="Cambria" w:hAnsi="Cambria" w:eastAsia="宋体" w:cs="Times New Roman"/>
      <w:b/>
      <w:kern w:val="2"/>
      <w:sz w:val="32"/>
    </w:rPr>
  </w:style>
  <w:style w:type="character" w:customStyle="1" w:styleId="30">
    <w:name w:val="文档结构图 字符"/>
    <w:link w:val="6"/>
    <w:semiHidden/>
    <w:qFormat/>
    <w:locked/>
    <w:uiPriority w:val="99"/>
    <w:rPr>
      <w:rFonts w:cs="Times New Roman"/>
      <w:sz w:val="2"/>
    </w:rPr>
  </w:style>
  <w:style w:type="character" w:customStyle="1" w:styleId="31">
    <w:name w:val="正文文本 字符"/>
    <w:link w:val="8"/>
    <w:qFormat/>
    <w:locked/>
    <w:uiPriority w:val="99"/>
    <w:rPr>
      <w:rFonts w:cs="Times New Roman"/>
      <w:kern w:val="2"/>
      <w:sz w:val="24"/>
    </w:rPr>
  </w:style>
  <w:style w:type="character" w:customStyle="1" w:styleId="32">
    <w:name w:val="纯文本 字符"/>
    <w:link w:val="10"/>
    <w:semiHidden/>
    <w:qFormat/>
    <w:locked/>
    <w:uiPriority w:val="99"/>
    <w:rPr>
      <w:rFonts w:ascii="宋体" w:hAnsi="Courier New" w:cs="Times New Roman"/>
      <w:sz w:val="21"/>
    </w:rPr>
  </w:style>
  <w:style w:type="character" w:customStyle="1" w:styleId="33">
    <w:name w:val="日期 字符"/>
    <w:link w:val="11"/>
    <w:qFormat/>
    <w:locked/>
    <w:uiPriority w:val="99"/>
    <w:rPr>
      <w:rFonts w:eastAsia="黑体" w:cs="Times New Roman"/>
      <w:sz w:val="24"/>
    </w:rPr>
  </w:style>
  <w:style w:type="character" w:customStyle="1" w:styleId="34">
    <w:name w:val="批注框文本 字符"/>
    <w:link w:val="12"/>
    <w:semiHidden/>
    <w:qFormat/>
    <w:locked/>
    <w:uiPriority w:val="99"/>
    <w:rPr>
      <w:rFonts w:cs="Times New Roman"/>
      <w:kern w:val="2"/>
      <w:sz w:val="18"/>
    </w:rPr>
  </w:style>
  <w:style w:type="character" w:customStyle="1" w:styleId="35">
    <w:name w:val="页脚 字符"/>
    <w:link w:val="13"/>
    <w:qFormat/>
    <w:locked/>
    <w:uiPriority w:val="99"/>
    <w:rPr>
      <w:rFonts w:cs="Times New Roman"/>
      <w:kern w:val="2"/>
      <w:sz w:val="18"/>
    </w:rPr>
  </w:style>
  <w:style w:type="character" w:customStyle="1" w:styleId="36">
    <w:name w:val="页眉 字符"/>
    <w:link w:val="14"/>
    <w:qFormat/>
    <w:locked/>
    <w:uiPriority w:val="99"/>
    <w:rPr>
      <w:rFonts w:cs="Times New Roman"/>
      <w:kern w:val="2"/>
      <w:sz w:val="18"/>
    </w:rPr>
  </w:style>
  <w:style w:type="character" w:customStyle="1" w:styleId="37">
    <w:name w:val="HTML 预设格式 字符"/>
    <w:link w:val="17"/>
    <w:qFormat/>
    <w:locked/>
    <w:uiPriority w:val="99"/>
    <w:rPr>
      <w:rFonts w:ascii="宋体" w:eastAsia="宋体" w:cs="Times New Roman"/>
      <w:sz w:val="24"/>
    </w:rPr>
  </w:style>
  <w:style w:type="paragraph" w:customStyle="1" w:styleId="38">
    <w:name w:val="此正文"/>
    <w:basedOn w:val="1"/>
    <w:qFormat/>
    <w:uiPriority w:val="99"/>
    <w:pPr>
      <w:spacing w:line="360" w:lineRule="auto"/>
      <w:ind w:firstLine="200" w:firstLineChars="200"/>
    </w:pPr>
    <w:rPr>
      <w:sz w:val="24"/>
      <w:szCs w:val="20"/>
    </w:rPr>
  </w:style>
  <w:style w:type="paragraph" w:customStyle="1" w:styleId="39">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40">
    <w:name w:val="Char Char Char Char Char Char Char"/>
    <w:basedOn w:val="1"/>
    <w:semiHidden/>
    <w:qFormat/>
    <w:uiPriority w:val="99"/>
    <w:rPr>
      <w:rFonts w:ascii="Tahoma" w:hAnsi="Tahoma" w:cs="仿宋_GB2312"/>
      <w:sz w:val="24"/>
      <w:szCs w:val="28"/>
    </w:rPr>
  </w:style>
  <w:style w:type="paragraph" w:customStyle="1" w:styleId="41">
    <w:name w:val="Char Char Char Char"/>
    <w:basedOn w:val="6"/>
    <w:qFormat/>
    <w:uiPriority w:val="99"/>
    <w:pPr>
      <w:adjustRightInd w:val="0"/>
      <w:snapToGrid w:val="0"/>
      <w:spacing w:line="360" w:lineRule="auto"/>
    </w:pPr>
    <w:rPr>
      <w:rFonts w:ascii="Tahoma" w:hAnsi="Tahoma"/>
      <w:sz w:val="24"/>
    </w:rPr>
  </w:style>
  <w:style w:type="paragraph" w:customStyle="1" w:styleId="42">
    <w:name w:val="Char1"/>
    <w:basedOn w:val="1"/>
    <w:qFormat/>
    <w:uiPriority w:val="99"/>
    <w:rPr>
      <w:rFonts w:ascii="Tahoma" w:hAnsi="Tahoma"/>
      <w:sz w:val="24"/>
      <w:szCs w:val="20"/>
    </w:rPr>
  </w:style>
  <w:style w:type="paragraph" w:customStyle="1" w:styleId="43">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44">
    <w:name w:val="正文文本缩进 字符"/>
    <w:link w:val="9"/>
    <w:semiHidden/>
    <w:qFormat/>
    <w:uiPriority w:val="99"/>
    <w:rPr>
      <w:szCs w:val="24"/>
    </w:rPr>
  </w:style>
  <w:style w:type="paragraph" w:customStyle="1" w:styleId="45">
    <w:name w:val="列出段落1"/>
    <w:basedOn w:val="1"/>
    <w:qFormat/>
    <w:uiPriority w:val="99"/>
    <w:pPr>
      <w:tabs>
        <w:tab w:val="left" w:pos="680"/>
      </w:tabs>
      <w:snapToGrid w:val="0"/>
      <w:spacing w:line="400" w:lineRule="exact"/>
    </w:pPr>
    <w:rPr>
      <w:rFonts w:ascii="宋体" w:hAnsi="宋体"/>
      <w:spacing w:val="-2"/>
      <w:sz w:val="24"/>
    </w:rPr>
  </w:style>
  <w:style w:type="paragraph" w:styleId="46">
    <w:name w:val="List Paragraph"/>
    <w:basedOn w:val="1"/>
    <w:qFormat/>
    <w:uiPriority w:val="34"/>
    <w:pPr>
      <w:ind w:firstLine="420" w:firstLineChars="200"/>
    </w:pPr>
  </w:style>
  <w:style w:type="character" w:customStyle="1" w:styleId="47">
    <w:name w:val="正文首行缩进 2 字符"/>
    <w:basedOn w:val="44"/>
    <w:link w:val="20"/>
    <w:semiHidden/>
    <w:qFormat/>
    <w:uiPriority w:val="99"/>
    <w:rPr>
      <w:kern w:val="2"/>
      <w:sz w:val="21"/>
      <w:szCs w:val="24"/>
    </w:rPr>
  </w:style>
  <w:style w:type="character" w:customStyle="1" w:styleId="48">
    <w:name w:val="apple-converted-space"/>
    <w:basedOn w:val="23"/>
    <w:qFormat/>
    <w:uiPriority w:val="0"/>
  </w:style>
  <w:style w:type="character" w:customStyle="1" w:styleId="49">
    <w:name w:val="标题 3 字符"/>
    <w:basedOn w:val="23"/>
    <w:link w:val="4"/>
    <w:qFormat/>
    <w:uiPriority w:val="9"/>
    <w:rPr>
      <w:b/>
      <w:bCs/>
      <w:kern w:val="2"/>
      <w:sz w:val="32"/>
      <w:szCs w:val="32"/>
    </w:rPr>
  </w:style>
  <w:style w:type="character" w:customStyle="1" w:styleId="50">
    <w:name w:val="标题 4 字符"/>
    <w:basedOn w:val="23"/>
    <w:link w:val="5"/>
    <w:qFormat/>
    <w:uiPriority w:val="9"/>
    <w:rPr>
      <w:rFonts w:ascii="Cambria" w:hAnsi="Cambria"/>
      <w:b/>
      <w:bCs/>
      <w:kern w:val="2"/>
      <w:sz w:val="28"/>
      <w:szCs w:val="28"/>
    </w:rPr>
  </w:style>
  <w:style w:type="paragraph" w:customStyle="1" w:styleId="51">
    <w:name w:val="一般1"/>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52">
    <w:name w:val="普通正文"/>
    <w:basedOn w:val="1"/>
    <w:qFormat/>
    <w:uiPriority w:val="0"/>
    <w:pPr>
      <w:adjustRightInd w:val="0"/>
      <w:spacing w:before="120" w:after="120" w:line="360" w:lineRule="auto"/>
      <w:ind w:firstLine="480"/>
      <w:jc w:val="left"/>
    </w:pPr>
    <w:rPr>
      <w:rFonts w:ascii="Arial" w:hAnsi="Arial"/>
      <w:kern w:val="0"/>
      <w:sz w:val="24"/>
    </w:rPr>
  </w:style>
  <w:style w:type="character" w:customStyle="1" w:styleId="53">
    <w:name w:val="批注文字 字符"/>
    <w:basedOn w:val="23"/>
    <w:link w:val="7"/>
    <w:semiHidden/>
    <w:qFormat/>
    <w:uiPriority w:val="99"/>
    <w:rPr>
      <w:kern w:val="2"/>
      <w:sz w:val="21"/>
      <w:szCs w:val="24"/>
    </w:rPr>
  </w:style>
  <w:style w:type="character" w:customStyle="1" w:styleId="54">
    <w:name w:val="批注主题 字符"/>
    <w:basedOn w:val="53"/>
    <w:link w:val="19"/>
    <w:semiHidden/>
    <w:qFormat/>
    <w:uiPriority w:val="99"/>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706932-C63E-4E26-A296-A95A14102973}">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29</Pages>
  <Words>2242</Words>
  <Characters>12783</Characters>
  <Lines>106</Lines>
  <Paragraphs>29</Paragraphs>
  <TotalTime>64</TotalTime>
  <ScaleCrop>false</ScaleCrop>
  <LinksUpToDate>false</LinksUpToDate>
  <CharactersWithSpaces>14996</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2020-06-11T09:04:00Z</dcterms:created>
  <dc:creator>USER</dc:creator>
  <cp:lastModifiedBy>李韦华</cp:lastModifiedBy>
  <cp:lastPrinted>2020-06-11T06:44:00Z</cp:lastPrinted>
  <dcterms:modified xsi:type="dcterms:W3CDTF">2020-07-16T03:48:52Z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