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南通大学食堂面制品采购</w:t>
      </w:r>
    </w:p>
    <w:p>
      <w:pPr>
        <w:spacing w:line="360" w:lineRule="auto"/>
        <w:ind w:firstLine="2249" w:firstLineChars="700"/>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14:textFill>
            <w14:solidFill>
              <w14:schemeClr w14:val="tx1"/>
            </w14:solidFill>
          </w14:textFill>
        </w:rPr>
        <w:t>2</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9</w:t>
      </w:r>
      <w:r>
        <w:rPr>
          <w:rFonts w:hint="eastAsia" w:ascii="宋体"/>
          <w:b/>
          <w:color w:val="000000" w:themeColor="text1"/>
          <w:sz w:val="32"/>
          <w:szCs w:val="32"/>
          <w14:textFill>
            <w14:solidFill>
              <w14:schemeClr w14:val="tx1"/>
            </w14:solidFill>
          </w14:textFill>
        </w:rPr>
        <w:t>0</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14:textFill>
            <w14:solidFill>
              <w14:schemeClr w14:val="tx1"/>
            </w14:solidFill>
          </w14:textFill>
        </w:rPr>
        <w:t>2年</w:t>
      </w:r>
      <w:r>
        <w:rPr>
          <w:rFonts w:hint="eastAsia" w:eastAsia="宋体"/>
          <w:b/>
          <w:color w:val="000000" w:themeColor="text1"/>
          <w:sz w:val="32"/>
          <w:szCs w:val="32"/>
          <w:lang w:val="en-US" w:eastAsia="zh-CN"/>
          <w14:textFill>
            <w14:solidFill>
              <w14:schemeClr w14:val="tx1"/>
            </w14:solidFill>
          </w14:textFill>
        </w:rPr>
        <w:t>8</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南通大学食堂面制品</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一、项目名称：南通大学食堂面制品采购</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二、招标编号：TDHW(GK)2022-0</w:t>
      </w:r>
      <w:r>
        <w:rPr>
          <w:rFonts w:hint="eastAsia" w:ascii="宋体" w:hAnsi="宋体"/>
          <w:b/>
          <w:color w:val="000000"/>
          <w:sz w:val="24"/>
          <w:lang w:val="en-US" w:eastAsia="zh-CN"/>
        </w:rPr>
        <w:t>9</w:t>
      </w:r>
      <w:bookmarkStart w:id="32" w:name="_GoBack"/>
      <w:bookmarkEnd w:id="32"/>
      <w:r>
        <w:rPr>
          <w:rFonts w:hint="eastAsia" w:ascii="宋体" w:hAnsi="宋体"/>
          <w:b/>
          <w:color w:val="000000"/>
          <w:sz w:val="24"/>
        </w:rPr>
        <w:t>0</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四、项目预算：标段</w:t>
      </w:r>
      <w:r>
        <w:rPr>
          <w:rFonts w:ascii="宋体" w:hAnsi="宋体"/>
          <w:b/>
          <w:color w:val="000000"/>
          <w:sz w:val="24"/>
        </w:rPr>
        <w:t>一</w:t>
      </w:r>
      <w:r>
        <w:rPr>
          <w:rFonts w:hint="eastAsia" w:ascii="宋体" w:hAnsi="宋体"/>
          <w:b/>
          <w:color w:val="000000"/>
          <w:sz w:val="24"/>
          <w:lang w:val="en-US" w:eastAsia="zh-CN"/>
        </w:rPr>
        <w:t>72</w:t>
      </w:r>
      <w:r>
        <w:rPr>
          <w:rFonts w:hint="eastAsia" w:ascii="宋体" w:hAnsi="宋体"/>
          <w:b/>
          <w:color w:val="000000"/>
          <w:sz w:val="24"/>
        </w:rPr>
        <w:t>万元、</w:t>
      </w:r>
      <w:r>
        <w:rPr>
          <w:rFonts w:ascii="宋体" w:hAnsi="宋体"/>
          <w:b/>
          <w:color w:val="000000"/>
          <w:sz w:val="24"/>
        </w:rPr>
        <w:t>标段</w:t>
      </w:r>
      <w:r>
        <w:rPr>
          <w:rFonts w:hint="eastAsia" w:ascii="宋体" w:hAnsi="宋体"/>
          <w:b/>
          <w:color w:val="000000"/>
          <w:sz w:val="24"/>
        </w:rPr>
        <w:t>二</w:t>
      </w:r>
      <w:r>
        <w:rPr>
          <w:rFonts w:hint="eastAsia" w:ascii="宋体" w:hAnsi="宋体"/>
          <w:b/>
          <w:color w:val="000000"/>
          <w:sz w:val="24"/>
          <w:lang w:val="en-US" w:eastAsia="zh-CN"/>
        </w:rPr>
        <w:t>24</w:t>
      </w:r>
      <w:r>
        <w:rPr>
          <w:rFonts w:hint="eastAsia" w:ascii="宋体" w:hAnsi="宋体"/>
          <w:b/>
          <w:color w:val="000000"/>
          <w:sz w:val="24"/>
        </w:rPr>
        <w:t>万元。</w:t>
      </w:r>
    </w:p>
    <w:p>
      <w:pPr>
        <w:widowControl/>
        <w:spacing w:line="440" w:lineRule="exact"/>
        <w:ind w:firstLine="480" w:firstLineChars="200"/>
        <w:rPr>
          <w:rFonts w:ascii="宋体" w:hAnsi="宋体"/>
          <w:color w:val="000000"/>
          <w:sz w:val="24"/>
        </w:rPr>
      </w:pPr>
      <w:r>
        <w:rPr>
          <w:rFonts w:hint="eastAsia" w:ascii="宋体" w:hAnsi="宋体"/>
          <w:color w:val="000000"/>
          <w:sz w:val="24"/>
        </w:rPr>
        <w:t>标段一：面制品（供应啬园校区、启秀校区、钟秀校区），供应商2家；</w:t>
      </w:r>
    </w:p>
    <w:p>
      <w:pPr>
        <w:widowControl/>
        <w:spacing w:line="440" w:lineRule="exact"/>
        <w:ind w:firstLine="480" w:firstLineChars="200"/>
        <w:rPr>
          <w:rFonts w:ascii="宋体" w:hAnsi="宋体"/>
          <w:color w:val="000000"/>
          <w:sz w:val="24"/>
        </w:rPr>
      </w:pPr>
      <w:r>
        <w:rPr>
          <w:rFonts w:hint="eastAsia" w:ascii="宋体" w:hAnsi="宋体"/>
          <w:color w:val="000000"/>
          <w:sz w:val="24"/>
        </w:rPr>
        <w:t xml:space="preserve">标段二：面制品（供应启东校区），供应商1家； </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2022年8月</w:t>
      </w:r>
      <w:r>
        <w:rPr>
          <w:rFonts w:hint="eastAsia" w:ascii="宋体" w:hAnsi="宋体"/>
          <w:color w:val="000000"/>
          <w:sz w:val="24"/>
          <w:lang w:val="en-US" w:eastAsia="zh-CN"/>
        </w:rPr>
        <w:t>25</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2</w:t>
      </w:r>
      <w:r>
        <w:rPr>
          <w:rFonts w:hint="eastAsia" w:ascii="宋体" w:hAnsi="宋体"/>
          <w:color w:val="000000"/>
          <w:sz w:val="24"/>
        </w:rPr>
        <w:t>年8月</w:t>
      </w:r>
      <w:r>
        <w:rPr>
          <w:rFonts w:hint="eastAsia" w:ascii="宋体" w:hAnsi="宋体"/>
          <w:color w:val="000000"/>
          <w:sz w:val="24"/>
          <w:lang w:val="en-US" w:eastAsia="zh-CN"/>
        </w:rPr>
        <w:t>25</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w:t>
      </w:r>
      <w:r>
        <w:rPr>
          <w:rFonts w:ascii="宋体" w:hAnsi="宋体"/>
          <w:color w:val="000000"/>
          <w:sz w:val="24"/>
        </w:rPr>
        <w:t>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sz w:val="24"/>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color w:val="000000" w:themeColor="text1"/>
          <w:sz w:val="24"/>
          <w14:textFill>
            <w14:solidFill>
              <w14:schemeClr w14:val="tx1"/>
            </w14:solidFill>
          </w14:textFill>
        </w:rPr>
      </w:pPr>
      <w:r>
        <w:rPr>
          <w:rFonts w:hint="eastAsia"/>
          <w:sz w:val="24"/>
        </w:rPr>
        <w:t>（1）</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（3）评分项中未涉及投标人认为需要提交的其他材料。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440" w:lineRule="exact"/>
        <w:ind w:left="48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sz w:val="24"/>
        </w:rPr>
        <w:t>食品经营许可证复印件（</w:t>
      </w:r>
      <w:r>
        <w:rPr>
          <w:rFonts w:hint="eastAsia" w:ascii="宋体" w:hAnsi="宋体"/>
          <w:color w:val="000000"/>
          <w:sz w:val="24"/>
        </w:rPr>
        <w:t>复印件加盖单位公章）</w:t>
      </w:r>
    </w:p>
    <w:p>
      <w:pPr>
        <w:spacing w:line="440" w:lineRule="exact"/>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440" w:lineRule="exact"/>
        <w:ind w:left="480"/>
        <w:rPr>
          <w:rFonts w:ascii="宋体" w:hAnsi="宋体"/>
          <w:color w:val="000000"/>
          <w:sz w:val="24"/>
        </w:rPr>
      </w:pPr>
      <w:r>
        <w:rPr>
          <w:rFonts w:hint="eastAsia" w:ascii="宋体" w:hAnsi="宋体"/>
          <w:color w:val="000000"/>
          <w:sz w:val="24"/>
        </w:rPr>
        <w:t>（4）面制品检测报告（复印件加盖单位公章）</w:t>
      </w:r>
    </w:p>
    <w:p>
      <w:pPr>
        <w:spacing w:line="440" w:lineRule="exact"/>
        <w:ind w:firstLine="480" w:firstLineChars="200"/>
        <w:rPr>
          <w:rFonts w:ascii="宋体" w:hAnsi="宋体"/>
          <w:sz w:val="24"/>
        </w:rPr>
      </w:pPr>
      <w:r>
        <w:rPr>
          <w:rFonts w:hint="eastAsia" w:ascii="宋体" w:hAnsi="宋体"/>
          <w:sz w:val="24"/>
        </w:rPr>
        <w:t>（5）法定代表人资格证明（格式见附件3）</w:t>
      </w:r>
    </w:p>
    <w:p>
      <w:pPr>
        <w:spacing w:line="440" w:lineRule="exact"/>
        <w:ind w:firstLine="480" w:firstLineChars="200"/>
        <w:rPr>
          <w:rFonts w:ascii="宋体" w:hAnsi="宋体"/>
          <w:sz w:val="24"/>
        </w:rPr>
      </w:pPr>
      <w:r>
        <w:rPr>
          <w:rFonts w:hint="eastAsia" w:ascii="宋体" w:hAnsi="宋体"/>
          <w:sz w:val="24"/>
        </w:rPr>
        <w:t>（6）法定代表人授权书（格式见附件4）</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（7）无重大违法记录声明（见附件5）</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5"/>
      <w:bookmarkStart w:id="8" w:name="OLE_LINK36"/>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73516685"/>
    </w:p>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评标，即在投标文件满足招标文件全部实质性要求，且按照评审因素的量化指标评审得分指由高到低选取各标段供应商数量。</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0分</w:t>
            </w:r>
          </w:p>
        </w:tc>
        <w:tc>
          <w:tcPr>
            <w:tcW w:w="7305" w:type="dxa"/>
            <w:tcBorders>
              <w:top w:val="single" w:color="auto" w:sz="4" w:space="0"/>
              <w:left w:val="single" w:color="auto" w:sz="4" w:space="0"/>
              <w:bottom w:val="single" w:color="auto" w:sz="4" w:space="0"/>
              <w:right w:val="single" w:color="auto" w:sz="4" w:space="0"/>
            </w:tcBorders>
            <w:vAlign w:val="center"/>
          </w:tcPr>
          <w:p>
            <w:pPr>
              <w:ind w:right="-51"/>
              <w:jc w:val="left"/>
              <w:rPr>
                <w:rFonts w:asciiTheme="minorEastAsia" w:hAnsiTheme="minorEastAsia" w:eastAsiaTheme="minorEastAsia" w:cstheme="minorEastAsia"/>
                <w:color w:val="auto"/>
                <w:spacing w:val="-6"/>
                <w:szCs w:val="21"/>
              </w:rPr>
            </w:pPr>
            <w:r>
              <w:rPr>
                <w:rFonts w:hint="eastAsia" w:ascii="宋体" w:hAnsi="宋体" w:cs="宋体"/>
                <w:color w:val="auto"/>
                <w:szCs w:val="21"/>
              </w:rPr>
              <w:t>以</w:t>
            </w:r>
            <w:r>
              <w:rPr>
                <w:rFonts w:hint="eastAsia" w:asciiTheme="majorEastAsia" w:hAnsiTheme="majorEastAsia" w:eastAsiaTheme="majorEastAsia"/>
                <w:color w:val="auto"/>
              </w:rPr>
              <w:t>南通市发展改革委员会网站公布的南通市区部分市场主副食品价格中</w:t>
            </w:r>
            <w:r>
              <w:rPr>
                <w:rFonts w:asciiTheme="majorEastAsia" w:hAnsiTheme="majorEastAsia" w:eastAsiaTheme="majorEastAsia"/>
                <w:color w:val="auto"/>
              </w:rPr>
              <w:t>面制品</w:t>
            </w:r>
            <w:r>
              <w:rPr>
                <w:rFonts w:hint="eastAsia" w:asciiTheme="majorEastAsia" w:hAnsiTheme="majorEastAsia" w:eastAsiaTheme="majorEastAsia"/>
                <w:color w:val="auto"/>
              </w:rPr>
              <w:t>的平均价作为市场价（</w:t>
            </w:r>
            <w:r>
              <w:rPr>
                <w:rFonts w:asciiTheme="majorEastAsia" w:hAnsiTheme="majorEastAsia" w:eastAsiaTheme="majorEastAsia"/>
                <w:color w:val="auto"/>
              </w:rPr>
              <w:t>http://fgw.nantong.gov.cn/ntsfgw/zfspjg/zfspjg.html</w:t>
            </w:r>
            <w:r>
              <w:rPr>
                <w:rFonts w:hint="eastAsia" w:asciiTheme="majorEastAsia" w:hAnsiTheme="majorEastAsia" w:eastAsiaTheme="majorEastAsia"/>
                <w:color w:val="auto"/>
              </w:rPr>
              <w:t>），在此基础上进行下浮率报价，</w:t>
            </w:r>
            <w:r>
              <w:rPr>
                <w:rFonts w:hint="eastAsia" w:asciiTheme="majorEastAsia" w:hAnsiTheme="majorEastAsia" w:eastAsiaTheme="majorEastAsia"/>
                <w:color w:val="auto"/>
                <w:lang w:val="zh-CN"/>
              </w:rPr>
              <w:t>报价下浮率不得低于</w:t>
            </w:r>
            <w:r>
              <w:rPr>
                <w:rFonts w:hint="eastAsia" w:asciiTheme="majorEastAsia" w:hAnsiTheme="majorEastAsia" w:eastAsiaTheme="majorEastAsia"/>
                <w:color w:val="auto"/>
              </w:rPr>
              <w:t>1</w:t>
            </w:r>
            <w:r>
              <w:rPr>
                <w:rFonts w:hint="eastAsia" w:asciiTheme="majorEastAsia" w:hAnsiTheme="majorEastAsia" w:eastAsiaTheme="majorEastAsia"/>
                <w:color w:val="auto"/>
                <w:lang w:val="en-US" w:eastAsia="zh-CN"/>
              </w:rPr>
              <w:t>0</w:t>
            </w:r>
            <w:r>
              <w:rPr>
                <w:rFonts w:hint="eastAsia" w:asciiTheme="majorEastAsia" w:hAnsiTheme="majorEastAsia" w:eastAsiaTheme="majorEastAsia"/>
                <w:color w:val="auto"/>
              </w:rPr>
              <w:t>%，</w:t>
            </w:r>
            <w:r>
              <w:rPr>
                <w:rFonts w:hint="eastAsia" w:asciiTheme="majorEastAsia" w:hAnsiTheme="majorEastAsia" w:eastAsiaTheme="majorEastAsia"/>
                <w:color w:val="auto"/>
                <w:lang w:val="zh-CN"/>
              </w:rPr>
              <w:t>否则作废标处理</w:t>
            </w:r>
            <w:r>
              <w:rPr>
                <w:rFonts w:hint="eastAsia" w:asciiTheme="majorEastAsia" w:hAnsiTheme="majorEastAsia" w:eastAsiaTheme="majorEastAsia"/>
                <w:color w:val="auto"/>
              </w:rPr>
              <w:t>，</w:t>
            </w:r>
            <w:r>
              <w:rPr>
                <w:rFonts w:hint="eastAsia" w:asciiTheme="majorEastAsia" w:hAnsiTheme="majorEastAsia" w:eastAsiaTheme="majorEastAsia"/>
                <w:color w:val="auto"/>
                <w:lang w:val="zh-CN"/>
              </w:rPr>
              <w:t>所有投标人中下浮率最</w:t>
            </w:r>
            <w:r>
              <w:rPr>
                <w:rFonts w:hint="eastAsia" w:asciiTheme="majorEastAsia" w:hAnsiTheme="majorEastAsia" w:eastAsiaTheme="majorEastAsia"/>
                <w:color w:val="auto"/>
              </w:rPr>
              <w:t>大</w:t>
            </w:r>
            <w:r>
              <w:rPr>
                <w:rFonts w:hint="eastAsia" w:asciiTheme="majorEastAsia" w:hAnsiTheme="majorEastAsia" w:eastAsiaTheme="majorEastAsia"/>
                <w:color w:val="auto"/>
                <w:lang w:val="zh-CN"/>
              </w:rPr>
              <w:t>的</w:t>
            </w:r>
            <w:r>
              <w:rPr>
                <w:rFonts w:hint="eastAsia" w:asciiTheme="majorEastAsia" w:hAnsiTheme="majorEastAsia" w:eastAsiaTheme="majorEastAsia"/>
                <w:color w:val="auto"/>
              </w:rPr>
              <w:t>报价</w:t>
            </w:r>
            <w:r>
              <w:rPr>
                <w:rFonts w:hint="eastAsia" w:asciiTheme="majorEastAsia" w:hAnsiTheme="majorEastAsia" w:eastAsiaTheme="majorEastAsia"/>
                <w:color w:val="auto"/>
                <w:lang w:val="zh-CN"/>
              </w:rPr>
              <w:t>为该品类基准</w:t>
            </w:r>
            <w:r>
              <w:rPr>
                <w:rFonts w:hint="eastAsia" w:asciiTheme="majorEastAsia" w:hAnsiTheme="majorEastAsia" w:eastAsiaTheme="majorEastAsia"/>
                <w:color w:val="auto"/>
              </w:rPr>
              <w:t>值，</w:t>
            </w:r>
            <w:r>
              <w:rPr>
                <w:rFonts w:hint="eastAsia" w:asciiTheme="majorEastAsia" w:hAnsiTheme="majorEastAsia" w:eastAsiaTheme="majorEastAsia"/>
                <w:color w:val="auto"/>
                <w:lang w:val="zh-CN"/>
              </w:rPr>
              <w:t>报价得分为满分。投标报价得分</w:t>
            </w:r>
            <w:r>
              <w:rPr>
                <w:rFonts w:hint="eastAsia" w:ascii="宋体" w:hAnsi="宋体" w:cs="宋体"/>
                <w:color w:val="auto"/>
                <w:kern w:val="0"/>
                <w:szCs w:val="21"/>
              </w:rPr>
              <w:t>=（</w:t>
            </w:r>
            <w:r>
              <w:rPr>
                <w:rFonts w:hint="eastAsia" w:asciiTheme="majorEastAsia" w:hAnsiTheme="majorEastAsia" w:eastAsiaTheme="majorEastAsia"/>
                <w:color w:val="auto"/>
                <w:lang w:val="zh-CN"/>
              </w:rPr>
              <w:t>供应商承诺下浮率</w:t>
            </w:r>
            <w:r>
              <w:rPr>
                <w:rFonts w:hint="eastAsia" w:asciiTheme="majorEastAsia" w:hAnsiTheme="majorEastAsia" w:eastAsiaTheme="majorEastAsia"/>
                <w:color w:val="auto"/>
              </w:rPr>
              <w:t>/基准值</w:t>
            </w:r>
            <w:r>
              <w:rPr>
                <w:rFonts w:hint="eastAsia" w:asciiTheme="majorEastAsia" w:hAnsiTheme="majorEastAsia" w:eastAsiaTheme="majorEastAsia"/>
                <w:color w:val="auto"/>
                <w:lang w:val="zh-CN"/>
              </w:rPr>
              <w:t>）×</w:t>
            </w:r>
            <w:r>
              <w:rPr>
                <w:rFonts w:hint="eastAsia" w:asciiTheme="majorEastAsia" w:hAnsiTheme="majorEastAsia" w:eastAsiaTheme="majorEastAsia"/>
                <w:color w:val="auto"/>
                <w:lang w:val="en-US" w:eastAsia="zh-CN"/>
              </w:rPr>
              <w:t>6</w:t>
            </w:r>
            <w:r>
              <w:rPr>
                <w:rFonts w:asciiTheme="majorEastAsia" w:hAnsiTheme="majorEastAsia" w:eastAsiaTheme="majorEastAsia"/>
                <w:color w:val="auto"/>
                <w:lang w:val="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1005" w:type="dxa"/>
            <w:vMerge w:val="restart"/>
            <w:tcBorders>
              <w:top w:val="single" w:color="auto" w:sz="4" w:space="0"/>
              <w:left w:val="single" w:color="auto" w:sz="4" w:space="0"/>
              <w:right w:val="single" w:color="auto" w:sz="4" w:space="0"/>
            </w:tcBorders>
            <w:vAlign w:val="center"/>
          </w:tcPr>
          <w:p>
            <w:pPr>
              <w:widowControl/>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right w:val="single" w:color="auto" w:sz="4" w:space="0"/>
            </w:tcBorders>
            <w:vAlign w:val="center"/>
          </w:tcPr>
          <w:p>
            <w:pPr>
              <w:widowControl/>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kern w:val="0"/>
                <w:szCs w:val="21"/>
                <w14:textFill>
                  <w14:solidFill>
                    <w14:schemeClr w14:val="tx1"/>
                  </w14:solidFill>
                </w14:textFill>
              </w:rPr>
              <w:t>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（10分）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hint="default" w:ascii="宋体" w:hAnsi="宋体" w:eastAsia="宋体" w:cs="宋体"/>
                <w:color w:val="auto"/>
                <w:szCs w:val="21"/>
                <w:lang w:val="en-US" w:eastAsia="zh-CN"/>
              </w:rPr>
            </w:pPr>
            <w:r>
              <w:rPr>
                <w:rFonts w:hint="eastAsia" w:ascii="宋体" w:hAnsi="宋体" w:cs="宋体"/>
                <w:color w:val="auto"/>
                <w:szCs w:val="21"/>
              </w:rPr>
              <w:t>投标人自2019年1月1日至今</w:t>
            </w:r>
            <w:r>
              <w:rPr>
                <w:rFonts w:hint="eastAsia" w:ascii="Calibri" w:hAnsi="Calibri"/>
                <w:color w:val="auto"/>
              </w:rPr>
              <w:t>承担过与本项目内容相匹配（党政机关、三级以上医院、四星以上宾馆、大中小学、餐饮公司、企业）的类似项目业绩，提供合同复印件、服务单位盖章的意见反馈证明，缺一项不得分，每提供1个单位</w:t>
            </w:r>
            <w:r>
              <w:rPr>
                <w:rFonts w:ascii="Calibri" w:hAnsi="Calibri"/>
                <w:color w:val="auto"/>
              </w:rPr>
              <w:t>的</w:t>
            </w:r>
            <w:r>
              <w:rPr>
                <w:rFonts w:hint="eastAsia" w:ascii="Calibri" w:hAnsi="Calibri"/>
                <w:color w:val="auto"/>
              </w:rPr>
              <w:t>有效证明材料得</w:t>
            </w:r>
            <w:r>
              <w:rPr>
                <w:rFonts w:ascii="Calibri" w:hAnsi="Calibri"/>
                <w:color w:val="auto"/>
              </w:rPr>
              <w:t>2</w:t>
            </w:r>
            <w:r>
              <w:rPr>
                <w:rFonts w:hint="eastAsia" w:ascii="Calibri" w:hAnsi="Calibri"/>
                <w:color w:val="auto"/>
              </w:rPr>
              <w:t>分。（以合同签订时间为准，同一单位不重复得分）</w:t>
            </w:r>
            <w:r>
              <w:rPr>
                <w:rFonts w:hint="eastAsia" w:ascii="Calibri" w:hAnsi="Calibri"/>
                <w:color w:val="auto"/>
                <w:lang w:eastAsia="zh-CN"/>
              </w:rPr>
              <w:t>（</w:t>
            </w:r>
            <w:r>
              <w:rPr>
                <w:rFonts w:hint="eastAsia" w:ascii="Calibri" w:hAnsi="Calibri"/>
                <w:color w:val="auto"/>
                <w:lang w:val="en-US" w:eastAsia="zh-CN"/>
              </w:rPr>
              <w:t>10分）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005" w:type="dxa"/>
            <w:vMerge w:val="continue"/>
            <w:tcBorders>
              <w:left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left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hint="eastAsia" w:asciiTheme="minorEastAsia" w:hAnsiTheme="minorEastAsia" w:eastAsiaTheme="minorEastAsia" w:cstheme="minorEastAsia"/>
                <w:color w:val="000000" w:themeColor="text1"/>
                <w:kern w:val="0"/>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13</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1.有完善的管理方案和举措（含食材卫生安全保障机制、质量保障机制、配送业务操作流程等）根据投标人提供的材料横向对比，优秀</w:t>
            </w:r>
            <w:r>
              <w:rPr>
                <w:rFonts w:hint="eastAsia" w:ascii="宋体" w:hAnsi="宋体" w:cs="宋体"/>
                <w:szCs w:val="21"/>
                <w:lang w:val="en-US" w:eastAsia="zh-CN"/>
              </w:rPr>
              <w:t>5</w:t>
            </w:r>
            <w:r>
              <w:rPr>
                <w:rFonts w:hint="eastAsia" w:ascii="宋体" w:hAnsi="宋体" w:cs="宋体"/>
                <w:szCs w:val="21"/>
              </w:rPr>
              <w:t>分，良好3-</w:t>
            </w:r>
            <w:r>
              <w:rPr>
                <w:rFonts w:hint="eastAsia" w:ascii="宋体" w:hAnsi="宋体" w:cs="宋体"/>
                <w:szCs w:val="21"/>
                <w:lang w:val="en-US" w:eastAsia="zh-CN"/>
              </w:rPr>
              <w:t>4</w:t>
            </w:r>
            <w:r>
              <w:rPr>
                <w:rFonts w:hint="eastAsia" w:ascii="宋体" w:hAnsi="宋体" w:cs="宋体"/>
                <w:szCs w:val="21"/>
              </w:rPr>
              <w:t>分，一般1-2分，没有得0分；（</w:t>
            </w:r>
            <w:r>
              <w:rPr>
                <w:rFonts w:hint="eastAsia" w:ascii="宋体" w:hAnsi="宋体" w:cs="宋体"/>
                <w:szCs w:val="21"/>
                <w:lang w:val="en-US" w:eastAsia="zh-CN"/>
              </w:rPr>
              <w:t>5</w:t>
            </w:r>
            <w:r>
              <w:rPr>
                <w:rFonts w:hint="eastAsia" w:ascii="宋体" w:hAnsi="宋体" w:cs="宋体"/>
                <w:szCs w:val="21"/>
              </w:rPr>
              <w:t>分）</w:t>
            </w:r>
          </w:p>
          <w:p>
            <w:pPr>
              <w:tabs>
                <w:tab w:val="left" w:pos="464"/>
              </w:tabs>
              <w:rPr>
                <w:rFonts w:ascii="宋体" w:hAnsi="宋体" w:cs="宋体"/>
                <w:szCs w:val="21"/>
              </w:rPr>
            </w:pPr>
            <w:r>
              <w:rPr>
                <w:rFonts w:hint="eastAsia" w:ascii="宋体" w:hAnsi="宋体" w:cs="宋体"/>
                <w:szCs w:val="21"/>
              </w:rPr>
              <w:t>2.根据投标人提供的应急处理的实施方案综合评分根据投标人提供的材料横向对比，优秀</w:t>
            </w:r>
            <w:r>
              <w:rPr>
                <w:rFonts w:hint="eastAsia" w:ascii="宋体" w:hAnsi="宋体" w:cs="宋体"/>
                <w:szCs w:val="21"/>
                <w:lang w:val="en-US" w:eastAsia="zh-CN"/>
              </w:rPr>
              <w:t>5</w:t>
            </w:r>
            <w:r>
              <w:rPr>
                <w:rFonts w:hint="eastAsia" w:ascii="宋体" w:hAnsi="宋体" w:cs="宋体"/>
                <w:szCs w:val="21"/>
              </w:rPr>
              <w:t>分，良好3-</w:t>
            </w:r>
            <w:r>
              <w:rPr>
                <w:rFonts w:hint="eastAsia" w:ascii="宋体" w:hAnsi="宋体" w:cs="宋体"/>
                <w:szCs w:val="21"/>
                <w:lang w:val="en-US" w:eastAsia="zh-CN"/>
              </w:rPr>
              <w:t>4</w:t>
            </w:r>
            <w:r>
              <w:rPr>
                <w:rFonts w:hint="eastAsia" w:ascii="宋体" w:hAnsi="宋体" w:cs="宋体"/>
                <w:szCs w:val="21"/>
              </w:rPr>
              <w:t>分，一般1-2分，没有得0分；（</w:t>
            </w:r>
            <w:r>
              <w:rPr>
                <w:rFonts w:hint="eastAsia" w:ascii="宋体" w:hAnsi="宋体" w:cs="宋体"/>
                <w:szCs w:val="21"/>
                <w:lang w:val="en-US" w:eastAsia="zh-CN"/>
              </w:rPr>
              <w:t>5</w:t>
            </w:r>
            <w:r>
              <w:rPr>
                <w:rFonts w:hint="eastAsia" w:ascii="宋体" w:hAnsi="宋体" w:cs="宋体"/>
                <w:szCs w:val="21"/>
              </w:rPr>
              <w:t>分）</w:t>
            </w:r>
          </w:p>
          <w:p>
            <w:pPr>
              <w:tabs>
                <w:tab w:val="left" w:pos="464"/>
              </w:tabs>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3.本地化服务方案，</w:t>
            </w:r>
            <w:r>
              <w:rPr>
                <w:rFonts w:hint="eastAsia" w:ascii="宋体" w:hAnsi="宋体" w:cs="宋体"/>
                <w:szCs w:val="21"/>
              </w:rPr>
              <w:t>根据投标人提供的材料横向对比，优秀3分，良好2分，一般1分，没有不得分</w:t>
            </w:r>
            <w:r>
              <w:rPr>
                <w:rFonts w:hint="eastAsia" w:ascii="宋体" w:hAnsi="宋体" w:cs="宋体"/>
                <w:color w:val="000000" w:themeColor="text1"/>
                <w:kern w:val="0"/>
                <w:szCs w:val="21"/>
                <w14:textFill>
                  <w14:solidFill>
                    <w14:schemeClr w14:val="tx1"/>
                  </w14:solidFill>
                </w14:textFill>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005" w:type="dxa"/>
            <w:vMerge w:val="continue"/>
            <w:tcBorders>
              <w:left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left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疫情防控</w:t>
            </w:r>
          </w:p>
          <w:p>
            <w:pPr>
              <w:widowControl/>
              <w:spacing w:line="340" w:lineRule="exact"/>
              <w:jc w:val="center"/>
              <w:rPr>
                <w:rFonts w:hint="eastAsia" w:eastAsia="宋体" w:asciiTheme="minorEastAsia" w:hAnsiTheme="minorEastAsia" w:cstheme="minorEastAsia"/>
                <w:color w:val="000000" w:themeColor="text1"/>
                <w:kern w:val="0"/>
                <w:sz w:val="21"/>
                <w:szCs w:val="21"/>
                <w:lang w:val="en-US" w:eastAsia="zh-CN" w:bidi="ar-SA"/>
                <w14:textFill>
                  <w14:solidFill>
                    <w14:schemeClr w14:val="tx1"/>
                  </w14:solidFill>
                </w14:textFill>
              </w:rPr>
            </w:pPr>
            <w:r>
              <w:rPr>
                <w:rFonts w:hint="eastAsia" w:ascii="宋体" w:hAnsi="宋体" w:cs="宋体"/>
                <w:szCs w:val="21"/>
              </w:rPr>
              <w:t>(2分）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s="宋体"/>
                <w:bCs/>
                <w:szCs w:val="21"/>
              </w:rPr>
              <w:t>投标人提供切合实际、行之有效的疫情防控应急配送方案。</w:t>
            </w:r>
            <w:r>
              <w:rPr>
                <w:rFonts w:hint="eastAsia" w:ascii="宋体" w:hAnsi="宋体" w:cs="宋体"/>
                <w:szCs w:val="21"/>
              </w:rPr>
              <w:t>优秀2分，良好1分，一般得0.5分。（2分）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005" w:type="dxa"/>
            <w:vMerge w:val="continue"/>
            <w:tcBorders>
              <w:left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left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样品</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14</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color w:val="000000" w:themeColor="text1"/>
                <w:kern w:val="0"/>
                <w:szCs w:val="21"/>
                <w14:textFill>
                  <w14:solidFill>
                    <w14:schemeClr w14:val="tx1"/>
                  </w14:solidFill>
                </w14:textFill>
              </w:rPr>
            </w:pPr>
            <w:r>
              <w:rPr>
                <w:rFonts w:hint="eastAsia" w:ascii="宋体" w:hAnsi="宋体" w:cs="宋体"/>
                <w:color w:val="000000"/>
                <w:szCs w:val="21"/>
              </w:rPr>
              <w:t>样品（面条3种，皮子2种，每少一种扣1分）5分。表面结构细密、光滑情况0</w:t>
            </w:r>
            <w:r>
              <w:rPr>
                <w:rFonts w:ascii="宋体" w:hAnsi="宋体" w:cs="宋体"/>
                <w:color w:val="000000"/>
                <w:szCs w:val="21"/>
              </w:rPr>
              <w:t>-</w:t>
            </w:r>
            <w:r>
              <w:rPr>
                <w:rFonts w:hint="eastAsia" w:ascii="宋体" w:hAnsi="宋体" w:cs="宋体"/>
                <w:color w:val="000000"/>
                <w:szCs w:val="21"/>
                <w:lang w:val="en-US" w:eastAsia="zh-CN"/>
              </w:rPr>
              <w:t>3</w:t>
            </w:r>
            <w:r>
              <w:rPr>
                <w:rFonts w:hint="eastAsia" w:ascii="宋体" w:hAnsi="宋体" w:cs="宋体"/>
                <w:color w:val="000000"/>
                <w:szCs w:val="21"/>
              </w:rPr>
              <w:t>分；富有弹性情况0-</w:t>
            </w:r>
            <w:r>
              <w:rPr>
                <w:rFonts w:hint="eastAsia" w:ascii="宋体" w:hAnsi="宋体" w:cs="宋体"/>
                <w:color w:val="000000"/>
                <w:szCs w:val="21"/>
                <w:lang w:val="en-US" w:eastAsia="zh-CN"/>
              </w:rPr>
              <w:t>3</w:t>
            </w:r>
            <w:r>
              <w:rPr>
                <w:rFonts w:hint="eastAsia" w:ascii="宋体" w:hAnsi="宋体" w:cs="宋体"/>
                <w:color w:val="000000"/>
                <w:szCs w:val="21"/>
              </w:rPr>
              <w:t>分；具有麦香味情况0-</w:t>
            </w:r>
            <w:r>
              <w:rPr>
                <w:rFonts w:hint="eastAsia" w:ascii="宋体" w:hAnsi="宋体" w:cs="宋体"/>
                <w:color w:val="000000"/>
                <w:szCs w:val="21"/>
                <w:lang w:val="en-US" w:eastAsia="zh-CN"/>
              </w:rPr>
              <w:t>3</w:t>
            </w:r>
            <w:r>
              <w:rPr>
                <w:rFonts w:hint="eastAsia" w:ascii="宋体" w:hAnsi="宋体" w:cs="宋体"/>
                <w:color w:val="000000"/>
                <w:szCs w:val="21"/>
              </w:rPr>
              <w:t>分。（根据提供样品打分）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005" w:type="dxa"/>
            <w:vMerge w:val="continue"/>
            <w:tcBorders>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hint="eastAsia" w:asciiTheme="minorEastAsia" w:hAnsiTheme="minorEastAsia" w:eastAsiaTheme="minorEastAsia" w:cstheme="minorEastAsia"/>
                <w:color w:val="000000" w:themeColor="text1"/>
                <w:kern w:val="0"/>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asciiTheme="minorEastAsia" w:hAnsiTheme="minorEastAsia" w:eastAsiaTheme="minorEastAsia" w:cstheme="minorEastAsia"/>
                <w:color w:val="000000" w:themeColor="text1"/>
                <w:kern w:val="0"/>
                <w:sz w:val="21"/>
                <w:szCs w:val="21"/>
                <w:lang w:val="en-US" w:eastAsia="zh-CN" w:bidi="ar-SA"/>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rFonts w:hint="eastAsia"/>
          <w:color w:val="auto"/>
          <w:sz w:val="24"/>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按照得分高低顺序对投标人进行排列。排名在入围数之内（含入围数）的投标人将</w:t>
      </w:r>
      <w:r>
        <w:rPr>
          <w:rFonts w:hint="eastAsia"/>
          <w:color w:val="000000" w:themeColor="text1"/>
          <w:sz w:val="24"/>
          <w14:textFill>
            <w14:solidFill>
              <w14:schemeClr w14:val="tx1"/>
            </w14:solidFill>
          </w14:textFill>
        </w:rPr>
        <w:t>被推荐为中标候选人或者直接被确定为中标人。得分相同的，按投标报价由低到高顺序排列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w:t>
      </w:r>
      <w:r>
        <w:rPr>
          <w:rFonts w:hint="eastAsia"/>
          <w:color w:val="auto"/>
          <w:sz w:val="24"/>
          <w:lang w:eastAsia="zh-CN"/>
        </w:rPr>
        <w:t>样品</w:t>
      </w:r>
      <w:r>
        <w:rPr>
          <w:rFonts w:hint="eastAsia"/>
          <w:color w:val="auto"/>
          <w:sz w:val="24"/>
        </w:rPr>
        <w:t>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jc w:val="center"/>
        <w:rPr>
          <w:color w:val="000000" w:themeColor="text1"/>
          <w14:textFill>
            <w14:solidFill>
              <w14:schemeClr w14:val="tx1"/>
            </w14:solidFill>
          </w14:textFill>
        </w:rPr>
      </w:pPr>
      <w:r>
        <w:rPr>
          <w:rFonts w:ascii="宋体"/>
          <w:color w:val="000000" w:themeColor="text1"/>
          <w:spacing w:val="4"/>
          <w14:textFill>
            <w14:solidFill>
              <w14:schemeClr w14:val="tx1"/>
            </w14:solidFill>
          </w14:textFill>
        </w:rPr>
        <w:br w:type="page"/>
      </w:r>
      <w:bookmarkStart w:id="14" w:name="_Toc73516690"/>
      <w:r>
        <w:rPr>
          <w:rFonts w:hint="eastAsia"/>
          <w:color w:val="000000" w:themeColor="text1"/>
          <w14:textFill>
            <w14:solidFill>
              <w14:schemeClr w14:val="tx1"/>
            </w14:solidFill>
          </w14:textFill>
        </w:rPr>
        <w:t>第三部分招标货物要求及相关说明</w:t>
      </w:r>
      <w:bookmarkEnd w:id="14"/>
    </w:p>
    <w:p>
      <w:pPr>
        <w:widowControl/>
        <w:spacing w:line="440" w:lineRule="exact"/>
        <w:ind w:firstLine="482" w:firstLineChars="200"/>
        <w:jc w:val="left"/>
        <w:rPr>
          <w:rFonts w:ascii="宋体" w:hAnsi="宋体" w:cs="宋体"/>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1.面制品水分适中、粗细均匀、不粘连、新鲜；</w:t>
      </w:r>
    </w:p>
    <w:p>
      <w:pPr>
        <w:spacing w:line="440" w:lineRule="exact"/>
        <w:ind w:firstLine="480" w:firstLineChars="200"/>
        <w:rPr>
          <w:rFonts w:ascii="宋体" w:hAnsi="宋体" w:cs="宋体"/>
          <w:kern w:val="0"/>
          <w:sz w:val="24"/>
        </w:rPr>
      </w:pPr>
      <w:r>
        <w:rPr>
          <w:rFonts w:hint="eastAsia" w:ascii="宋体" w:hAnsi="宋体" w:cs="宋体"/>
          <w:kern w:val="0"/>
          <w:sz w:val="24"/>
        </w:rPr>
        <w:t>2.具有固有色泽和香味，无污染、色泽光亮、气味、适口性好（软硬适中），无异味或霉味（霉变），无杂质异物等；</w:t>
      </w:r>
    </w:p>
    <w:p>
      <w:pPr>
        <w:spacing w:line="440" w:lineRule="exact"/>
        <w:ind w:firstLine="480" w:firstLineChars="200"/>
        <w:rPr>
          <w:rFonts w:hint="default" w:eastAsia="宋体"/>
          <w:lang w:val="en-US" w:eastAsia="zh-CN"/>
        </w:rPr>
      </w:pPr>
      <w:r>
        <w:rPr>
          <w:rFonts w:hint="eastAsia" w:ascii="宋体" w:hAnsi="宋体"/>
          <w:sz w:val="24"/>
        </w:rPr>
        <w:t>3.有咬劲、富有弹性，咀嚼时爽口不粘牙，具有麦香味；</w:t>
      </w:r>
    </w:p>
    <w:p>
      <w:pPr>
        <w:spacing w:line="440" w:lineRule="exact"/>
        <w:ind w:firstLine="480" w:firstLineChars="200"/>
        <w:rPr>
          <w:rFonts w:hint="default" w:eastAsia="宋体"/>
          <w:lang w:val="en-US" w:eastAsia="zh-CN"/>
        </w:rPr>
      </w:pPr>
      <w:r>
        <w:rPr>
          <w:rFonts w:hint="eastAsia" w:ascii="宋体" w:hAnsi="宋体"/>
          <w:sz w:val="24"/>
          <w:lang w:val="en-US" w:eastAsia="zh-CN"/>
        </w:rPr>
        <w:t>4</w:t>
      </w:r>
      <w:r>
        <w:rPr>
          <w:rFonts w:hint="eastAsia" w:ascii="宋体" w:hAnsi="宋体"/>
          <w:sz w:val="24"/>
        </w:rPr>
        <w:t>.</w:t>
      </w:r>
      <w:r>
        <w:rPr>
          <w:rFonts w:hint="eastAsia" w:ascii="宋体" w:hAnsi="宋体"/>
          <w:sz w:val="24"/>
          <w:lang w:eastAsia="zh-CN"/>
        </w:rPr>
        <w:t>符合食品安全质量要求</w:t>
      </w:r>
      <w:r>
        <w:rPr>
          <w:rFonts w:hint="eastAsia" w:ascii="宋体" w:hAnsi="宋体"/>
          <w:sz w:val="24"/>
        </w:rPr>
        <w:t>；</w:t>
      </w:r>
    </w:p>
    <w:p>
      <w:pPr>
        <w:keepNext/>
        <w:keepLines/>
        <w:spacing w:line="440" w:lineRule="exact"/>
        <w:ind w:left="425"/>
        <w:jc w:val="left"/>
        <w:rPr>
          <w:sz w:val="24"/>
        </w:rPr>
      </w:pPr>
      <w:r>
        <w:rPr>
          <w:rFonts w:hint="eastAsia"/>
          <w:b/>
          <w:bCs/>
          <w:sz w:val="24"/>
        </w:rPr>
        <w:t>二、样品要求</w:t>
      </w:r>
    </w:p>
    <w:p>
      <w:pPr>
        <w:spacing w:line="440" w:lineRule="exact"/>
        <w:ind w:firstLine="480" w:firstLineChars="200"/>
        <w:rPr>
          <w:rFonts w:ascii="宋体" w:hAnsi="宋体" w:cs="宋体"/>
          <w:sz w:val="24"/>
        </w:rPr>
      </w:pPr>
      <w:r>
        <w:rPr>
          <w:rFonts w:hint="eastAsia" w:ascii="宋体" w:hAnsi="宋体" w:cs="宋体"/>
          <w:sz w:val="24"/>
        </w:rPr>
        <w:t>面制品样品3斤/品种，面条3种分别为细面、宽面（宽度1cm)、手擀面，皮子2种分别为馄饨皮（7×7cm，120张左右/斤）、烧卖皮:（直径12cm，25张左右/斤 ）。</w:t>
      </w:r>
    </w:p>
    <w:p>
      <w:pPr>
        <w:widowControl/>
        <w:spacing w:line="440" w:lineRule="exact"/>
        <w:ind w:firstLine="482" w:firstLineChars="200"/>
        <w:jc w:val="left"/>
        <w:rPr>
          <w:rFonts w:ascii="宋体" w:hAnsi="宋体" w:cs="宋体"/>
          <w:kern w:val="0"/>
          <w:sz w:val="24"/>
        </w:rPr>
      </w:pPr>
      <w:r>
        <w:rPr>
          <w:rFonts w:hint="eastAsia" w:ascii="宋体" w:hAnsi="宋体" w:cs="宋体"/>
          <w:b/>
          <w:kern w:val="0"/>
          <w:sz w:val="24"/>
        </w:rPr>
        <w:t>三、有关说明</w:t>
      </w:r>
    </w:p>
    <w:p>
      <w:pPr>
        <w:spacing w:line="440" w:lineRule="exact"/>
        <w:ind w:firstLine="480" w:firstLineChars="200"/>
        <w:rPr>
          <w:rFonts w:ascii="宋体" w:hAnsi="宋体" w:cs="宋体"/>
          <w:kern w:val="0"/>
          <w:sz w:val="24"/>
        </w:rPr>
      </w:pPr>
      <w:r>
        <w:rPr>
          <w:rFonts w:hint="eastAsia" w:ascii="宋体" w:hAnsi="宋体" w:cs="宋体"/>
          <w:kern w:val="0"/>
          <w:sz w:val="24"/>
        </w:rPr>
        <w:t>1.投标报价包括成本、包装、运输、上下力、保险、利润、税金、政策性规费以及所有风险。</w:t>
      </w:r>
    </w:p>
    <w:p>
      <w:pPr>
        <w:widowControl/>
        <w:spacing w:line="440" w:lineRule="exact"/>
        <w:ind w:firstLine="480" w:firstLineChars="200"/>
        <w:jc w:val="left"/>
        <w:rPr>
          <w:rFonts w:ascii="宋体" w:hAnsi="宋体" w:cs="宋体"/>
          <w:sz w:val="24"/>
        </w:rPr>
      </w:pPr>
      <w:r>
        <w:rPr>
          <w:rFonts w:hint="eastAsia" w:ascii="宋体" w:hAnsi="宋体" w:cs="宋体"/>
          <w:kern w:val="0"/>
          <w:sz w:val="24"/>
        </w:rPr>
        <w:t>2.</w:t>
      </w:r>
      <w:r>
        <w:rPr>
          <w:rFonts w:hint="eastAsia" w:ascii="宋体" w:hAnsi="宋体" w:cs="宋体"/>
          <w:color w:val="333333"/>
          <w:sz w:val="24"/>
          <w:shd w:val="clear" w:color="auto" w:fill="FFFFFF"/>
        </w:rPr>
        <w:t>实行每周定价，具体</w:t>
      </w:r>
      <w:r>
        <w:rPr>
          <w:rFonts w:hint="eastAsia" w:ascii="宋体" w:hAnsi="宋体" w:cs="宋体"/>
          <w:sz w:val="24"/>
        </w:rPr>
        <w:t>以星期一南通市发展改革委员会网站（</w:t>
      </w:r>
      <w:r>
        <w:rPr>
          <w:rFonts w:asciiTheme="majorEastAsia" w:hAnsiTheme="majorEastAsia" w:eastAsiaTheme="majorEastAsia"/>
          <w:color w:val="auto"/>
        </w:rPr>
        <w:t>http://fgw.nantong.gov.cn/ntsfgw/zfspjg/zfspjg.html</w:t>
      </w:r>
      <w:r>
        <w:rPr>
          <w:rFonts w:hint="eastAsia" w:ascii="宋体" w:hAnsi="宋体" w:cs="宋体"/>
          <w:sz w:val="24"/>
        </w:rPr>
        <w:t>）公布的“市场价格”栏“主副食品价格”的南通市区部分市场主副食品价格平均价*（1—下浮率），如星期一遇国家法定节假日顺延至节假日后的第一个工作日</w:t>
      </w:r>
      <w:r>
        <w:rPr>
          <w:rFonts w:hint="eastAsia" w:ascii="宋体" w:hAnsi="宋体" w:cs="宋体"/>
          <w:color w:val="000000"/>
          <w:sz w:val="24"/>
          <w:shd w:val="clear" w:color="auto" w:fill="FFFFFF"/>
        </w:rPr>
        <w:t>调整。</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3.供货周期：20</w:t>
      </w:r>
      <w:r>
        <w:rPr>
          <w:rFonts w:ascii="宋体" w:hAnsi="宋体" w:cs="宋体"/>
          <w:kern w:val="0"/>
          <w:sz w:val="24"/>
        </w:rPr>
        <w:t>2</w:t>
      </w:r>
      <w:r>
        <w:rPr>
          <w:rFonts w:hint="eastAsia" w:ascii="宋体" w:hAnsi="宋体" w:cs="宋体"/>
          <w:kern w:val="0"/>
          <w:sz w:val="24"/>
        </w:rPr>
        <w:t>2年</w:t>
      </w:r>
      <w:r>
        <w:rPr>
          <w:rFonts w:ascii="宋体" w:hAnsi="宋体" w:cs="宋体"/>
          <w:kern w:val="0"/>
          <w:sz w:val="24"/>
        </w:rPr>
        <w:t>8</w:t>
      </w:r>
      <w:r>
        <w:rPr>
          <w:rFonts w:hint="eastAsia" w:ascii="宋体" w:hAnsi="宋体" w:cs="宋体"/>
          <w:kern w:val="0"/>
          <w:sz w:val="24"/>
        </w:rPr>
        <w:t>月26日-2023年8月25日。</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4.送货时间：根据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次日早上7点30分前送至各校区食堂。5.送货地点：启秀校区食堂（启秀路19号）、钟秀校区食堂（外环东路999号）、啬园校区食堂（啬园路9号）、启东校区食堂（启东高新区南海路1号）。</w:t>
      </w:r>
    </w:p>
    <w:p>
      <w:pPr>
        <w:widowControl/>
        <w:spacing w:line="440" w:lineRule="exact"/>
        <w:ind w:firstLine="480" w:firstLineChars="200"/>
        <w:jc w:val="left"/>
        <w:rPr>
          <w:rFonts w:ascii="宋体" w:hAnsi="宋体" w:cs="宋体"/>
          <w:kern w:val="0"/>
          <w:sz w:val="24"/>
        </w:rPr>
      </w:pPr>
      <w:r>
        <w:rPr>
          <w:rFonts w:hint="eastAsia" w:ascii="宋体" w:hAnsi="宋体"/>
          <w:kern w:val="0"/>
          <w:sz w:val="24"/>
        </w:rPr>
        <w:t>6</w:t>
      </w:r>
      <w:r>
        <w:rPr>
          <w:rFonts w:ascii="宋体" w:hAnsi="宋体" w:cs="宋体"/>
          <w:kern w:val="0"/>
          <w:sz w:val="24"/>
        </w:rPr>
        <w:t>.</w:t>
      </w:r>
      <w:r>
        <w:rPr>
          <w:rFonts w:hint="eastAsia" w:ascii="宋体" w:hAnsi="宋体" w:cs="宋体"/>
          <w:kern w:val="0"/>
          <w:sz w:val="24"/>
        </w:rPr>
        <w:t>凡本次中标的商家须交纳规定的合同履约保证金为3万元；合同期满，无任何违约、纠纷等，则无息退还。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7.投标品种应与经营范围相符。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8.投标人必须保证满足“投标主体、合同主体、送货主体与货款结算主体”四个一致的要求，不得违背。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9.所供货物经饮服中心各校区食堂验收、使用确认无质量问题后，按照供货周期（每月的26日至次月的25日为一个供货周期）开具正式发票，经过学校报销手续后，按照合同约定方式结算。</w:t>
      </w:r>
    </w:p>
    <w:p>
      <w:pPr>
        <w:spacing w:line="360" w:lineRule="auto"/>
        <w:ind w:firstLine="480" w:firstLineChars="200"/>
        <w:rPr>
          <w:rFonts w:asciiTheme="minorEastAsia" w:hAnsiTheme="minorEastAsia" w:eastAsiaTheme="minorEastAsia"/>
          <w:b/>
          <w:color w:val="000000" w:themeColor="text1"/>
          <w:sz w:val="24"/>
          <w14:textFill>
            <w14:solidFill>
              <w14:schemeClr w14:val="tx1"/>
            </w14:solidFill>
          </w14:textFill>
        </w:rPr>
      </w:pPr>
      <w:r>
        <w:rPr>
          <w:rFonts w:hint="eastAsia" w:ascii="宋体" w:hAnsi="宋体" w:cs="宋体"/>
          <w:kern w:val="0"/>
          <w:sz w:val="24"/>
        </w:rPr>
        <w:t>10</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p>
    <w:p>
      <w:pPr>
        <w:pStyle w:val="3"/>
        <w:jc w:val="center"/>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ascii="宋体" w:hAnsi="宋体"/>
          <w:b/>
          <w:sz w:val="24"/>
        </w:rPr>
      </w:pPr>
      <w:bookmarkStart w:id="16"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rPr>
        <w:t>2年8月26日起至2023年8月25日止。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r>
        <w:rPr>
          <w:rFonts w:hint="eastAsia" w:ascii="宋体" w:hAnsi="宋体"/>
          <w:sz w:val="24"/>
        </w:rPr>
        <w:t>附件7：食堂原料供货商周期竞价供货实施细则</w:t>
      </w: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17"/>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pgSz w:w="11906" w:h="16838"/>
          <w:pgMar w:top="1440" w:right="1077" w:bottom="1440" w:left="1077" w:header="851" w:footer="992" w:gutter="0"/>
          <w:cols w:space="425" w:num="1"/>
          <w:titlePg/>
          <w:docGrid w:linePitch="312" w:charSpace="0"/>
        </w:sectPr>
      </w:pPr>
    </w:p>
    <w:p>
      <w:pPr>
        <w:rPr>
          <w:bCs/>
          <w:szCs w:val="21"/>
        </w:rPr>
      </w:pPr>
      <w:bookmarkStart w:id="18" w:name="_Toc73516695"/>
      <w:r>
        <w:rPr>
          <w:rFonts w:hint="eastAsia"/>
          <w:color w:val="000000" w:themeColor="text1"/>
          <w:szCs w:val="21"/>
          <w14:textFill>
            <w14:solidFill>
              <w14:schemeClr w14:val="tx1"/>
            </w14:solidFill>
          </w14:textFill>
        </w:rPr>
        <w:t>附件</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w:t>
      </w:r>
      <w:bookmarkEnd w:id="18"/>
      <w:r>
        <w:rPr>
          <w:rFonts w:hint="eastAsia"/>
          <w:bCs/>
          <w:szCs w:val="21"/>
        </w:rPr>
        <w:t>面品报价单</w:t>
      </w:r>
    </w:p>
    <w:p>
      <w:pPr>
        <w:rPr>
          <w:bCs/>
          <w:szCs w:val="21"/>
        </w:rPr>
      </w:pPr>
    </w:p>
    <w:p>
      <w:pPr>
        <w:jc w:val="center"/>
      </w:pPr>
      <w:r>
        <w:rPr>
          <w:rFonts w:hint="eastAsia"/>
          <w:b/>
          <w:sz w:val="36"/>
          <w:szCs w:val="36"/>
        </w:rPr>
        <w:t>面制品报价单</w:t>
      </w:r>
    </w:p>
    <w:tbl>
      <w:tblPr>
        <w:tblStyle w:val="27"/>
        <w:tblW w:w="89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2073"/>
        <w:gridCol w:w="1335"/>
        <w:gridCol w:w="2580"/>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trPr>
        <w:tc>
          <w:tcPr>
            <w:tcW w:w="1596" w:type="dxa"/>
            <w:vAlign w:val="center"/>
          </w:tcPr>
          <w:p>
            <w:pPr>
              <w:tabs>
                <w:tab w:val="left" w:pos="2280"/>
              </w:tabs>
              <w:jc w:val="center"/>
              <w:rPr>
                <w:sz w:val="30"/>
                <w:szCs w:val="30"/>
              </w:rPr>
            </w:pPr>
            <w:r>
              <w:rPr>
                <w:rFonts w:hint="eastAsia"/>
                <w:sz w:val="30"/>
                <w:szCs w:val="30"/>
              </w:rPr>
              <w:t>品名</w:t>
            </w:r>
          </w:p>
        </w:tc>
        <w:tc>
          <w:tcPr>
            <w:tcW w:w="2073" w:type="dxa"/>
            <w:vAlign w:val="center"/>
          </w:tcPr>
          <w:p>
            <w:pPr>
              <w:tabs>
                <w:tab w:val="left" w:pos="2280"/>
              </w:tabs>
              <w:jc w:val="center"/>
              <w:rPr>
                <w:sz w:val="30"/>
                <w:szCs w:val="30"/>
              </w:rPr>
            </w:pPr>
            <w:r>
              <w:rPr>
                <w:rFonts w:hint="eastAsia"/>
                <w:sz w:val="30"/>
                <w:szCs w:val="30"/>
              </w:rPr>
              <w:t>基本要求</w:t>
            </w:r>
          </w:p>
        </w:tc>
        <w:tc>
          <w:tcPr>
            <w:tcW w:w="1335" w:type="dxa"/>
            <w:vAlign w:val="center"/>
          </w:tcPr>
          <w:p>
            <w:pPr>
              <w:tabs>
                <w:tab w:val="left" w:pos="2280"/>
              </w:tabs>
              <w:jc w:val="center"/>
              <w:rPr>
                <w:sz w:val="30"/>
                <w:szCs w:val="30"/>
              </w:rPr>
            </w:pPr>
            <w:r>
              <w:rPr>
                <w:rFonts w:hint="eastAsia"/>
                <w:sz w:val="30"/>
                <w:szCs w:val="30"/>
              </w:rPr>
              <w:t>单位</w:t>
            </w:r>
          </w:p>
        </w:tc>
        <w:tc>
          <w:tcPr>
            <w:tcW w:w="2580" w:type="dxa"/>
            <w:vAlign w:val="center"/>
          </w:tcPr>
          <w:p>
            <w:pPr>
              <w:tabs>
                <w:tab w:val="left" w:pos="2280"/>
              </w:tabs>
              <w:jc w:val="center"/>
              <w:rPr>
                <w:sz w:val="30"/>
                <w:szCs w:val="30"/>
              </w:rPr>
            </w:pPr>
            <w:r>
              <w:rPr>
                <w:rFonts w:hint="eastAsia"/>
                <w:sz w:val="30"/>
                <w:szCs w:val="30"/>
              </w:rPr>
              <w:t>承诺下浮率</w:t>
            </w:r>
          </w:p>
        </w:tc>
        <w:tc>
          <w:tcPr>
            <w:tcW w:w="1380" w:type="dxa"/>
            <w:vAlign w:val="center"/>
          </w:tcPr>
          <w:p>
            <w:pPr>
              <w:tabs>
                <w:tab w:val="left" w:pos="2280"/>
              </w:tabs>
              <w:jc w:val="center"/>
              <w:rPr>
                <w:sz w:val="30"/>
                <w:szCs w:val="30"/>
              </w:rPr>
            </w:pPr>
            <w:r>
              <w:rPr>
                <w:rFonts w:hint="eastAsia"/>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trPr>
        <w:tc>
          <w:tcPr>
            <w:tcW w:w="1596" w:type="dxa"/>
            <w:vAlign w:val="center"/>
          </w:tcPr>
          <w:p>
            <w:pPr>
              <w:tabs>
                <w:tab w:val="left" w:pos="2280"/>
              </w:tabs>
              <w:jc w:val="center"/>
              <w:rPr>
                <w:sz w:val="24"/>
              </w:rPr>
            </w:pPr>
            <w:r>
              <w:rPr>
                <w:rFonts w:hint="eastAsia"/>
                <w:sz w:val="24"/>
              </w:rPr>
              <w:t>面制品</w:t>
            </w:r>
          </w:p>
        </w:tc>
        <w:tc>
          <w:tcPr>
            <w:tcW w:w="2073" w:type="dxa"/>
            <w:vAlign w:val="center"/>
          </w:tcPr>
          <w:p>
            <w:pPr>
              <w:tabs>
                <w:tab w:val="left" w:pos="2280"/>
              </w:tabs>
              <w:jc w:val="center"/>
              <w:rPr>
                <w:sz w:val="24"/>
              </w:rPr>
            </w:pPr>
            <w:r>
              <w:rPr>
                <w:rFonts w:hint="eastAsia"/>
                <w:sz w:val="24"/>
              </w:rPr>
              <w:t>水分适中、粗细均匀、厚薄均匀、不粘连</w:t>
            </w:r>
          </w:p>
        </w:tc>
        <w:tc>
          <w:tcPr>
            <w:tcW w:w="1335" w:type="dxa"/>
            <w:vAlign w:val="center"/>
          </w:tcPr>
          <w:p>
            <w:pPr>
              <w:tabs>
                <w:tab w:val="left" w:pos="2280"/>
              </w:tabs>
              <w:jc w:val="center"/>
              <w:rPr>
                <w:sz w:val="24"/>
              </w:rPr>
            </w:pPr>
            <w:r>
              <w:rPr>
                <w:rFonts w:hint="eastAsia"/>
                <w:sz w:val="24"/>
              </w:rPr>
              <w:t>斤</w:t>
            </w:r>
          </w:p>
        </w:tc>
        <w:tc>
          <w:tcPr>
            <w:tcW w:w="2580" w:type="dxa"/>
            <w:vAlign w:val="center"/>
          </w:tcPr>
          <w:p>
            <w:pPr>
              <w:tabs>
                <w:tab w:val="left" w:pos="2280"/>
              </w:tabs>
              <w:jc w:val="center"/>
              <w:rPr>
                <w:sz w:val="24"/>
              </w:rPr>
            </w:pPr>
            <w:r>
              <w:rPr>
                <w:rFonts w:hint="eastAsia" w:ascii="新宋体" w:hAnsi="新宋体" w:eastAsia="新宋体"/>
                <w:sz w:val="24"/>
              </w:rPr>
              <w:t>下浮</w:t>
            </w:r>
            <w:r>
              <w:rPr>
                <w:rFonts w:hint="eastAsia" w:ascii="新宋体" w:hAnsi="新宋体" w:eastAsia="新宋体"/>
                <w:sz w:val="24"/>
                <w:u w:val="single"/>
              </w:rPr>
              <w:t xml:space="preserve">      </w:t>
            </w:r>
            <w:r>
              <w:rPr>
                <w:rFonts w:ascii="新宋体" w:hAnsi="新宋体" w:eastAsia="新宋体"/>
                <w:sz w:val="24"/>
              </w:rPr>
              <w:t>%</w:t>
            </w:r>
          </w:p>
        </w:tc>
        <w:tc>
          <w:tcPr>
            <w:tcW w:w="1380" w:type="dxa"/>
            <w:vAlign w:val="center"/>
          </w:tcPr>
          <w:p>
            <w:pPr>
              <w:tabs>
                <w:tab w:val="left" w:pos="2280"/>
              </w:tabs>
              <w:jc w:val="center"/>
              <w:rPr>
                <w:sz w:val="24"/>
              </w:rPr>
            </w:pPr>
          </w:p>
        </w:tc>
      </w:tr>
    </w:tbl>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3.若填写不全，商务标得分为零。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p>
    <w:p>
      <w:pPr>
        <w:widowControl/>
        <w:spacing w:line="300" w:lineRule="exact"/>
        <w:jc w:val="center"/>
        <w:rPr>
          <w:rFonts w:ascii="宋体" w:hAnsi="宋体" w:cs="宋体"/>
          <w:kern w:val="0"/>
          <w:sz w:val="24"/>
        </w:rPr>
      </w:pPr>
    </w:p>
    <w:p>
      <w:pPr>
        <w:rPr>
          <w:b/>
          <w:sz w:val="28"/>
          <w:szCs w:val="28"/>
        </w:rPr>
      </w:pPr>
    </w:p>
    <w:p>
      <w:pPr>
        <w:rPr>
          <w:bCs/>
          <w:szCs w:val="21"/>
        </w:rPr>
      </w:pP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p>
    <w:p>
      <w:bookmarkStart w:id="19" w:name="_Toc73516696"/>
    </w:p>
    <w:bookmarkEnd w:id="19"/>
    <w:p>
      <w:pPr>
        <w:pStyle w:val="4"/>
        <w:rPr>
          <w:b w:val="0"/>
          <w:color w:val="000000" w:themeColor="text1"/>
          <w:sz w:val="21"/>
          <w:szCs w:val="21"/>
          <w14:textFill>
            <w14:solidFill>
              <w14:schemeClr w14:val="tx1"/>
            </w14:solidFill>
          </w14:textFill>
        </w:rPr>
      </w:pPr>
      <w:bookmarkStart w:id="20" w:name="_Toc73516699"/>
      <w:bookmarkStart w:id="21" w:name="_Toc24632184"/>
      <w:r>
        <w:rPr>
          <w:rFonts w:hint="eastAsia"/>
          <w:b w:val="0"/>
          <w:color w:val="000000" w:themeColor="text1"/>
          <w:sz w:val="21"/>
          <w:szCs w:val="21"/>
          <w14:textFill>
            <w14:solidFill>
              <w14:schemeClr w14:val="tx1"/>
            </w14:solidFill>
          </w14:textFill>
        </w:rPr>
        <w:t>附件3：法定代表人资格证明</w:t>
      </w:r>
      <w:bookmarkEnd w:id="20"/>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2" w:name="_Toc24632185"/>
      <w:bookmarkStart w:id="23" w:name="_Toc73516700"/>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1312;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60288;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22"/>
      <w:bookmarkEnd w:id="23"/>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3360;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2336;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4" w:name="_Toc73516701"/>
      <w:r>
        <w:rPr>
          <w:rFonts w:hint="eastAsia"/>
          <w:b w:val="0"/>
          <w:color w:val="000000" w:themeColor="text1"/>
          <w:sz w:val="21"/>
          <w:szCs w:val="21"/>
          <w14:textFill>
            <w14:solidFill>
              <w14:schemeClr w14:val="tx1"/>
            </w14:solidFill>
          </w14:textFill>
        </w:rPr>
        <w:t>附件5：无重大违法记录声明</w:t>
      </w:r>
      <w:bookmarkEnd w:id="24"/>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5" w:name="_Toc50642505"/>
      <w:bookmarkStart w:id="26" w:name="_Toc53153324"/>
      <w:bookmarkStart w:id="27" w:name="_Toc51598429"/>
      <w:bookmarkStart w:id="28" w:name="_Toc73516702"/>
      <w:bookmarkStart w:id="29" w:name="_Toc52798262"/>
      <w:bookmarkStart w:id="30" w:name="_Toc50645819"/>
      <w:bookmarkStart w:id="31" w:name="_Toc49847306"/>
      <w:r>
        <w:rPr>
          <w:rFonts w:hint="eastAsia"/>
          <w:b w:val="0"/>
          <w:color w:val="000000" w:themeColor="text1"/>
          <w:sz w:val="21"/>
          <w:szCs w:val="21"/>
          <w14:textFill>
            <w14:solidFill>
              <w14:schemeClr w14:val="tx1"/>
            </w14:solidFill>
          </w14:textFill>
        </w:rPr>
        <w:t>附件6：诚信承诺书</w:t>
      </w:r>
      <w:bookmarkEnd w:id="25"/>
      <w:bookmarkEnd w:id="26"/>
      <w:bookmarkEnd w:id="27"/>
      <w:bookmarkEnd w:id="28"/>
      <w:bookmarkEnd w:id="29"/>
      <w:bookmarkEnd w:id="30"/>
      <w:bookmarkEnd w:id="31"/>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Adobe 黑体 Std R">
    <w:altName w:val="黑体"/>
    <w:panose1 w:val="00000000000000000000"/>
    <w:charset w:val="86"/>
    <w:family w:val="swiss"/>
    <w:pitch w:val="default"/>
    <w:sig w:usb0="00000000" w:usb1="00000000" w:usb2="00000016" w:usb3="00000000" w:csb0="00060007" w:csb1="00000000"/>
  </w:font>
  <w:font w:name="新宋体">
    <w:panose1 w:val="02010609030101010101"/>
    <w:charset w:val="86"/>
    <w:family w:val="modern"/>
    <w:pitch w:val="default"/>
    <w:sig w:usb0="00000003" w:usb1="288F0000" w:usb2="0000000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5946"/>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4CAB"/>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7AB"/>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A39FD"/>
    <w:rsid w:val="004B1635"/>
    <w:rsid w:val="004B1680"/>
    <w:rsid w:val="004B1D3E"/>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1D5"/>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11E2"/>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57D2"/>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1F1"/>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364"/>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24E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86D47"/>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D8"/>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544F"/>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48C7A70"/>
    <w:rsid w:val="053D7054"/>
    <w:rsid w:val="05872D64"/>
    <w:rsid w:val="05B509EA"/>
    <w:rsid w:val="06420CC4"/>
    <w:rsid w:val="065823F0"/>
    <w:rsid w:val="07487BB5"/>
    <w:rsid w:val="095D58FD"/>
    <w:rsid w:val="09910E44"/>
    <w:rsid w:val="09D76966"/>
    <w:rsid w:val="0A026BD8"/>
    <w:rsid w:val="0A196492"/>
    <w:rsid w:val="0A995B7C"/>
    <w:rsid w:val="0D0C0422"/>
    <w:rsid w:val="0EA16A38"/>
    <w:rsid w:val="0EF929D9"/>
    <w:rsid w:val="0F111E5D"/>
    <w:rsid w:val="0F202E96"/>
    <w:rsid w:val="110D6392"/>
    <w:rsid w:val="12013110"/>
    <w:rsid w:val="126E6EDF"/>
    <w:rsid w:val="12746007"/>
    <w:rsid w:val="12C627C3"/>
    <w:rsid w:val="15AD47C5"/>
    <w:rsid w:val="1739538C"/>
    <w:rsid w:val="17704950"/>
    <w:rsid w:val="17DF647D"/>
    <w:rsid w:val="1A7A033C"/>
    <w:rsid w:val="1B8A0A6B"/>
    <w:rsid w:val="1BED6716"/>
    <w:rsid w:val="1CB9293D"/>
    <w:rsid w:val="1D4F473B"/>
    <w:rsid w:val="1D720134"/>
    <w:rsid w:val="205D1EAD"/>
    <w:rsid w:val="21C008B3"/>
    <w:rsid w:val="23A41204"/>
    <w:rsid w:val="268E706A"/>
    <w:rsid w:val="273D0D3B"/>
    <w:rsid w:val="277E259E"/>
    <w:rsid w:val="299F38FC"/>
    <w:rsid w:val="29AA0D95"/>
    <w:rsid w:val="29B54054"/>
    <w:rsid w:val="2A41271B"/>
    <w:rsid w:val="2A9D76DE"/>
    <w:rsid w:val="2AC53709"/>
    <w:rsid w:val="2C7F64CE"/>
    <w:rsid w:val="2D0D0136"/>
    <w:rsid w:val="2D31053D"/>
    <w:rsid w:val="2EE261A8"/>
    <w:rsid w:val="2EE62F88"/>
    <w:rsid w:val="31086F3E"/>
    <w:rsid w:val="31451D82"/>
    <w:rsid w:val="31820BD9"/>
    <w:rsid w:val="324101E2"/>
    <w:rsid w:val="32872233"/>
    <w:rsid w:val="32D41E1D"/>
    <w:rsid w:val="33756663"/>
    <w:rsid w:val="3465038D"/>
    <w:rsid w:val="3491629A"/>
    <w:rsid w:val="35D72002"/>
    <w:rsid w:val="37771041"/>
    <w:rsid w:val="39D272EA"/>
    <w:rsid w:val="3A7C5E4C"/>
    <w:rsid w:val="3B767F00"/>
    <w:rsid w:val="3BB04B88"/>
    <w:rsid w:val="3BCF12B5"/>
    <w:rsid w:val="3C7137CF"/>
    <w:rsid w:val="3E8B2E9B"/>
    <w:rsid w:val="3EEA1BF7"/>
    <w:rsid w:val="3F0071D7"/>
    <w:rsid w:val="3F18684B"/>
    <w:rsid w:val="417913EC"/>
    <w:rsid w:val="44814510"/>
    <w:rsid w:val="4517057D"/>
    <w:rsid w:val="45566478"/>
    <w:rsid w:val="474140DE"/>
    <w:rsid w:val="47BB1FDC"/>
    <w:rsid w:val="482243A4"/>
    <w:rsid w:val="486A27A6"/>
    <w:rsid w:val="492D6B95"/>
    <w:rsid w:val="49C26560"/>
    <w:rsid w:val="4AD917DF"/>
    <w:rsid w:val="4AEB589D"/>
    <w:rsid w:val="4C653F38"/>
    <w:rsid w:val="4DE63590"/>
    <w:rsid w:val="51CE3B85"/>
    <w:rsid w:val="54474CB9"/>
    <w:rsid w:val="54E7132C"/>
    <w:rsid w:val="555C0095"/>
    <w:rsid w:val="55DC4864"/>
    <w:rsid w:val="562D07D0"/>
    <w:rsid w:val="570849BC"/>
    <w:rsid w:val="58D16730"/>
    <w:rsid w:val="59F7427D"/>
    <w:rsid w:val="5B8738A7"/>
    <w:rsid w:val="5CBB218F"/>
    <w:rsid w:val="5D9422F4"/>
    <w:rsid w:val="5DF625FF"/>
    <w:rsid w:val="5ED90476"/>
    <w:rsid w:val="5F551185"/>
    <w:rsid w:val="5F721C62"/>
    <w:rsid w:val="61A71DB7"/>
    <w:rsid w:val="624F6438"/>
    <w:rsid w:val="637416D7"/>
    <w:rsid w:val="64BB1B06"/>
    <w:rsid w:val="65016EC6"/>
    <w:rsid w:val="68CB2588"/>
    <w:rsid w:val="6A2633D5"/>
    <w:rsid w:val="6AEF170B"/>
    <w:rsid w:val="6B064B57"/>
    <w:rsid w:val="6BAA593E"/>
    <w:rsid w:val="6BCE26DE"/>
    <w:rsid w:val="6D572253"/>
    <w:rsid w:val="70BB4DC3"/>
    <w:rsid w:val="714B27BD"/>
    <w:rsid w:val="72EB6197"/>
    <w:rsid w:val="73675F72"/>
    <w:rsid w:val="747466E6"/>
    <w:rsid w:val="750F77BF"/>
    <w:rsid w:val="751B1357"/>
    <w:rsid w:val="772464D5"/>
    <w:rsid w:val="78D52782"/>
    <w:rsid w:val="79247842"/>
    <w:rsid w:val="7A205E5C"/>
    <w:rsid w:val="7AA25287"/>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E6E4B0-C4AF-452F-87CD-AD9D44D81A2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21</Pages>
  <Words>8527</Words>
  <Characters>9165</Characters>
  <Lines>79</Lines>
  <Paragraphs>22</Paragraphs>
  <TotalTime>1</TotalTime>
  <ScaleCrop>false</ScaleCrop>
  <LinksUpToDate>false</LinksUpToDate>
  <CharactersWithSpaces>9952</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2022-07-23T08:17:00Z</cp:lastPrinted>
  <dcterms:modified xsi:type="dcterms:W3CDTF">2022-08-03T03:48:00Z</dcterms:modified>
  <dc:title>招  标  文  件</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19476D37B02F46B2A2BF4E2D9F83DC76</vt:lpwstr>
  </property>
</Properties>
</file>